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s>
        <w:spacing w:line="450" w:lineRule="exact"/>
        <w:rPr>
          <w:rFonts w:ascii="宋体" w:hAnsi="宋体" w:eastAsia="宋体"/>
          <w:b/>
          <w:bCs/>
          <w:sz w:val="28"/>
          <w:szCs w:val="28"/>
        </w:rPr>
      </w:pPr>
      <w:bookmarkStart w:id="0" w:name="_GoBack"/>
      <w:bookmarkEnd w:id="0"/>
      <w:r>
        <w:rPr>
          <w:rFonts w:hint="eastAsia" w:ascii="宋体" w:hAnsi="宋体" w:eastAsia="宋体"/>
          <w:b/>
          <w:bCs/>
          <w:sz w:val="28"/>
          <w:szCs w:val="28"/>
        </w:rPr>
        <w:t>附件2：抚顺市市本级国有农用地各级别范围及基准地价标准</w:t>
      </w:r>
    </w:p>
    <w:p>
      <w:pPr>
        <w:tabs>
          <w:tab w:val="left" w:pos="720"/>
        </w:tabs>
        <w:spacing w:line="450" w:lineRule="exact"/>
        <w:jc w:val="center"/>
        <w:rPr>
          <w:rFonts w:ascii="宋体" w:hAnsi="宋体" w:eastAsia="宋体"/>
          <w:sz w:val="28"/>
          <w:szCs w:val="28"/>
        </w:rPr>
      </w:pPr>
      <w:r>
        <w:rPr>
          <w:rFonts w:hint="eastAsia" w:ascii="宋体" w:hAnsi="宋体" w:eastAsia="宋体"/>
          <w:sz w:val="28"/>
          <w:szCs w:val="28"/>
        </w:rPr>
        <w:t>抚顺市市本级国有农用地各级别范围说明表</w:t>
      </w:r>
    </w:p>
    <w:tbl>
      <w:tblPr>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3"/>
        <w:gridCol w:w="1419"/>
        <w:gridCol w:w="5182"/>
      </w:tblGrid>
      <w:tr>
        <w:trPr>
          <w:trHeight w:val="20" w:hRule="atLeast"/>
          <w:jc w:val="center"/>
        </w:trPr>
        <w:tc>
          <w:tcPr>
            <w:tcW w:w="562" w:type="dxa"/>
            <w:vAlign w:val="center"/>
          </w:tcPr>
          <w:p>
            <w:pPr>
              <w:pStyle w:val="8"/>
              <w:rPr>
                <w:b/>
                <w:bCs/>
                <w:lang w:eastAsia="zh-CN"/>
              </w:rPr>
            </w:pPr>
            <w:r>
              <w:rPr>
                <w:rFonts w:hint="eastAsia"/>
                <w:b/>
                <w:bCs/>
                <w:lang w:eastAsia="zh-CN"/>
              </w:rPr>
              <w:t>级别</w:t>
            </w:r>
          </w:p>
        </w:tc>
        <w:tc>
          <w:tcPr>
            <w:tcW w:w="1133" w:type="dxa"/>
            <w:vAlign w:val="center"/>
          </w:tcPr>
          <w:p>
            <w:pPr>
              <w:pStyle w:val="8"/>
              <w:rPr>
                <w:b/>
                <w:bCs/>
                <w:lang w:eastAsia="zh-CN"/>
              </w:rPr>
            </w:pPr>
            <w:r>
              <w:rPr>
                <w:rFonts w:hint="eastAsia"/>
                <w:b/>
                <w:bCs/>
                <w:lang w:eastAsia="zh-CN"/>
              </w:rPr>
              <w:t>地区</w:t>
            </w:r>
          </w:p>
        </w:tc>
        <w:tc>
          <w:tcPr>
            <w:tcW w:w="1419" w:type="dxa"/>
            <w:vAlign w:val="center"/>
          </w:tcPr>
          <w:p>
            <w:pPr>
              <w:pStyle w:val="8"/>
              <w:rPr>
                <w:b/>
                <w:bCs/>
                <w:lang w:eastAsia="zh-CN"/>
              </w:rPr>
            </w:pPr>
            <w:r>
              <w:rPr>
                <w:rFonts w:hint="eastAsia"/>
                <w:b/>
                <w:bCs/>
                <w:lang w:eastAsia="zh-CN"/>
              </w:rPr>
              <w:t>乡镇名称</w:t>
            </w:r>
          </w:p>
        </w:tc>
        <w:tc>
          <w:tcPr>
            <w:tcW w:w="5182" w:type="dxa"/>
            <w:vAlign w:val="center"/>
          </w:tcPr>
          <w:p>
            <w:pPr>
              <w:pStyle w:val="8"/>
              <w:rPr>
                <w:b/>
                <w:bCs/>
                <w:lang w:eastAsia="zh-CN"/>
              </w:rPr>
            </w:pPr>
            <w:r>
              <w:rPr>
                <w:rFonts w:hint="eastAsia"/>
                <w:b/>
                <w:bCs/>
                <w:lang w:eastAsia="zh-CN"/>
              </w:rPr>
              <w:t>范围</w:t>
            </w:r>
          </w:p>
        </w:tc>
      </w:tr>
      <w:tr>
        <w:trPr>
          <w:trHeight w:val="20" w:hRule="atLeast"/>
          <w:jc w:val="center"/>
        </w:trPr>
        <w:tc>
          <w:tcPr>
            <w:tcW w:w="562" w:type="dxa"/>
            <w:vMerge w:val="restart"/>
            <w:vAlign w:val="center"/>
          </w:tcPr>
          <w:p>
            <w:pPr>
              <w:pStyle w:val="8"/>
              <w:rPr>
                <w:b/>
                <w:bCs/>
                <w:lang w:eastAsia="zh-CN"/>
              </w:rPr>
            </w:pPr>
            <w:r>
              <w:rPr>
                <w:rFonts w:hint="eastAsia"/>
                <w:b/>
                <w:bCs/>
                <w:lang w:eastAsia="zh-CN"/>
              </w:rPr>
              <w:t>Ⅰ级</w:t>
            </w:r>
          </w:p>
        </w:tc>
        <w:tc>
          <w:tcPr>
            <w:tcW w:w="1133" w:type="dxa"/>
            <w:vMerge w:val="restart"/>
            <w:vAlign w:val="center"/>
          </w:tcPr>
          <w:p>
            <w:pPr>
              <w:pStyle w:val="8"/>
              <w:rPr>
                <w:lang w:eastAsia="zh-CN"/>
              </w:rPr>
            </w:pPr>
            <w:r>
              <w:rPr>
                <w:rFonts w:hint="eastAsia"/>
                <w:lang w:eastAsia="zh-CN"/>
              </w:rPr>
              <w:t>顺城区</w:t>
            </w:r>
          </w:p>
        </w:tc>
        <w:tc>
          <w:tcPr>
            <w:tcW w:w="1419" w:type="dxa"/>
            <w:vAlign w:val="center"/>
          </w:tcPr>
          <w:p>
            <w:pPr>
              <w:pStyle w:val="8"/>
              <w:rPr>
                <w:lang w:eastAsia="zh-CN"/>
              </w:rPr>
            </w:pPr>
            <w:r>
              <w:rPr>
                <w:rFonts w:hint="eastAsia"/>
                <w:lang w:eastAsia="zh-CN"/>
              </w:rPr>
              <w:t>河北乡</w:t>
            </w:r>
          </w:p>
        </w:tc>
        <w:tc>
          <w:tcPr>
            <w:tcW w:w="5182" w:type="dxa"/>
            <w:vAlign w:val="center"/>
          </w:tcPr>
          <w:p>
            <w:pPr>
              <w:pStyle w:val="8"/>
              <w:rPr>
                <w:lang w:eastAsia="zh-CN"/>
              </w:rPr>
            </w:pPr>
            <w:r>
              <w:rPr>
                <w:rFonts w:hint="eastAsia"/>
                <w:lang w:eastAsia="zh-CN"/>
              </w:rPr>
              <w:t>四家子村、黄旗村、北关新村、东华村、方晓村、里仁村、西戈村、戈布村、莲岛村</w:t>
            </w:r>
          </w:p>
        </w:tc>
      </w:tr>
      <w:tr>
        <w:trPr>
          <w:trHeight w:val="20" w:hRule="atLeast"/>
          <w:jc w:val="center"/>
        </w:trPr>
        <w:tc>
          <w:tcPr>
            <w:tcW w:w="562" w:type="dxa"/>
            <w:vMerge w:val="continue"/>
            <w:vAlign w:val="center"/>
          </w:tcPr>
          <w:p>
            <w:pPr>
              <w:pStyle w:val="8"/>
              <w:rPr>
                <w:b/>
                <w:bCs/>
                <w:lang w:eastAsia="zh-CN"/>
              </w:rPr>
            </w:pPr>
          </w:p>
        </w:tc>
        <w:tc>
          <w:tcPr>
            <w:tcW w:w="1133" w:type="dxa"/>
            <w:vMerge w:val="continue"/>
            <w:vAlign w:val="center"/>
          </w:tcPr>
          <w:p>
            <w:pPr>
              <w:pStyle w:val="8"/>
              <w:rPr>
                <w:lang w:eastAsia="zh-CN"/>
              </w:rPr>
            </w:pPr>
          </w:p>
        </w:tc>
        <w:tc>
          <w:tcPr>
            <w:tcW w:w="1419" w:type="dxa"/>
            <w:vAlign w:val="center"/>
          </w:tcPr>
          <w:p>
            <w:pPr>
              <w:pStyle w:val="8"/>
              <w:rPr>
                <w:lang w:eastAsia="zh-CN"/>
              </w:rPr>
            </w:pPr>
            <w:r>
              <w:rPr>
                <w:rFonts w:hint="eastAsia"/>
                <w:lang w:eastAsia="zh-CN"/>
              </w:rPr>
              <w:t>前甸镇</w:t>
            </w:r>
          </w:p>
        </w:tc>
        <w:tc>
          <w:tcPr>
            <w:tcW w:w="5182" w:type="dxa"/>
            <w:vAlign w:val="center"/>
          </w:tcPr>
          <w:p>
            <w:pPr>
              <w:pStyle w:val="8"/>
              <w:rPr>
                <w:lang w:eastAsia="zh-CN"/>
              </w:rPr>
            </w:pPr>
            <w:r>
              <w:rPr>
                <w:rFonts w:hint="eastAsia"/>
                <w:lang w:eastAsia="zh-CN"/>
              </w:rPr>
              <w:t>大道村、大柳村、二道村、靠山村、李其村</w:t>
            </w:r>
          </w:p>
        </w:tc>
      </w:tr>
      <w:tr>
        <w:trPr>
          <w:trHeight w:val="20" w:hRule="atLeast"/>
          <w:jc w:val="center"/>
        </w:trPr>
        <w:tc>
          <w:tcPr>
            <w:tcW w:w="562" w:type="dxa"/>
            <w:vMerge w:val="continue"/>
            <w:vAlign w:val="center"/>
          </w:tcPr>
          <w:p>
            <w:pPr>
              <w:pStyle w:val="8"/>
              <w:rPr>
                <w:b/>
                <w:bCs/>
                <w:lang w:eastAsia="zh-CN"/>
              </w:rPr>
            </w:pPr>
          </w:p>
        </w:tc>
        <w:tc>
          <w:tcPr>
            <w:tcW w:w="1133" w:type="dxa"/>
            <w:vAlign w:val="center"/>
          </w:tcPr>
          <w:p>
            <w:pPr>
              <w:pStyle w:val="8"/>
              <w:rPr>
                <w:lang w:eastAsia="zh-CN"/>
              </w:rPr>
            </w:pPr>
            <w:r>
              <w:rPr>
                <w:rFonts w:hint="eastAsia"/>
                <w:lang w:eastAsia="zh-CN"/>
              </w:rPr>
              <w:t>东洲区</w:t>
            </w:r>
          </w:p>
        </w:tc>
        <w:tc>
          <w:tcPr>
            <w:tcW w:w="1419" w:type="dxa"/>
            <w:vAlign w:val="center"/>
          </w:tcPr>
          <w:p>
            <w:pPr>
              <w:pStyle w:val="8"/>
              <w:rPr>
                <w:lang w:eastAsia="zh-CN"/>
              </w:rPr>
            </w:pPr>
            <w:r>
              <w:rPr>
                <w:rFonts w:hint="eastAsia"/>
                <w:lang w:eastAsia="zh-CN"/>
              </w:rPr>
              <w:t>碾盘乡</w:t>
            </w:r>
          </w:p>
        </w:tc>
        <w:tc>
          <w:tcPr>
            <w:tcW w:w="5182" w:type="dxa"/>
            <w:vAlign w:val="center"/>
          </w:tcPr>
          <w:p>
            <w:pPr>
              <w:pStyle w:val="8"/>
              <w:rPr>
                <w:lang w:eastAsia="zh-CN"/>
              </w:rPr>
            </w:pPr>
            <w:r>
              <w:rPr>
                <w:rFonts w:hint="eastAsia"/>
                <w:lang w:eastAsia="zh-CN"/>
              </w:rPr>
              <w:t>武嘉村</w:t>
            </w:r>
          </w:p>
        </w:tc>
      </w:tr>
      <w:tr>
        <w:trPr>
          <w:trHeight w:val="20" w:hRule="atLeast"/>
          <w:jc w:val="center"/>
        </w:trPr>
        <w:tc>
          <w:tcPr>
            <w:tcW w:w="562" w:type="dxa"/>
            <w:vMerge w:val="restart"/>
            <w:vAlign w:val="center"/>
          </w:tcPr>
          <w:p>
            <w:pPr>
              <w:pStyle w:val="8"/>
              <w:rPr>
                <w:b/>
                <w:bCs/>
                <w:lang w:eastAsia="zh-CN"/>
              </w:rPr>
            </w:pPr>
            <w:r>
              <w:rPr>
                <w:rFonts w:hint="eastAsia"/>
                <w:b/>
                <w:bCs/>
                <w:lang w:eastAsia="zh-CN"/>
              </w:rPr>
              <w:t>Ⅱ级</w:t>
            </w:r>
          </w:p>
        </w:tc>
        <w:tc>
          <w:tcPr>
            <w:tcW w:w="1133" w:type="dxa"/>
            <w:vMerge w:val="restart"/>
            <w:vAlign w:val="center"/>
          </w:tcPr>
          <w:p>
            <w:pPr>
              <w:pStyle w:val="8"/>
              <w:rPr>
                <w:lang w:eastAsia="zh-CN"/>
              </w:rPr>
            </w:pPr>
            <w:r>
              <w:rPr>
                <w:rFonts w:hint="eastAsia"/>
                <w:lang w:eastAsia="zh-CN"/>
              </w:rPr>
              <w:t>顺城区</w:t>
            </w:r>
          </w:p>
        </w:tc>
        <w:tc>
          <w:tcPr>
            <w:tcW w:w="1419" w:type="dxa"/>
            <w:vAlign w:val="center"/>
          </w:tcPr>
          <w:p>
            <w:pPr>
              <w:pStyle w:val="8"/>
              <w:rPr>
                <w:lang w:eastAsia="zh-CN"/>
              </w:rPr>
            </w:pPr>
            <w:r>
              <w:rPr>
                <w:rFonts w:hint="eastAsia"/>
                <w:lang w:eastAsia="zh-CN"/>
              </w:rPr>
              <w:t>前甸镇</w:t>
            </w:r>
          </w:p>
        </w:tc>
        <w:tc>
          <w:tcPr>
            <w:tcW w:w="5182" w:type="dxa"/>
            <w:vAlign w:val="center"/>
          </w:tcPr>
          <w:p>
            <w:pPr>
              <w:pStyle w:val="8"/>
              <w:rPr>
                <w:lang w:eastAsia="zh-CN"/>
              </w:rPr>
            </w:pPr>
            <w:r>
              <w:rPr>
                <w:rFonts w:hint="eastAsia"/>
                <w:lang w:eastAsia="zh-CN"/>
              </w:rPr>
              <w:t>三家村</w:t>
            </w:r>
          </w:p>
        </w:tc>
      </w:tr>
      <w:tr>
        <w:trPr>
          <w:trHeight w:val="20" w:hRule="atLeast"/>
          <w:jc w:val="center"/>
        </w:trPr>
        <w:tc>
          <w:tcPr>
            <w:tcW w:w="562" w:type="dxa"/>
            <w:vMerge w:val="continue"/>
            <w:vAlign w:val="center"/>
          </w:tcPr>
          <w:p>
            <w:pPr>
              <w:pStyle w:val="8"/>
              <w:rPr>
                <w:b/>
                <w:bCs/>
                <w:lang w:eastAsia="zh-CN"/>
              </w:rPr>
            </w:pPr>
          </w:p>
        </w:tc>
        <w:tc>
          <w:tcPr>
            <w:tcW w:w="1133" w:type="dxa"/>
            <w:vMerge w:val="continue"/>
            <w:vAlign w:val="center"/>
          </w:tcPr>
          <w:p>
            <w:pPr>
              <w:pStyle w:val="8"/>
              <w:rPr>
                <w:lang w:eastAsia="zh-CN"/>
              </w:rPr>
            </w:pPr>
          </w:p>
        </w:tc>
        <w:tc>
          <w:tcPr>
            <w:tcW w:w="1419" w:type="dxa"/>
            <w:vAlign w:val="center"/>
          </w:tcPr>
          <w:p>
            <w:pPr>
              <w:pStyle w:val="8"/>
              <w:rPr>
                <w:lang w:eastAsia="zh-CN"/>
              </w:rPr>
            </w:pPr>
            <w:r>
              <w:rPr>
                <w:rFonts w:hint="eastAsia"/>
                <w:lang w:eastAsia="zh-CN"/>
              </w:rPr>
              <w:t>会元乡</w:t>
            </w:r>
          </w:p>
        </w:tc>
        <w:tc>
          <w:tcPr>
            <w:tcW w:w="5182" w:type="dxa"/>
            <w:vAlign w:val="center"/>
          </w:tcPr>
          <w:p>
            <w:pPr>
              <w:pStyle w:val="8"/>
              <w:rPr>
                <w:lang w:eastAsia="zh-CN"/>
              </w:rPr>
            </w:pPr>
            <w:r>
              <w:rPr>
                <w:rFonts w:hint="eastAsia"/>
                <w:lang w:eastAsia="zh-CN"/>
              </w:rPr>
              <w:t>康乐村、马前村</w:t>
            </w:r>
          </w:p>
        </w:tc>
      </w:tr>
      <w:tr>
        <w:trPr>
          <w:trHeight w:val="20" w:hRule="atLeast"/>
          <w:jc w:val="center"/>
        </w:trPr>
        <w:tc>
          <w:tcPr>
            <w:tcW w:w="562" w:type="dxa"/>
            <w:vMerge w:val="continue"/>
            <w:vAlign w:val="center"/>
          </w:tcPr>
          <w:p>
            <w:pPr>
              <w:pStyle w:val="8"/>
              <w:rPr>
                <w:b/>
                <w:bCs/>
                <w:lang w:eastAsia="zh-CN"/>
              </w:rPr>
            </w:pPr>
          </w:p>
        </w:tc>
        <w:tc>
          <w:tcPr>
            <w:tcW w:w="1133" w:type="dxa"/>
            <w:vAlign w:val="center"/>
          </w:tcPr>
          <w:p>
            <w:pPr>
              <w:pStyle w:val="8"/>
              <w:rPr>
                <w:lang w:eastAsia="zh-CN"/>
              </w:rPr>
            </w:pPr>
            <w:r>
              <w:rPr>
                <w:rFonts w:hint="eastAsia"/>
                <w:lang w:eastAsia="zh-CN"/>
              </w:rPr>
              <w:t>新抚区</w:t>
            </w:r>
          </w:p>
        </w:tc>
        <w:tc>
          <w:tcPr>
            <w:tcW w:w="1419" w:type="dxa"/>
            <w:vAlign w:val="center"/>
          </w:tcPr>
          <w:p>
            <w:pPr>
              <w:pStyle w:val="8"/>
              <w:rPr>
                <w:lang w:eastAsia="zh-CN"/>
              </w:rPr>
            </w:pPr>
            <w:r>
              <w:rPr>
                <w:rFonts w:hint="eastAsia"/>
                <w:lang w:eastAsia="zh-CN"/>
              </w:rPr>
              <w:t>千金乡</w:t>
            </w:r>
          </w:p>
        </w:tc>
        <w:tc>
          <w:tcPr>
            <w:tcW w:w="5182" w:type="dxa"/>
            <w:vAlign w:val="center"/>
          </w:tcPr>
          <w:p>
            <w:pPr>
              <w:pStyle w:val="8"/>
              <w:rPr>
                <w:lang w:eastAsia="zh-CN"/>
              </w:rPr>
            </w:pPr>
            <w:r>
              <w:rPr>
                <w:rFonts w:hint="eastAsia"/>
                <w:lang w:eastAsia="zh-CN"/>
              </w:rPr>
              <w:t>丁家村、前邓村、唐力村</w:t>
            </w:r>
          </w:p>
        </w:tc>
      </w:tr>
      <w:tr>
        <w:trPr>
          <w:trHeight w:val="20" w:hRule="atLeast"/>
          <w:jc w:val="center"/>
        </w:trPr>
        <w:tc>
          <w:tcPr>
            <w:tcW w:w="562" w:type="dxa"/>
            <w:vMerge w:val="continue"/>
            <w:vAlign w:val="center"/>
          </w:tcPr>
          <w:p>
            <w:pPr>
              <w:pStyle w:val="8"/>
              <w:rPr>
                <w:b/>
                <w:bCs/>
                <w:lang w:eastAsia="zh-CN"/>
              </w:rPr>
            </w:pPr>
          </w:p>
        </w:tc>
        <w:tc>
          <w:tcPr>
            <w:tcW w:w="1133" w:type="dxa"/>
            <w:vMerge w:val="restart"/>
            <w:vAlign w:val="center"/>
          </w:tcPr>
          <w:p>
            <w:pPr>
              <w:pStyle w:val="8"/>
              <w:rPr>
                <w:lang w:eastAsia="zh-CN"/>
              </w:rPr>
            </w:pPr>
            <w:r>
              <w:rPr>
                <w:rFonts w:hint="eastAsia"/>
                <w:lang w:eastAsia="zh-CN"/>
              </w:rPr>
              <w:t>东洲区</w:t>
            </w:r>
          </w:p>
        </w:tc>
        <w:tc>
          <w:tcPr>
            <w:tcW w:w="1419" w:type="dxa"/>
            <w:vAlign w:val="center"/>
          </w:tcPr>
          <w:p>
            <w:pPr>
              <w:pStyle w:val="8"/>
              <w:rPr>
                <w:lang w:eastAsia="zh-CN"/>
              </w:rPr>
            </w:pPr>
            <w:r>
              <w:rPr>
                <w:rFonts w:hint="eastAsia"/>
                <w:lang w:eastAsia="zh-CN"/>
              </w:rPr>
              <w:t>碾盘乡</w:t>
            </w:r>
          </w:p>
        </w:tc>
        <w:tc>
          <w:tcPr>
            <w:tcW w:w="5182" w:type="dxa"/>
            <w:vAlign w:val="center"/>
          </w:tcPr>
          <w:p>
            <w:pPr>
              <w:pStyle w:val="8"/>
              <w:rPr>
                <w:lang w:eastAsia="zh-CN"/>
              </w:rPr>
            </w:pPr>
            <w:r>
              <w:rPr>
                <w:rFonts w:hint="eastAsia"/>
                <w:lang w:eastAsia="zh-CN"/>
              </w:rPr>
              <w:t>关口村、营城子村、张甸村、元龙村、萝卜坎村、平山村、石富村、新太河村</w:t>
            </w:r>
          </w:p>
        </w:tc>
      </w:tr>
      <w:tr>
        <w:trPr>
          <w:trHeight w:val="20" w:hRule="atLeast"/>
          <w:jc w:val="center"/>
        </w:trPr>
        <w:tc>
          <w:tcPr>
            <w:tcW w:w="562" w:type="dxa"/>
            <w:vMerge w:val="continue"/>
            <w:vAlign w:val="center"/>
          </w:tcPr>
          <w:p>
            <w:pPr>
              <w:pStyle w:val="8"/>
              <w:rPr>
                <w:b/>
                <w:bCs/>
                <w:lang w:eastAsia="zh-CN"/>
              </w:rPr>
            </w:pPr>
          </w:p>
        </w:tc>
        <w:tc>
          <w:tcPr>
            <w:tcW w:w="1133" w:type="dxa"/>
            <w:vMerge w:val="continue"/>
            <w:vAlign w:val="center"/>
          </w:tcPr>
          <w:p>
            <w:pPr>
              <w:pStyle w:val="8"/>
              <w:rPr>
                <w:lang w:eastAsia="zh-CN"/>
              </w:rPr>
            </w:pPr>
          </w:p>
        </w:tc>
        <w:tc>
          <w:tcPr>
            <w:tcW w:w="1419" w:type="dxa"/>
            <w:vAlign w:val="center"/>
          </w:tcPr>
          <w:p>
            <w:pPr>
              <w:pStyle w:val="8"/>
              <w:rPr>
                <w:lang w:eastAsia="zh-CN"/>
              </w:rPr>
            </w:pPr>
            <w:r>
              <w:rPr>
                <w:rFonts w:hint="eastAsia"/>
                <w:lang w:eastAsia="zh-CN"/>
              </w:rPr>
              <w:t>章党街道</w:t>
            </w:r>
          </w:p>
        </w:tc>
        <w:tc>
          <w:tcPr>
            <w:tcW w:w="5182" w:type="dxa"/>
            <w:vAlign w:val="center"/>
          </w:tcPr>
          <w:p>
            <w:pPr>
              <w:pStyle w:val="8"/>
              <w:rPr>
                <w:lang w:eastAsia="zh-CN"/>
              </w:rPr>
            </w:pPr>
            <w:r>
              <w:rPr>
                <w:rFonts w:hint="eastAsia"/>
                <w:lang w:eastAsia="zh-CN"/>
              </w:rPr>
              <w:t>章党汉族村</w:t>
            </w:r>
          </w:p>
        </w:tc>
      </w:tr>
      <w:tr>
        <w:trPr>
          <w:trHeight w:val="20" w:hRule="atLeast"/>
          <w:jc w:val="center"/>
        </w:trPr>
        <w:tc>
          <w:tcPr>
            <w:tcW w:w="562" w:type="dxa"/>
            <w:vMerge w:val="continue"/>
            <w:vAlign w:val="center"/>
          </w:tcPr>
          <w:p>
            <w:pPr>
              <w:pStyle w:val="8"/>
              <w:rPr>
                <w:b/>
                <w:bCs/>
                <w:lang w:eastAsia="zh-CN"/>
              </w:rPr>
            </w:pPr>
          </w:p>
        </w:tc>
        <w:tc>
          <w:tcPr>
            <w:tcW w:w="1133" w:type="dxa"/>
            <w:vMerge w:val="continue"/>
            <w:vAlign w:val="center"/>
          </w:tcPr>
          <w:p>
            <w:pPr>
              <w:pStyle w:val="8"/>
              <w:rPr>
                <w:lang w:eastAsia="zh-CN"/>
              </w:rPr>
            </w:pPr>
          </w:p>
        </w:tc>
        <w:tc>
          <w:tcPr>
            <w:tcW w:w="1419" w:type="dxa"/>
            <w:vAlign w:val="center"/>
          </w:tcPr>
          <w:p>
            <w:pPr>
              <w:pStyle w:val="8"/>
              <w:rPr>
                <w:lang w:eastAsia="zh-CN"/>
              </w:rPr>
            </w:pPr>
            <w:r>
              <w:rPr>
                <w:rFonts w:hint="eastAsia"/>
                <w:lang w:eastAsia="zh-CN"/>
              </w:rPr>
              <w:t>兰山乡</w:t>
            </w:r>
          </w:p>
        </w:tc>
        <w:tc>
          <w:tcPr>
            <w:tcW w:w="5182" w:type="dxa"/>
            <w:vAlign w:val="center"/>
          </w:tcPr>
          <w:p>
            <w:pPr>
              <w:pStyle w:val="8"/>
              <w:rPr>
                <w:lang w:eastAsia="zh-CN"/>
              </w:rPr>
            </w:pPr>
            <w:r>
              <w:rPr>
                <w:rFonts w:hint="eastAsia"/>
                <w:lang w:eastAsia="zh-CN"/>
              </w:rPr>
              <w:t>新农村、五味村</w:t>
            </w:r>
          </w:p>
        </w:tc>
      </w:tr>
      <w:tr>
        <w:trPr>
          <w:trHeight w:val="20" w:hRule="atLeast"/>
          <w:jc w:val="center"/>
        </w:trPr>
        <w:tc>
          <w:tcPr>
            <w:tcW w:w="562" w:type="dxa"/>
            <w:vMerge w:val="continue"/>
            <w:vAlign w:val="center"/>
          </w:tcPr>
          <w:p>
            <w:pPr>
              <w:pStyle w:val="8"/>
              <w:rPr>
                <w:b/>
                <w:bCs/>
                <w:lang w:eastAsia="zh-CN"/>
              </w:rPr>
            </w:pPr>
          </w:p>
        </w:tc>
        <w:tc>
          <w:tcPr>
            <w:tcW w:w="1133" w:type="dxa"/>
            <w:vAlign w:val="center"/>
          </w:tcPr>
          <w:p>
            <w:pPr>
              <w:pStyle w:val="8"/>
              <w:rPr>
                <w:lang w:eastAsia="zh-CN"/>
              </w:rPr>
            </w:pPr>
            <w:r>
              <w:rPr>
                <w:rFonts w:hint="eastAsia"/>
                <w:lang w:eastAsia="zh-CN"/>
              </w:rPr>
              <w:t>望花区</w:t>
            </w:r>
          </w:p>
        </w:tc>
        <w:tc>
          <w:tcPr>
            <w:tcW w:w="1419" w:type="dxa"/>
            <w:vAlign w:val="center"/>
          </w:tcPr>
          <w:p>
            <w:pPr>
              <w:pStyle w:val="8"/>
              <w:rPr>
                <w:lang w:eastAsia="zh-CN"/>
              </w:rPr>
            </w:pPr>
            <w:r>
              <w:rPr>
                <w:rFonts w:hint="eastAsia"/>
                <w:lang w:eastAsia="zh-CN"/>
              </w:rPr>
              <w:t>城区</w:t>
            </w:r>
          </w:p>
        </w:tc>
        <w:tc>
          <w:tcPr>
            <w:tcW w:w="5182" w:type="dxa"/>
            <w:vAlign w:val="center"/>
          </w:tcPr>
          <w:p>
            <w:pPr>
              <w:pStyle w:val="8"/>
              <w:rPr>
                <w:lang w:eastAsia="zh-CN"/>
              </w:rPr>
            </w:pPr>
          </w:p>
        </w:tc>
      </w:tr>
      <w:tr>
        <w:trPr>
          <w:trHeight w:val="20" w:hRule="atLeast"/>
          <w:jc w:val="center"/>
        </w:trPr>
        <w:tc>
          <w:tcPr>
            <w:tcW w:w="562" w:type="dxa"/>
            <w:vMerge w:val="restart"/>
            <w:vAlign w:val="center"/>
          </w:tcPr>
          <w:p>
            <w:pPr>
              <w:pStyle w:val="8"/>
              <w:rPr>
                <w:b/>
                <w:bCs/>
                <w:lang w:eastAsia="zh-CN"/>
              </w:rPr>
            </w:pPr>
            <w:r>
              <w:rPr>
                <w:rFonts w:hint="eastAsia"/>
                <w:b/>
                <w:bCs/>
                <w:lang w:eastAsia="zh-CN"/>
              </w:rPr>
              <w:t>Ⅲ级</w:t>
            </w:r>
          </w:p>
        </w:tc>
        <w:tc>
          <w:tcPr>
            <w:tcW w:w="1133" w:type="dxa"/>
            <w:vMerge w:val="restart"/>
            <w:vAlign w:val="center"/>
          </w:tcPr>
          <w:p>
            <w:pPr>
              <w:pStyle w:val="8"/>
              <w:rPr>
                <w:lang w:eastAsia="zh-CN"/>
              </w:rPr>
            </w:pPr>
            <w:r>
              <w:rPr>
                <w:rFonts w:hint="eastAsia"/>
                <w:lang w:eastAsia="zh-CN"/>
              </w:rPr>
              <w:t>东洲区</w:t>
            </w:r>
          </w:p>
        </w:tc>
        <w:tc>
          <w:tcPr>
            <w:tcW w:w="1419" w:type="dxa"/>
            <w:vAlign w:val="center"/>
          </w:tcPr>
          <w:p>
            <w:pPr>
              <w:pStyle w:val="8"/>
              <w:rPr>
                <w:lang w:eastAsia="zh-CN"/>
              </w:rPr>
            </w:pPr>
            <w:r>
              <w:rPr>
                <w:rFonts w:hint="eastAsia"/>
                <w:lang w:eastAsia="zh-CN"/>
              </w:rPr>
              <w:t>哈达镇</w:t>
            </w:r>
          </w:p>
        </w:tc>
        <w:tc>
          <w:tcPr>
            <w:tcW w:w="5182" w:type="dxa"/>
            <w:vAlign w:val="center"/>
          </w:tcPr>
          <w:p>
            <w:pPr>
              <w:pStyle w:val="8"/>
              <w:rPr>
                <w:lang w:eastAsia="zh-CN"/>
              </w:rPr>
            </w:pPr>
            <w:r>
              <w:rPr>
                <w:rFonts w:hint="eastAsia"/>
                <w:lang w:eastAsia="zh-CN"/>
              </w:rPr>
              <w:t>窑沟村、长岭村、河青寨村、富尔哈村、下年马洲村、上哈达村、下哈达村、阿及村</w:t>
            </w:r>
          </w:p>
        </w:tc>
      </w:tr>
      <w:tr>
        <w:trPr>
          <w:trHeight w:val="20" w:hRule="atLeast"/>
          <w:jc w:val="center"/>
        </w:trPr>
        <w:tc>
          <w:tcPr>
            <w:tcW w:w="562" w:type="dxa"/>
            <w:vMerge w:val="continue"/>
            <w:vAlign w:val="center"/>
          </w:tcPr>
          <w:p>
            <w:pPr>
              <w:pStyle w:val="8"/>
              <w:rPr>
                <w:b/>
                <w:bCs/>
                <w:lang w:eastAsia="zh-CN"/>
              </w:rPr>
            </w:pPr>
          </w:p>
        </w:tc>
        <w:tc>
          <w:tcPr>
            <w:tcW w:w="1133" w:type="dxa"/>
            <w:vMerge w:val="continue"/>
            <w:vAlign w:val="center"/>
          </w:tcPr>
          <w:p>
            <w:pPr>
              <w:pStyle w:val="8"/>
              <w:rPr>
                <w:lang w:eastAsia="zh-CN"/>
              </w:rPr>
            </w:pPr>
          </w:p>
        </w:tc>
        <w:tc>
          <w:tcPr>
            <w:tcW w:w="1419" w:type="dxa"/>
            <w:vAlign w:val="center"/>
          </w:tcPr>
          <w:p>
            <w:pPr>
              <w:pStyle w:val="8"/>
              <w:rPr>
                <w:lang w:eastAsia="zh-CN"/>
              </w:rPr>
            </w:pPr>
            <w:r>
              <w:rPr>
                <w:rFonts w:hint="eastAsia"/>
                <w:lang w:eastAsia="zh-CN"/>
              </w:rPr>
              <w:t>章党镇</w:t>
            </w:r>
          </w:p>
        </w:tc>
        <w:tc>
          <w:tcPr>
            <w:tcW w:w="5182" w:type="dxa"/>
            <w:vAlign w:val="center"/>
          </w:tcPr>
          <w:p>
            <w:pPr>
              <w:pStyle w:val="8"/>
              <w:rPr>
                <w:lang w:eastAsia="zh-CN"/>
              </w:rPr>
            </w:pPr>
            <w:r>
              <w:rPr>
                <w:rFonts w:hint="eastAsia"/>
                <w:lang w:eastAsia="zh-CN"/>
              </w:rPr>
              <w:t>二伙洛村、黄金村、邱家街村、上鲜村、石门岭村、洼子伙洛村、万金屯村、驿马村、营盘村、榆树村</w:t>
            </w:r>
          </w:p>
        </w:tc>
      </w:tr>
      <w:tr>
        <w:trPr>
          <w:trHeight w:val="20" w:hRule="atLeast"/>
          <w:jc w:val="center"/>
        </w:trPr>
        <w:tc>
          <w:tcPr>
            <w:tcW w:w="562" w:type="dxa"/>
            <w:vMerge w:val="continue"/>
            <w:vAlign w:val="center"/>
          </w:tcPr>
          <w:p>
            <w:pPr>
              <w:pStyle w:val="8"/>
              <w:rPr>
                <w:b/>
                <w:bCs/>
                <w:lang w:eastAsia="zh-CN"/>
              </w:rPr>
            </w:pPr>
          </w:p>
        </w:tc>
        <w:tc>
          <w:tcPr>
            <w:tcW w:w="1133" w:type="dxa"/>
            <w:vMerge w:val="continue"/>
            <w:vAlign w:val="center"/>
          </w:tcPr>
          <w:p>
            <w:pPr>
              <w:pStyle w:val="8"/>
              <w:rPr>
                <w:lang w:eastAsia="zh-CN"/>
              </w:rPr>
            </w:pPr>
          </w:p>
        </w:tc>
        <w:tc>
          <w:tcPr>
            <w:tcW w:w="1419" w:type="dxa"/>
            <w:vAlign w:val="center"/>
          </w:tcPr>
          <w:p>
            <w:pPr>
              <w:pStyle w:val="8"/>
              <w:rPr>
                <w:lang w:eastAsia="zh-CN"/>
              </w:rPr>
            </w:pPr>
            <w:r>
              <w:rPr>
                <w:rFonts w:hint="eastAsia"/>
                <w:lang w:eastAsia="zh-CN"/>
              </w:rPr>
              <w:t>兰山乡</w:t>
            </w:r>
          </w:p>
        </w:tc>
        <w:tc>
          <w:tcPr>
            <w:tcW w:w="5182" w:type="dxa"/>
            <w:vAlign w:val="center"/>
          </w:tcPr>
          <w:p>
            <w:pPr>
              <w:pStyle w:val="8"/>
              <w:rPr>
                <w:lang w:eastAsia="zh-CN"/>
              </w:rPr>
            </w:pPr>
            <w:r>
              <w:rPr>
                <w:rFonts w:hint="eastAsia"/>
                <w:lang w:eastAsia="zh-CN"/>
              </w:rPr>
              <w:t>紫花村、金家村、关家村、兰山村、簸箕村</w:t>
            </w:r>
          </w:p>
        </w:tc>
      </w:tr>
      <w:tr>
        <w:trPr>
          <w:trHeight w:val="20" w:hRule="atLeast"/>
          <w:jc w:val="center"/>
        </w:trPr>
        <w:tc>
          <w:tcPr>
            <w:tcW w:w="562" w:type="dxa"/>
            <w:vMerge w:val="continue"/>
            <w:vAlign w:val="center"/>
          </w:tcPr>
          <w:p>
            <w:pPr>
              <w:pStyle w:val="8"/>
              <w:rPr>
                <w:b/>
                <w:bCs/>
                <w:lang w:eastAsia="zh-CN"/>
              </w:rPr>
            </w:pPr>
          </w:p>
        </w:tc>
        <w:tc>
          <w:tcPr>
            <w:tcW w:w="1133" w:type="dxa"/>
            <w:vMerge w:val="continue"/>
            <w:vAlign w:val="center"/>
          </w:tcPr>
          <w:p>
            <w:pPr>
              <w:pStyle w:val="8"/>
              <w:rPr>
                <w:lang w:eastAsia="zh-CN"/>
              </w:rPr>
            </w:pPr>
          </w:p>
        </w:tc>
        <w:tc>
          <w:tcPr>
            <w:tcW w:w="1419" w:type="dxa"/>
            <w:vAlign w:val="center"/>
          </w:tcPr>
          <w:p>
            <w:pPr>
              <w:pStyle w:val="8"/>
              <w:rPr>
                <w:lang w:eastAsia="zh-CN"/>
              </w:rPr>
            </w:pPr>
            <w:r>
              <w:rPr>
                <w:rFonts w:hint="eastAsia"/>
                <w:lang w:eastAsia="zh-CN"/>
              </w:rPr>
              <w:t>大伙房水库</w:t>
            </w:r>
          </w:p>
        </w:tc>
        <w:tc>
          <w:tcPr>
            <w:tcW w:w="5182" w:type="dxa"/>
            <w:vAlign w:val="center"/>
          </w:tcPr>
          <w:p>
            <w:pPr>
              <w:pStyle w:val="8"/>
              <w:rPr>
                <w:lang w:eastAsia="zh-CN"/>
              </w:rPr>
            </w:pPr>
          </w:p>
        </w:tc>
      </w:tr>
    </w:tbl>
    <w:p>
      <w:pPr>
        <w:tabs>
          <w:tab w:val="left" w:pos="720"/>
        </w:tabs>
        <w:spacing w:line="450" w:lineRule="exact"/>
        <w:jc w:val="center"/>
        <w:rPr>
          <w:rFonts w:ascii="宋体" w:hAnsi="宋体" w:eastAsia="宋体"/>
          <w:sz w:val="28"/>
          <w:szCs w:val="28"/>
        </w:rPr>
      </w:pPr>
      <w:r>
        <w:rPr>
          <w:rFonts w:hint="eastAsia" w:ascii="宋体" w:hAnsi="宋体" w:eastAsia="宋体"/>
          <w:sz w:val="28"/>
          <w:szCs w:val="28"/>
        </w:rPr>
        <w:t>抚顺市市本级国有农用地基准地价标准表</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2843"/>
        <w:gridCol w:w="2842"/>
      </w:tblGrid>
      <w:tr>
        <w:trPr>
          <w:trHeight w:val="339" w:hRule="atLeast"/>
          <w:jc w:val="center"/>
        </w:trPr>
        <w:tc>
          <w:tcPr>
            <w:tcW w:w="2843" w:type="dxa"/>
            <w:vAlign w:val="center"/>
          </w:tcPr>
          <w:p>
            <w:pPr>
              <w:pStyle w:val="8"/>
              <w:rPr>
                <w:lang w:eastAsia="zh-CN"/>
              </w:rPr>
            </w:pPr>
            <w:r>
              <w:rPr>
                <w:rFonts w:hint="eastAsia"/>
                <w:lang w:eastAsia="zh-CN"/>
              </w:rPr>
              <w:t>用途</w:t>
            </w:r>
          </w:p>
        </w:tc>
        <w:tc>
          <w:tcPr>
            <w:tcW w:w="2843" w:type="dxa"/>
            <w:vAlign w:val="center"/>
          </w:tcPr>
          <w:p>
            <w:pPr>
              <w:pStyle w:val="8"/>
              <w:rPr>
                <w:lang w:eastAsia="zh-CN"/>
              </w:rPr>
            </w:pPr>
            <w:r>
              <w:rPr>
                <w:rFonts w:hint="eastAsia"/>
                <w:lang w:eastAsia="zh-CN"/>
              </w:rPr>
              <w:t>级别</w:t>
            </w:r>
          </w:p>
        </w:tc>
        <w:tc>
          <w:tcPr>
            <w:tcW w:w="2842" w:type="dxa"/>
            <w:vAlign w:val="center"/>
          </w:tcPr>
          <w:p>
            <w:pPr>
              <w:pStyle w:val="8"/>
              <w:rPr>
                <w:lang w:eastAsia="zh-CN"/>
              </w:rPr>
            </w:pPr>
            <w:r>
              <w:rPr>
                <w:rFonts w:hint="eastAsia"/>
                <w:lang w:eastAsia="zh-CN"/>
              </w:rPr>
              <w:t>基准地价</w:t>
            </w:r>
          </w:p>
        </w:tc>
      </w:tr>
      <w:tr>
        <w:trPr>
          <w:trHeight w:val="20" w:hRule="atLeast"/>
          <w:jc w:val="center"/>
        </w:trPr>
        <w:tc>
          <w:tcPr>
            <w:tcW w:w="2843" w:type="dxa"/>
            <w:vMerge w:val="restart"/>
            <w:vAlign w:val="center"/>
          </w:tcPr>
          <w:p>
            <w:pPr>
              <w:pStyle w:val="8"/>
              <w:rPr>
                <w:lang w:eastAsia="zh-CN"/>
              </w:rPr>
            </w:pPr>
            <w:r>
              <w:rPr>
                <w:rFonts w:hint="eastAsia"/>
                <w:lang w:eastAsia="zh-CN"/>
              </w:rPr>
              <w:t>旱田</w:t>
            </w:r>
          </w:p>
        </w:tc>
        <w:tc>
          <w:tcPr>
            <w:tcW w:w="2843" w:type="dxa"/>
            <w:vAlign w:val="center"/>
          </w:tcPr>
          <w:p>
            <w:pPr>
              <w:pStyle w:val="8"/>
              <w:rPr>
                <w:lang w:eastAsia="zh-CN"/>
              </w:rPr>
            </w:pPr>
            <w:r>
              <w:rPr>
                <w:rFonts w:hint="eastAsia"/>
                <w:lang w:eastAsia="zh-CN"/>
              </w:rPr>
              <w:t>Ⅰ级</w:t>
            </w:r>
          </w:p>
        </w:tc>
        <w:tc>
          <w:tcPr>
            <w:tcW w:w="2842" w:type="dxa"/>
            <w:vAlign w:val="center"/>
          </w:tcPr>
          <w:p>
            <w:pPr>
              <w:pStyle w:val="8"/>
              <w:rPr>
                <w:lang w:eastAsia="zh-CN"/>
              </w:rPr>
            </w:pPr>
            <w:r>
              <w:rPr>
                <w:lang w:eastAsia="zh-CN"/>
              </w:rPr>
              <w:t>22000</w:t>
            </w:r>
          </w:p>
        </w:tc>
      </w:tr>
      <w:tr>
        <w:trPr>
          <w:trHeight w:val="20" w:hRule="atLeast"/>
          <w:jc w:val="center"/>
        </w:trPr>
        <w:tc>
          <w:tcPr>
            <w:tcW w:w="2843" w:type="dxa"/>
            <w:vMerge w:val="continue"/>
            <w:vAlign w:val="center"/>
          </w:tcPr>
          <w:p>
            <w:pPr>
              <w:pStyle w:val="8"/>
              <w:rPr>
                <w:lang w:eastAsia="zh-CN"/>
              </w:rPr>
            </w:pPr>
          </w:p>
        </w:tc>
        <w:tc>
          <w:tcPr>
            <w:tcW w:w="2843" w:type="dxa"/>
            <w:vAlign w:val="center"/>
          </w:tcPr>
          <w:p>
            <w:pPr>
              <w:pStyle w:val="8"/>
              <w:rPr>
                <w:lang w:eastAsia="zh-CN"/>
              </w:rPr>
            </w:pPr>
            <w:r>
              <w:rPr>
                <w:rFonts w:hint="eastAsia"/>
                <w:lang w:eastAsia="zh-CN"/>
              </w:rPr>
              <w:t>Ⅱ级</w:t>
            </w:r>
          </w:p>
        </w:tc>
        <w:tc>
          <w:tcPr>
            <w:tcW w:w="2842" w:type="dxa"/>
            <w:vAlign w:val="center"/>
          </w:tcPr>
          <w:p>
            <w:pPr>
              <w:pStyle w:val="8"/>
              <w:rPr>
                <w:lang w:eastAsia="zh-CN"/>
              </w:rPr>
            </w:pPr>
            <w:r>
              <w:rPr>
                <w:lang w:eastAsia="zh-CN"/>
              </w:rPr>
              <w:t>19000</w:t>
            </w:r>
          </w:p>
        </w:tc>
      </w:tr>
      <w:tr>
        <w:trPr>
          <w:trHeight w:val="20" w:hRule="atLeast"/>
          <w:jc w:val="center"/>
        </w:trPr>
        <w:tc>
          <w:tcPr>
            <w:tcW w:w="2843" w:type="dxa"/>
            <w:vMerge w:val="continue"/>
            <w:vAlign w:val="center"/>
          </w:tcPr>
          <w:p>
            <w:pPr>
              <w:pStyle w:val="8"/>
              <w:rPr>
                <w:lang w:eastAsia="zh-CN"/>
              </w:rPr>
            </w:pPr>
          </w:p>
        </w:tc>
        <w:tc>
          <w:tcPr>
            <w:tcW w:w="2843" w:type="dxa"/>
            <w:vAlign w:val="center"/>
          </w:tcPr>
          <w:p>
            <w:pPr>
              <w:pStyle w:val="8"/>
              <w:rPr>
                <w:lang w:eastAsia="zh-CN"/>
              </w:rPr>
            </w:pPr>
            <w:r>
              <w:rPr>
                <w:rFonts w:hint="eastAsia"/>
                <w:lang w:eastAsia="zh-CN"/>
              </w:rPr>
              <w:t>Ⅲ级</w:t>
            </w:r>
          </w:p>
        </w:tc>
        <w:tc>
          <w:tcPr>
            <w:tcW w:w="2842" w:type="dxa"/>
            <w:vAlign w:val="center"/>
          </w:tcPr>
          <w:p>
            <w:pPr>
              <w:pStyle w:val="8"/>
              <w:rPr>
                <w:lang w:eastAsia="zh-CN"/>
              </w:rPr>
            </w:pPr>
            <w:r>
              <w:rPr>
                <w:lang w:eastAsia="zh-CN"/>
              </w:rPr>
              <w:t>16000</w:t>
            </w:r>
          </w:p>
        </w:tc>
      </w:tr>
      <w:tr>
        <w:trPr>
          <w:trHeight w:val="20" w:hRule="atLeast"/>
          <w:jc w:val="center"/>
        </w:trPr>
        <w:tc>
          <w:tcPr>
            <w:tcW w:w="2843" w:type="dxa"/>
            <w:vMerge w:val="restart"/>
            <w:vAlign w:val="center"/>
          </w:tcPr>
          <w:p>
            <w:pPr>
              <w:pStyle w:val="8"/>
              <w:rPr>
                <w:lang w:eastAsia="zh-CN"/>
              </w:rPr>
            </w:pPr>
            <w:r>
              <w:rPr>
                <w:rFonts w:hint="eastAsia"/>
                <w:lang w:eastAsia="zh-CN"/>
              </w:rPr>
              <w:t>水浇地</w:t>
            </w:r>
          </w:p>
        </w:tc>
        <w:tc>
          <w:tcPr>
            <w:tcW w:w="2843" w:type="dxa"/>
            <w:vAlign w:val="center"/>
          </w:tcPr>
          <w:p>
            <w:pPr>
              <w:pStyle w:val="8"/>
              <w:rPr>
                <w:lang w:eastAsia="zh-CN"/>
              </w:rPr>
            </w:pPr>
            <w:r>
              <w:rPr>
                <w:rFonts w:hint="eastAsia"/>
                <w:lang w:eastAsia="zh-CN"/>
              </w:rPr>
              <w:t>Ⅰ级</w:t>
            </w:r>
          </w:p>
        </w:tc>
        <w:tc>
          <w:tcPr>
            <w:tcW w:w="2842" w:type="dxa"/>
            <w:vAlign w:val="center"/>
          </w:tcPr>
          <w:p>
            <w:pPr>
              <w:pStyle w:val="8"/>
              <w:rPr>
                <w:lang w:eastAsia="zh-CN"/>
              </w:rPr>
            </w:pPr>
            <w:r>
              <w:rPr>
                <w:lang w:eastAsia="zh-CN"/>
              </w:rPr>
              <w:t>50000</w:t>
            </w:r>
          </w:p>
        </w:tc>
      </w:tr>
      <w:tr>
        <w:trPr>
          <w:trHeight w:val="20" w:hRule="atLeast"/>
          <w:jc w:val="center"/>
        </w:trPr>
        <w:tc>
          <w:tcPr>
            <w:tcW w:w="2843" w:type="dxa"/>
            <w:vMerge w:val="continue"/>
            <w:vAlign w:val="center"/>
          </w:tcPr>
          <w:p>
            <w:pPr>
              <w:pStyle w:val="8"/>
              <w:rPr>
                <w:lang w:eastAsia="zh-CN"/>
              </w:rPr>
            </w:pPr>
          </w:p>
        </w:tc>
        <w:tc>
          <w:tcPr>
            <w:tcW w:w="2843" w:type="dxa"/>
            <w:vAlign w:val="center"/>
          </w:tcPr>
          <w:p>
            <w:pPr>
              <w:pStyle w:val="8"/>
              <w:rPr>
                <w:lang w:eastAsia="zh-CN"/>
              </w:rPr>
            </w:pPr>
            <w:r>
              <w:rPr>
                <w:rFonts w:hint="eastAsia"/>
                <w:lang w:eastAsia="zh-CN"/>
              </w:rPr>
              <w:t>Ⅱ级</w:t>
            </w:r>
          </w:p>
        </w:tc>
        <w:tc>
          <w:tcPr>
            <w:tcW w:w="2842" w:type="dxa"/>
            <w:vAlign w:val="center"/>
          </w:tcPr>
          <w:p>
            <w:pPr>
              <w:pStyle w:val="8"/>
              <w:rPr>
                <w:lang w:eastAsia="zh-CN"/>
              </w:rPr>
            </w:pPr>
            <w:r>
              <w:rPr>
                <w:lang w:eastAsia="zh-CN"/>
              </w:rPr>
              <w:t>42000</w:t>
            </w:r>
          </w:p>
        </w:tc>
      </w:tr>
      <w:tr>
        <w:trPr>
          <w:trHeight w:val="20" w:hRule="atLeast"/>
          <w:jc w:val="center"/>
        </w:trPr>
        <w:tc>
          <w:tcPr>
            <w:tcW w:w="2843" w:type="dxa"/>
            <w:vMerge w:val="continue"/>
            <w:vAlign w:val="center"/>
          </w:tcPr>
          <w:p>
            <w:pPr>
              <w:pStyle w:val="8"/>
              <w:rPr>
                <w:lang w:eastAsia="zh-CN"/>
              </w:rPr>
            </w:pPr>
          </w:p>
        </w:tc>
        <w:tc>
          <w:tcPr>
            <w:tcW w:w="2843" w:type="dxa"/>
            <w:vAlign w:val="center"/>
          </w:tcPr>
          <w:p>
            <w:pPr>
              <w:pStyle w:val="8"/>
              <w:rPr>
                <w:lang w:eastAsia="zh-CN"/>
              </w:rPr>
            </w:pPr>
            <w:r>
              <w:rPr>
                <w:rFonts w:hint="eastAsia"/>
                <w:lang w:eastAsia="zh-CN"/>
              </w:rPr>
              <w:t>Ⅲ级</w:t>
            </w:r>
          </w:p>
        </w:tc>
        <w:tc>
          <w:tcPr>
            <w:tcW w:w="2842" w:type="dxa"/>
            <w:vAlign w:val="center"/>
          </w:tcPr>
          <w:p>
            <w:pPr>
              <w:pStyle w:val="8"/>
              <w:rPr>
                <w:lang w:eastAsia="zh-CN"/>
              </w:rPr>
            </w:pPr>
            <w:r>
              <w:rPr>
                <w:lang w:eastAsia="zh-CN"/>
              </w:rPr>
              <w:t>34000</w:t>
            </w:r>
          </w:p>
        </w:tc>
      </w:tr>
      <w:tr>
        <w:trPr>
          <w:trHeight w:val="20" w:hRule="atLeast"/>
          <w:jc w:val="center"/>
        </w:trPr>
        <w:tc>
          <w:tcPr>
            <w:tcW w:w="2843" w:type="dxa"/>
            <w:vMerge w:val="restart"/>
            <w:vAlign w:val="center"/>
          </w:tcPr>
          <w:p>
            <w:pPr>
              <w:pStyle w:val="8"/>
              <w:rPr>
                <w:lang w:eastAsia="zh-CN"/>
              </w:rPr>
            </w:pPr>
            <w:r>
              <w:rPr>
                <w:rFonts w:hint="eastAsia"/>
                <w:lang w:eastAsia="zh-CN"/>
              </w:rPr>
              <w:t>水田</w:t>
            </w:r>
          </w:p>
        </w:tc>
        <w:tc>
          <w:tcPr>
            <w:tcW w:w="2843" w:type="dxa"/>
            <w:vAlign w:val="center"/>
          </w:tcPr>
          <w:p>
            <w:pPr>
              <w:pStyle w:val="8"/>
              <w:rPr>
                <w:lang w:eastAsia="zh-CN"/>
              </w:rPr>
            </w:pPr>
            <w:r>
              <w:rPr>
                <w:rFonts w:hint="eastAsia"/>
                <w:lang w:eastAsia="zh-CN"/>
              </w:rPr>
              <w:t>Ⅰ级</w:t>
            </w:r>
          </w:p>
        </w:tc>
        <w:tc>
          <w:tcPr>
            <w:tcW w:w="2842" w:type="dxa"/>
            <w:vAlign w:val="center"/>
          </w:tcPr>
          <w:p>
            <w:pPr>
              <w:pStyle w:val="8"/>
              <w:rPr>
                <w:lang w:eastAsia="zh-CN"/>
              </w:rPr>
            </w:pPr>
            <w:r>
              <w:rPr>
                <w:lang w:eastAsia="zh-CN"/>
              </w:rPr>
              <w:t>24000</w:t>
            </w:r>
          </w:p>
        </w:tc>
      </w:tr>
      <w:tr>
        <w:trPr>
          <w:trHeight w:val="20" w:hRule="atLeast"/>
          <w:jc w:val="center"/>
        </w:trPr>
        <w:tc>
          <w:tcPr>
            <w:tcW w:w="2843" w:type="dxa"/>
            <w:vMerge w:val="continue"/>
            <w:vAlign w:val="center"/>
          </w:tcPr>
          <w:p>
            <w:pPr>
              <w:pStyle w:val="8"/>
              <w:rPr>
                <w:lang w:eastAsia="zh-CN"/>
              </w:rPr>
            </w:pPr>
          </w:p>
        </w:tc>
        <w:tc>
          <w:tcPr>
            <w:tcW w:w="2843" w:type="dxa"/>
            <w:vAlign w:val="center"/>
          </w:tcPr>
          <w:p>
            <w:pPr>
              <w:pStyle w:val="8"/>
              <w:rPr>
                <w:lang w:eastAsia="zh-CN"/>
              </w:rPr>
            </w:pPr>
            <w:r>
              <w:rPr>
                <w:rFonts w:hint="eastAsia"/>
                <w:lang w:eastAsia="zh-CN"/>
              </w:rPr>
              <w:t>Ⅱ级</w:t>
            </w:r>
          </w:p>
        </w:tc>
        <w:tc>
          <w:tcPr>
            <w:tcW w:w="2842" w:type="dxa"/>
            <w:vAlign w:val="center"/>
          </w:tcPr>
          <w:p>
            <w:pPr>
              <w:pStyle w:val="8"/>
              <w:rPr>
                <w:lang w:eastAsia="zh-CN"/>
              </w:rPr>
            </w:pPr>
            <w:r>
              <w:rPr>
                <w:lang w:eastAsia="zh-CN"/>
              </w:rPr>
              <w:t>22000</w:t>
            </w:r>
          </w:p>
        </w:tc>
      </w:tr>
      <w:tr>
        <w:trPr>
          <w:trHeight w:val="20" w:hRule="atLeast"/>
          <w:jc w:val="center"/>
        </w:trPr>
        <w:tc>
          <w:tcPr>
            <w:tcW w:w="2843" w:type="dxa"/>
            <w:vMerge w:val="continue"/>
            <w:vAlign w:val="center"/>
          </w:tcPr>
          <w:p>
            <w:pPr>
              <w:pStyle w:val="8"/>
              <w:rPr>
                <w:lang w:eastAsia="zh-CN"/>
              </w:rPr>
            </w:pPr>
          </w:p>
        </w:tc>
        <w:tc>
          <w:tcPr>
            <w:tcW w:w="2843" w:type="dxa"/>
            <w:vAlign w:val="center"/>
          </w:tcPr>
          <w:p>
            <w:pPr>
              <w:pStyle w:val="8"/>
              <w:rPr>
                <w:lang w:eastAsia="zh-CN"/>
              </w:rPr>
            </w:pPr>
            <w:r>
              <w:rPr>
                <w:rFonts w:hint="eastAsia"/>
                <w:lang w:eastAsia="zh-CN"/>
              </w:rPr>
              <w:t>Ⅲ级</w:t>
            </w:r>
          </w:p>
        </w:tc>
        <w:tc>
          <w:tcPr>
            <w:tcW w:w="2842" w:type="dxa"/>
            <w:vAlign w:val="center"/>
          </w:tcPr>
          <w:p>
            <w:pPr>
              <w:pStyle w:val="8"/>
              <w:rPr>
                <w:lang w:eastAsia="zh-CN"/>
              </w:rPr>
            </w:pPr>
            <w:r>
              <w:rPr>
                <w:lang w:eastAsia="zh-CN"/>
              </w:rPr>
              <w:t>18000</w:t>
            </w:r>
          </w:p>
        </w:tc>
      </w:tr>
    </w:tbl>
    <w:p>
      <w:pPr>
        <w:ind w:firstLine="848" w:firstLineChars="303"/>
        <w:jc w:val="left"/>
        <w:rPr>
          <w:rFonts w:ascii="宋体" w:hAnsi="宋体" w:eastAsia="宋体"/>
          <w:sz w:val="28"/>
          <w:szCs w:val="28"/>
        </w:rPr>
      </w:pPr>
    </w:p>
    <w:sectPr>
      <w:footerReference r:id="rId4"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unhideWhenUsed="0" w:uiPriority="0" w:semiHidden="0"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99"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8"/>
    <w:basedOn w:val="1"/>
    <w:next w:val="1"/>
    <w:link w:val="13"/>
    <w:uiPriority w:val="0"/>
    <w:pPr>
      <w:spacing w:after="100"/>
      <w:contextualSpacing/>
      <w:jc w:val="center"/>
      <w:outlineLvl w:val="7"/>
    </w:pPr>
    <w:rPr>
      <w:rFonts w:ascii="Cambria" w:hAnsi="Cambria" w:eastAsia="宋体" w:cs="Times New Roman"/>
      <w:iCs/>
      <w:kern w:val="0"/>
      <w:sz w:val="20"/>
      <w:lang w:eastAsia="en-US" w:bidi="en-US"/>
    </w:rPr>
  </w:style>
  <w:style w:type="character" w:default="1" w:styleId="6">
    <w:name w:val="Default Paragraph Font"/>
    <w:semiHidden/>
    <w:unhideWhenUsed/>
    <w:uiPriority w:val="1"/>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semiHidden/>
    <w:unhideWhenUsed/>
    <w:uiPriority w:val="99"/>
    <w:pPr>
      <w:spacing w:after="120" w:line="480" w:lineRule="auto"/>
    </w:pPr>
  </w:style>
  <w:style w:type="paragraph" w:customStyle="1" w:styleId="7">
    <w:name w:val="List Paragraph"/>
    <w:basedOn w:val="1"/>
    <w:qFormat/>
    <w:uiPriority w:val="34"/>
    <w:pPr>
      <w:ind w:firstLine="420" w:firstLineChars="200"/>
    </w:pPr>
  </w:style>
  <w:style w:type="paragraph" w:customStyle="1" w:styleId="8">
    <w:name w:val="表格样式"/>
    <w:basedOn w:val="5"/>
    <w:uiPriority w:val="0"/>
    <w:pPr>
      <w:snapToGrid w:val="0"/>
      <w:spacing w:after="0" w:line="240" w:lineRule="auto"/>
      <w:jc w:val="center"/>
    </w:pPr>
    <w:rPr>
      <w:rFonts w:ascii="Times New Roman" w:hAnsi="Times New Roman" w:eastAsia="宋体" w:cs="Times New Roman"/>
      <w:iCs/>
      <w:kern w:val="0"/>
      <w:sz w:val="24"/>
      <w:szCs w:val="20"/>
      <w:lang w:eastAsia="en-US" w:bidi="en-US"/>
    </w:rPr>
  </w:style>
  <w:style w:type="paragraph" w:customStyle="1" w:styleId="9">
    <w:name w:val="表格内容1"/>
    <w:basedOn w:val="2"/>
    <w:link w:val="14"/>
    <w:qFormat/>
    <w:uiPriority w:val="0"/>
    <w:pPr>
      <w:snapToGrid w:val="0"/>
      <w:spacing w:after="0"/>
    </w:pPr>
    <w:rPr>
      <w:sz w:val="18"/>
      <w:szCs w:val="16"/>
      <w:lang w:eastAsia="zh-CN"/>
    </w:rPr>
  </w:style>
  <w:style w:type="character" w:customStyle="1" w:styleId="10">
    <w:name w:val="页眉 字符"/>
    <w:basedOn w:val="6"/>
    <w:link w:val="4"/>
    <w:uiPriority w:val="99"/>
    <w:rPr>
      <w:sz w:val="18"/>
      <w:szCs w:val="18"/>
    </w:rPr>
  </w:style>
  <w:style w:type="character" w:customStyle="1" w:styleId="11">
    <w:name w:val="页脚 字符"/>
    <w:basedOn w:val="6"/>
    <w:link w:val="3"/>
    <w:uiPriority w:val="99"/>
    <w:rPr>
      <w:sz w:val="18"/>
      <w:szCs w:val="18"/>
    </w:rPr>
  </w:style>
  <w:style w:type="character" w:customStyle="1" w:styleId="12">
    <w:name w:val="正文文本 2 字符"/>
    <w:basedOn w:val="6"/>
    <w:link w:val="5"/>
    <w:uiPriority w:val="99"/>
    <w:rPr/>
  </w:style>
  <w:style w:type="character" w:customStyle="1" w:styleId="13">
    <w:name w:val="标题 8 字符"/>
    <w:basedOn w:val="6"/>
    <w:link w:val="2"/>
    <w:uiPriority w:val="0"/>
    <w:rPr>
      <w:rFonts w:ascii="Cambria" w:hAnsi="Cambria" w:eastAsia="宋体" w:cs="Times New Roman"/>
      <w:iCs/>
      <w:kern w:val="0"/>
      <w:sz w:val="20"/>
      <w:lang w:eastAsia="en-US" w:bidi="en-US"/>
    </w:rPr>
  </w:style>
  <w:style w:type="character" w:customStyle="1" w:styleId="14">
    <w:name w:val="表格内容1 Char Char"/>
    <w:link w:val="9"/>
    <w:qFormat/>
    <w:uiPriority w:val="0"/>
    <w:rPr>
      <w:rFonts w:ascii="Cambria" w:hAnsi="Cambria" w:eastAsia="宋体" w:cs="Times New Roman"/>
      <w:iCs/>
      <w:kern w:val="0"/>
      <w:sz w:val="18"/>
      <w:szCs w:val="16"/>
      <w:lang w:bidi="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156</Words>
  <Characters>890</Characters>
  <Lines>7</Lines>
  <Paragraphs>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2022-12-15T01:26:00Z</dcterms:created>
  <dc:creator>国地 抚</dc:creator>
  <cp:lastModifiedBy>admin</cp:lastModifiedBy>
  <dcterms:modified xsi:type="dcterms:W3CDTF">2023-04-13T05:56:55Z</dcterms:modified>
  <dc:title>抚顺市人民政府办公室关于公布抚顺市市本级国有农用地土地级别及基准地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