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720"/>
        </w:tabs>
        <w:spacing w:line="450" w:lineRule="exact"/>
        <w:rPr>
          <w:rFonts w:ascii="宋体" w:hAnsi="宋体" w:eastAsia="宋体"/>
          <w:b/>
          <w:bCs/>
          <w:sz w:val="28"/>
          <w:szCs w:val="28"/>
        </w:rPr>
      </w:pPr>
      <w:r>
        <w:rPr>
          <w:rFonts w:hint="eastAsia" w:ascii="宋体" w:hAnsi="宋体" w:eastAsia="宋体"/>
          <w:b/>
          <w:bCs/>
          <w:sz w:val="28"/>
          <w:szCs w:val="28"/>
        </w:rPr>
        <w:t>附件</w:t>
      </w:r>
      <w:r>
        <w:rPr>
          <w:rFonts w:ascii="宋体" w:hAnsi="宋体" w:eastAsia="宋体"/>
          <w:b/>
          <w:bCs/>
          <w:sz w:val="28"/>
          <w:szCs w:val="28"/>
        </w:rPr>
        <w:t>1</w:t>
      </w:r>
      <w:r>
        <w:rPr>
          <w:rFonts w:hint="eastAsia" w:ascii="宋体" w:hAnsi="宋体" w:eastAsia="宋体"/>
          <w:b/>
          <w:bCs/>
          <w:sz w:val="28"/>
          <w:szCs w:val="28"/>
        </w:rPr>
        <w:t>：抚顺市市本级国有农用地基准地价内涵</w:t>
      </w:r>
    </w:p>
    <w:p>
      <w:pPr>
        <w:widowControl/>
        <w:ind w:firstLine="426" w:firstLineChars="152"/>
        <w:jc w:val="left"/>
        <w:rPr>
          <w:rFonts w:ascii="宋体" w:hAnsi="宋体" w:eastAsia="宋体"/>
          <w:sz w:val="28"/>
          <w:szCs w:val="28"/>
        </w:rPr>
      </w:pPr>
      <w:r>
        <w:rPr>
          <w:rFonts w:hint="eastAsia" w:ascii="宋体" w:hAnsi="宋体" w:eastAsia="宋体"/>
          <w:sz w:val="28"/>
          <w:szCs w:val="28"/>
        </w:rPr>
        <w:t>1、适用范围</w:t>
      </w:r>
    </w:p>
    <w:p>
      <w:pPr>
        <w:widowControl/>
        <w:ind w:firstLine="426" w:firstLineChars="152"/>
        <w:jc w:val="left"/>
        <w:rPr>
          <w:rFonts w:ascii="宋体" w:hAnsi="宋体" w:eastAsia="宋体"/>
          <w:sz w:val="28"/>
          <w:szCs w:val="28"/>
        </w:rPr>
      </w:pPr>
      <w:r>
        <w:rPr>
          <w:rFonts w:hint="eastAsia" w:ascii="宋体" w:hAnsi="宋体" w:eastAsia="宋体"/>
          <w:sz w:val="28"/>
          <w:szCs w:val="28"/>
        </w:rPr>
        <w:t>抚顺市市本级行政区范围内的国有农用地（耕地）。</w:t>
      </w:r>
    </w:p>
    <w:p>
      <w:pPr>
        <w:widowControl/>
        <w:ind w:firstLine="426" w:firstLineChars="152"/>
        <w:jc w:val="left"/>
        <w:rPr>
          <w:rFonts w:ascii="宋体" w:hAnsi="宋体" w:eastAsia="宋体"/>
          <w:sz w:val="28"/>
          <w:szCs w:val="28"/>
        </w:rPr>
      </w:pPr>
      <w:r>
        <w:rPr>
          <w:rFonts w:hint="eastAsia" w:ascii="宋体" w:hAnsi="宋体" w:eastAsia="宋体"/>
          <w:sz w:val="28"/>
          <w:szCs w:val="28"/>
        </w:rPr>
        <w:t>2、基准日</w:t>
      </w:r>
    </w:p>
    <w:p>
      <w:pPr>
        <w:widowControl/>
        <w:ind w:firstLine="426" w:firstLineChars="152"/>
        <w:jc w:val="left"/>
        <w:rPr>
          <w:rFonts w:ascii="宋体" w:hAnsi="宋体" w:eastAsia="宋体"/>
          <w:sz w:val="28"/>
          <w:szCs w:val="28"/>
        </w:rPr>
      </w:pPr>
      <w:r>
        <w:rPr>
          <w:rFonts w:hint="eastAsia" w:ascii="宋体" w:hAnsi="宋体" w:eastAsia="宋体"/>
          <w:sz w:val="28"/>
          <w:szCs w:val="28"/>
        </w:rPr>
        <w:t>本次公布的基准地价的基准日为</w:t>
      </w:r>
      <w:r>
        <w:rPr>
          <w:rFonts w:ascii="宋体" w:hAnsi="宋体" w:eastAsia="宋体"/>
          <w:sz w:val="28"/>
          <w:szCs w:val="28"/>
        </w:rPr>
        <w:t>2022年1月1日</w:t>
      </w:r>
    </w:p>
    <w:p>
      <w:pPr>
        <w:widowControl/>
        <w:ind w:firstLine="426" w:firstLineChars="152"/>
        <w:jc w:val="center"/>
        <w:rPr>
          <w:rFonts w:ascii="宋体" w:hAnsi="宋体" w:eastAsia="宋体"/>
          <w:sz w:val="28"/>
          <w:szCs w:val="28"/>
        </w:rPr>
      </w:pPr>
      <w:r>
        <w:rPr>
          <w:rFonts w:ascii="宋体" w:hAnsi="宋体" w:eastAsia="宋体"/>
          <w:sz w:val="28"/>
          <w:szCs w:val="28"/>
        </w:rPr>
        <w:t>国有农用地基准地价内涵表</w:t>
      </w:r>
    </w:p>
    <w:tbl>
      <w:tblPr>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391"/>
        <w:gridCol w:w="1444"/>
        <w:gridCol w:w="3373"/>
        <w:gridCol w:w="1265"/>
      </w:tblGrid>
      <w:tr>
        <w:trPr>
          <w:trHeight w:val="397" w:hRule="atLeast"/>
          <w:jc w:val="center"/>
        </w:trPr>
        <w:tc>
          <w:tcPr>
            <w:tcW w:w="846" w:type="dxa"/>
            <w:vAlign w:val="center"/>
          </w:tcPr>
          <w:p>
            <w:pPr>
              <w:pStyle w:val="8"/>
            </w:pPr>
            <w:r>
              <w:rPr>
                <w:rFonts w:hint="eastAsia"/>
              </w:rPr>
              <w:t>用途</w:t>
            </w:r>
          </w:p>
        </w:tc>
        <w:tc>
          <w:tcPr>
            <w:tcW w:w="1391" w:type="dxa"/>
            <w:vAlign w:val="center"/>
          </w:tcPr>
          <w:p>
            <w:pPr>
              <w:pStyle w:val="8"/>
            </w:pPr>
            <w:r>
              <w:rPr>
                <w:rFonts w:hint="eastAsia"/>
              </w:rPr>
              <w:t>耕作制度</w:t>
            </w:r>
          </w:p>
        </w:tc>
        <w:tc>
          <w:tcPr>
            <w:tcW w:w="1444" w:type="dxa"/>
            <w:vAlign w:val="center"/>
          </w:tcPr>
          <w:p>
            <w:pPr>
              <w:pStyle w:val="8"/>
            </w:pPr>
            <w:r>
              <w:rPr>
                <w:rFonts w:hint="eastAsia"/>
              </w:rPr>
              <w:t>土地使用年限（年）</w:t>
            </w:r>
          </w:p>
        </w:tc>
        <w:tc>
          <w:tcPr>
            <w:tcW w:w="3373" w:type="dxa"/>
            <w:vAlign w:val="center"/>
          </w:tcPr>
          <w:p>
            <w:pPr>
              <w:pStyle w:val="8"/>
            </w:pPr>
            <w:r>
              <w:rPr>
                <w:rFonts w:hint="eastAsia"/>
              </w:rPr>
              <w:t>农田基本设施状况</w:t>
            </w:r>
          </w:p>
        </w:tc>
        <w:tc>
          <w:tcPr>
            <w:tcW w:w="1265" w:type="dxa"/>
            <w:vAlign w:val="center"/>
          </w:tcPr>
          <w:p>
            <w:pPr>
              <w:pStyle w:val="8"/>
            </w:pPr>
            <w:r>
              <w:rPr>
                <w:rFonts w:hint="eastAsia"/>
              </w:rPr>
              <w:t>宗地条件</w:t>
            </w:r>
          </w:p>
        </w:tc>
      </w:tr>
      <w:tr>
        <w:trPr>
          <w:trHeight w:val="783" w:hRule="atLeast"/>
          <w:jc w:val="center"/>
        </w:trPr>
        <w:tc>
          <w:tcPr>
            <w:tcW w:w="846" w:type="dxa"/>
            <w:vAlign w:val="center"/>
          </w:tcPr>
          <w:p>
            <w:pPr>
              <w:pStyle w:val="8"/>
            </w:pPr>
            <w:r>
              <w:rPr>
                <w:rFonts w:hint="eastAsia"/>
              </w:rPr>
              <w:t>水田</w:t>
            </w:r>
          </w:p>
        </w:tc>
        <w:tc>
          <w:tcPr>
            <w:tcW w:w="1391" w:type="dxa"/>
            <w:vAlign w:val="center"/>
          </w:tcPr>
          <w:p>
            <w:pPr>
              <w:pStyle w:val="8"/>
            </w:pPr>
            <w:r>
              <w:rPr>
                <w:rFonts w:hint="eastAsia"/>
              </w:rPr>
              <w:t>一年一熟制</w:t>
            </w:r>
          </w:p>
        </w:tc>
        <w:tc>
          <w:tcPr>
            <w:tcW w:w="1444" w:type="dxa"/>
            <w:vAlign w:val="center"/>
          </w:tcPr>
          <w:p>
            <w:pPr>
              <w:pStyle w:val="8"/>
            </w:pPr>
            <w:r>
              <w:rPr>
                <w:rFonts w:hint="eastAsia"/>
              </w:rPr>
              <w:t>50</w:t>
            </w:r>
          </w:p>
        </w:tc>
        <w:tc>
          <w:tcPr>
            <w:tcW w:w="3373" w:type="dxa"/>
            <w:vAlign w:val="center"/>
          </w:tcPr>
          <w:p>
            <w:pPr>
              <w:pStyle w:val="8"/>
            </w:pPr>
            <w:r>
              <w:rPr>
                <w:rFonts w:hint="eastAsia"/>
              </w:rPr>
              <w:t>宗地外通路、通电、通灌溉、通排水、宗地内具备耕种条件</w:t>
            </w:r>
          </w:p>
        </w:tc>
        <w:tc>
          <w:tcPr>
            <w:tcW w:w="1265" w:type="dxa"/>
            <w:vAlign w:val="center"/>
          </w:tcPr>
          <w:p>
            <w:pPr>
              <w:pStyle w:val="8"/>
            </w:pPr>
            <w:r>
              <w:rPr>
                <w:rFonts w:hint="eastAsia"/>
              </w:rPr>
              <w:t>一般条件</w:t>
            </w:r>
          </w:p>
        </w:tc>
      </w:tr>
      <w:tr>
        <w:trPr>
          <w:trHeight w:val="766" w:hRule="atLeast"/>
          <w:jc w:val="center"/>
        </w:trPr>
        <w:tc>
          <w:tcPr>
            <w:tcW w:w="846" w:type="dxa"/>
            <w:vAlign w:val="center"/>
          </w:tcPr>
          <w:p>
            <w:pPr>
              <w:pStyle w:val="8"/>
            </w:pPr>
            <w:r>
              <w:rPr>
                <w:rFonts w:hint="eastAsia"/>
              </w:rPr>
              <w:t>水浇地</w:t>
            </w:r>
          </w:p>
        </w:tc>
        <w:tc>
          <w:tcPr>
            <w:tcW w:w="1391" w:type="dxa"/>
            <w:vAlign w:val="center"/>
          </w:tcPr>
          <w:p>
            <w:pPr>
              <w:pStyle w:val="8"/>
            </w:pPr>
            <w:r>
              <w:rPr>
                <w:rFonts w:hint="eastAsia"/>
              </w:rPr>
              <w:t>一年二熟制</w:t>
            </w:r>
          </w:p>
        </w:tc>
        <w:tc>
          <w:tcPr>
            <w:tcW w:w="1444" w:type="dxa"/>
            <w:vAlign w:val="center"/>
          </w:tcPr>
          <w:p>
            <w:pPr>
              <w:pStyle w:val="8"/>
            </w:pPr>
            <w:r>
              <w:rPr>
                <w:rFonts w:hint="eastAsia"/>
              </w:rPr>
              <w:t>50</w:t>
            </w:r>
          </w:p>
        </w:tc>
        <w:tc>
          <w:tcPr>
            <w:tcW w:w="3373" w:type="dxa"/>
            <w:vAlign w:val="center"/>
          </w:tcPr>
          <w:p>
            <w:pPr>
              <w:pStyle w:val="8"/>
            </w:pPr>
            <w:r>
              <w:rPr>
                <w:rFonts w:hint="eastAsia"/>
              </w:rPr>
              <w:t>宗地外通路、通电、通灌溉、通排水、宗地内具备耕种条件</w:t>
            </w:r>
          </w:p>
        </w:tc>
        <w:tc>
          <w:tcPr>
            <w:tcW w:w="1265" w:type="dxa"/>
            <w:vAlign w:val="center"/>
          </w:tcPr>
          <w:p>
            <w:pPr>
              <w:pStyle w:val="8"/>
            </w:pPr>
            <w:r>
              <w:rPr>
                <w:rFonts w:hint="eastAsia"/>
              </w:rPr>
              <w:t>一般条件</w:t>
            </w:r>
          </w:p>
        </w:tc>
      </w:tr>
      <w:tr>
        <w:trPr>
          <w:trHeight w:val="514" w:hRule="atLeast"/>
          <w:jc w:val="center"/>
        </w:trPr>
        <w:tc>
          <w:tcPr>
            <w:tcW w:w="846" w:type="dxa"/>
            <w:vAlign w:val="center"/>
          </w:tcPr>
          <w:p>
            <w:pPr>
              <w:pStyle w:val="8"/>
            </w:pPr>
            <w:r>
              <w:rPr>
                <w:rFonts w:hint="eastAsia"/>
              </w:rPr>
              <w:t>旱地</w:t>
            </w:r>
          </w:p>
        </w:tc>
        <w:tc>
          <w:tcPr>
            <w:tcW w:w="1391" w:type="dxa"/>
            <w:vAlign w:val="center"/>
          </w:tcPr>
          <w:p>
            <w:pPr>
              <w:pStyle w:val="8"/>
            </w:pPr>
            <w:r>
              <w:rPr>
                <w:rFonts w:hint="eastAsia"/>
              </w:rPr>
              <w:t>一年一熟制</w:t>
            </w:r>
          </w:p>
        </w:tc>
        <w:tc>
          <w:tcPr>
            <w:tcW w:w="1444" w:type="dxa"/>
            <w:vAlign w:val="center"/>
          </w:tcPr>
          <w:p>
            <w:pPr>
              <w:pStyle w:val="8"/>
            </w:pPr>
            <w:r>
              <w:rPr>
                <w:rFonts w:hint="eastAsia"/>
              </w:rPr>
              <w:t>50</w:t>
            </w:r>
          </w:p>
        </w:tc>
        <w:tc>
          <w:tcPr>
            <w:tcW w:w="3373" w:type="dxa"/>
            <w:vAlign w:val="center"/>
          </w:tcPr>
          <w:p>
            <w:pPr>
              <w:pStyle w:val="8"/>
            </w:pPr>
            <w:r>
              <w:rPr>
                <w:rFonts w:hint="eastAsia"/>
              </w:rPr>
              <w:t>宗地外通路、宗地内具备耕种条件</w:t>
            </w:r>
          </w:p>
        </w:tc>
        <w:tc>
          <w:tcPr>
            <w:tcW w:w="1265" w:type="dxa"/>
            <w:vAlign w:val="center"/>
          </w:tcPr>
          <w:p>
            <w:pPr>
              <w:pStyle w:val="8"/>
            </w:pPr>
            <w:r>
              <w:rPr>
                <w:rFonts w:hint="eastAsia"/>
              </w:rPr>
              <w:t>一般条件</w:t>
            </w:r>
          </w:p>
        </w:tc>
      </w:tr>
    </w:tbl>
    <w:p>
      <w:pPr>
        <w:tabs>
          <w:tab w:val="left" w:pos="720"/>
        </w:tabs>
        <w:spacing w:line="450" w:lineRule="exact"/>
        <w:rPr>
          <w:rFonts w:ascii="宋体" w:hAnsi="宋体" w:eastAsia="宋体"/>
          <w:b/>
          <w:bCs/>
          <w:sz w:val="28"/>
          <w:szCs w:val="28"/>
        </w:rPr>
      </w:pPr>
    </w:p>
    <w:p>
      <w:pPr>
        <w:widowControl/>
        <w:jc w:val="left"/>
        <w:rPr>
          <w:rFonts w:ascii="宋体" w:hAnsi="宋体" w:eastAsia="宋体"/>
          <w:b/>
          <w:bCs/>
          <w:sz w:val="28"/>
          <w:szCs w:val="28"/>
        </w:rPr>
      </w:pPr>
    </w:p>
    <w:p>
      <w:pPr>
        <w:ind w:firstLine="848" w:firstLineChars="303"/>
        <w:jc w:val="left"/>
        <w:rPr>
          <w:rFonts w:ascii="宋体" w:hAnsi="宋体" w:eastAsia="宋体"/>
          <w:sz w:val="28"/>
          <w:szCs w:val="28"/>
        </w:rPr>
      </w:pPr>
      <w:bookmarkStart w:id="0" w:name="_GoBack"/>
      <w:bookmarkEnd w:id="0"/>
    </w:p>
    <w:sectPr>
      <w:footerReference r:id="rId4" w:type="default"/>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等线">
    <w:altName w:val="宋体"/>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2FF" w:usb1="400004FF" w:usb2="00000000" w:usb3="00000000" w:csb0="2000019F" w:csb1="00000000"/>
  </w:font>
  <w:font w:name="等线 Light">
    <w:altName w:val="宋体"/>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00"/>
    <w:family w:val="auto"/>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2FF" w:usb1="420024FF" w:usb2="00000000" w:usb3="00000000" w:csb0="2000019F" w:csb1="00000000"/>
  </w:font>
  <w:font w:name="SourceHanSansCN-Regular">
    <w:altName w:val="Arial Unicode MS"/>
    <w:panose1 w:val="00000000000000000000"/>
    <w:charset w:val="01"/>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center"/>
    </w:pPr>
    <w:r>
      <w:fldChar w:fldCharType="begin"/>
    </w:r>
    <w:r>
      <w:instrText xml:space="preserve">PAGE   \* MERGEFORMAT</w:instrText>
    </w:r>
    <w:r>
      <w:fldChar w:fldCharType="separate"/>
    </w:r>
    <w:r>
      <w:t>1</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unhideWhenUsed="0" w:uiPriority="0" w:semiHidden="0"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99"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8"/>
    <w:basedOn w:val="1"/>
    <w:next w:val="1"/>
    <w:link w:val="13"/>
    <w:uiPriority w:val="0"/>
    <w:pPr>
      <w:spacing w:after="100"/>
      <w:contextualSpacing/>
      <w:jc w:val="center"/>
      <w:outlineLvl w:val="7"/>
    </w:pPr>
    <w:rPr>
      <w:rFonts w:ascii="Cambria" w:hAnsi="Cambria" w:eastAsia="宋体" w:cs="Times New Roman"/>
      <w:iCs/>
      <w:kern w:val="0"/>
      <w:sz w:val="20"/>
      <w:lang w:eastAsia="en-US" w:bidi="en-US"/>
    </w:rPr>
  </w:style>
  <w:style w:type="character" w:default="1" w:styleId="6">
    <w:name w:val="Default Paragraph Font"/>
    <w:semiHidden/>
    <w:unhideWhenUsed/>
    <w:uiPriority w:val="1"/>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Body Text 2"/>
    <w:basedOn w:val="1"/>
    <w:link w:val="12"/>
    <w:semiHidden/>
    <w:unhideWhenUsed/>
    <w:uiPriority w:val="99"/>
    <w:pPr>
      <w:spacing w:after="120" w:line="480" w:lineRule="auto"/>
    </w:pPr>
  </w:style>
  <w:style w:type="paragraph" w:customStyle="1" w:styleId="7">
    <w:name w:val="List Paragraph"/>
    <w:basedOn w:val="1"/>
    <w:qFormat/>
    <w:uiPriority w:val="34"/>
    <w:pPr>
      <w:ind w:firstLine="420" w:firstLineChars="200"/>
    </w:pPr>
  </w:style>
  <w:style w:type="paragraph" w:customStyle="1" w:styleId="8">
    <w:name w:val="表格样式"/>
    <w:basedOn w:val="5"/>
    <w:uiPriority w:val="0"/>
    <w:pPr>
      <w:snapToGrid w:val="0"/>
      <w:spacing w:after="0" w:line="240" w:lineRule="auto"/>
      <w:jc w:val="center"/>
    </w:pPr>
    <w:rPr>
      <w:rFonts w:ascii="Times New Roman" w:hAnsi="Times New Roman" w:eastAsia="宋体" w:cs="Times New Roman"/>
      <w:iCs/>
      <w:kern w:val="0"/>
      <w:sz w:val="24"/>
      <w:szCs w:val="20"/>
      <w:lang w:eastAsia="en-US" w:bidi="en-US"/>
    </w:rPr>
  </w:style>
  <w:style w:type="paragraph" w:customStyle="1" w:styleId="9">
    <w:name w:val="表格内容1"/>
    <w:basedOn w:val="2"/>
    <w:link w:val="14"/>
    <w:qFormat/>
    <w:uiPriority w:val="0"/>
    <w:pPr>
      <w:snapToGrid w:val="0"/>
      <w:spacing w:after="0"/>
    </w:pPr>
    <w:rPr>
      <w:sz w:val="18"/>
      <w:szCs w:val="16"/>
      <w:lang w:eastAsia="zh-CN"/>
    </w:rPr>
  </w:style>
  <w:style w:type="character" w:customStyle="1" w:styleId="10">
    <w:name w:val="页眉 字符"/>
    <w:basedOn w:val="6"/>
    <w:link w:val="4"/>
    <w:uiPriority w:val="99"/>
    <w:rPr>
      <w:sz w:val="18"/>
      <w:szCs w:val="18"/>
    </w:rPr>
  </w:style>
  <w:style w:type="character" w:customStyle="1" w:styleId="11">
    <w:name w:val="页脚 字符"/>
    <w:basedOn w:val="6"/>
    <w:link w:val="3"/>
    <w:uiPriority w:val="99"/>
    <w:rPr>
      <w:sz w:val="18"/>
      <w:szCs w:val="18"/>
    </w:rPr>
  </w:style>
  <w:style w:type="character" w:customStyle="1" w:styleId="12">
    <w:name w:val="正文文本 2 字符"/>
    <w:basedOn w:val="6"/>
    <w:link w:val="5"/>
    <w:uiPriority w:val="99"/>
    <w:rPr/>
  </w:style>
  <w:style w:type="character" w:customStyle="1" w:styleId="13">
    <w:name w:val="标题 8 字符"/>
    <w:basedOn w:val="6"/>
    <w:link w:val="2"/>
    <w:uiPriority w:val="0"/>
    <w:rPr>
      <w:rFonts w:ascii="Cambria" w:hAnsi="Cambria" w:eastAsia="宋体" w:cs="Times New Roman"/>
      <w:iCs/>
      <w:kern w:val="0"/>
      <w:sz w:val="20"/>
      <w:lang w:eastAsia="en-US" w:bidi="en-US"/>
    </w:rPr>
  </w:style>
  <w:style w:type="character" w:customStyle="1" w:styleId="14">
    <w:name w:val="表格内容1 Char Char"/>
    <w:link w:val="9"/>
    <w:qFormat/>
    <w:uiPriority w:val="0"/>
    <w:rPr>
      <w:rFonts w:ascii="Cambria" w:hAnsi="Cambria" w:eastAsia="宋体" w:cs="Times New Roman"/>
      <w:iCs/>
      <w:kern w:val="0"/>
      <w:sz w:val="18"/>
      <w:szCs w:val="16"/>
      <w:lang w:bidi="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156</Words>
  <Characters>890</Characters>
  <Lines>7</Lines>
  <Paragraphs>2</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2022-12-15T01:26:00Z</dcterms:created>
  <dc:creator>国地 抚</dc:creator>
  <cp:lastModifiedBy>admin</cp:lastModifiedBy>
  <dcterms:modified xsi:type="dcterms:W3CDTF">2023-04-13T05:55:29Z</dcterms:modified>
  <dc:title>抚顺市人民政府办公室关于公布抚顺市市本级国有农用地土地级别及基准地</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