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pacing w:line="640" w:lineRule="exact"/>
        <w:textAlignment w:val="auto"/>
        <w:rPr>
          <w:rFonts w:hint="eastAsia" w:ascii="黑体" w:hAnsi="黑体" w:eastAsia="黑体" w:cs="黑体"/>
          <w:sz w:val="32"/>
          <w:szCs w:val="32"/>
          <w:lang w:val="en-US" w:eastAsia="zh-CN"/>
        </w:rPr>
      </w:pPr>
      <w:bookmarkStart w:id="0" w:name="_GoBack"/>
      <w:bookmarkEnd w:id="0"/>
    </w:p>
    <w:p>
      <w:pPr>
        <w:pStyle w:val="2"/>
        <w:keepNext w:val="0"/>
        <w:keepLines w:val="0"/>
        <w:pageBreakBefore w:val="0"/>
        <w:kinsoku/>
        <w:wordWrap/>
        <w:overflowPunct/>
        <w:topLinePunct w:val="0"/>
        <w:autoSpaceDE/>
        <w:autoSpaceDN/>
        <w:bidi w:val="0"/>
        <w:adjustRightInd/>
        <w:spacing w:line="640" w:lineRule="exact"/>
        <w:textAlignment w:val="auto"/>
        <w:rPr>
          <w:rFonts w:hint="eastAsia" w:ascii="方正小标宋简体" w:hAnsi="方正小标宋简体" w:eastAsia="方正小标宋简体" w:cs="方正小标宋简体"/>
          <w:kern w:val="0"/>
          <w:sz w:val="44"/>
          <w:szCs w:val="44"/>
          <w:lang w:val="en-US" w:eastAsia="zh-CN" w:bidi="ar"/>
        </w:rPr>
      </w:pPr>
    </w:p>
    <w:p>
      <w:pPr>
        <w:keepNext w:val="0"/>
        <w:keepLines w:val="0"/>
        <w:pageBreakBefore w:val="0"/>
        <w:kinsoku/>
        <w:wordWrap/>
        <w:overflowPunct/>
        <w:topLinePunct w:val="0"/>
        <w:autoSpaceDE/>
        <w:autoSpaceDN/>
        <w:bidi w:val="0"/>
        <w:adjustRightInd/>
        <w:spacing w:line="64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880" w:firstLineChars="200"/>
        <w:jc w:val="left"/>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抚顺市人民政府关于废止和修改部分</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kern w:val="0"/>
          <w:sz w:val="44"/>
          <w:szCs w:val="44"/>
          <w:lang w:val="en-US" w:eastAsia="zh-CN" w:bidi="ar"/>
        </w:rPr>
        <w:t>市政府文件的决定（征求意见稿）</w:t>
      </w:r>
    </w:p>
    <w:p>
      <w:pPr>
        <w:keepNext w:val="0"/>
        <w:keepLines w:val="0"/>
        <w:pageBreakBefore w:val="0"/>
        <w:widowControl/>
        <w:suppressLineNumbers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sz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市政府决定对部分市政府文件予以废止和修改，决定废止23件、修改8件。</w:t>
      </w:r>
    </w:p>
    <w:p>
      <w:pPr>
        <w:keepNext w:val="0"/>
        <w:keepLines w:val="0"/>
        <w:pageBreakBefore w:val="0"/>
        <w:widowControl/>
        <w:suppressLineNumbers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对于废止文件，自本决定发布之日起停止执行；对于修改的文件，自本决定发布之日起重新发布，有关部门（单位）要抓好文件的贯彻落实，确保文件实施效果。</w:t>
      </w:r>
    </w:p>
    <w:p>
      <w:pPr>
        <w:pStyle w:val="2"/>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 xml:space="preserve">    附件：1.废止政策措施目录</w:t>
      </w:r>
    </w:p>
    <w:p>
      <w:pPr>
        <w:keepNext w:val="0"/>
        <w:keepLines w:val="0"/>
        <w:pageBreakBefore w:val="0"/>
        <w:kinsoku/>
        <w:wordWrap/>
        <w:overflowPunct/>
        <w:topLinePunct w:val="0"/>
        <w:autoSpaceDE/>
        <w:autoSpaceDN/>
        <w:bidi w:val="0"/>
        <w:adjustRightInd/>
        <w:snapToGrid/>
        <w:spacing w:line="640" w:lineRule="exact"/>
        <w:textAlignment w:val="auto"/>
        <w:rPr>
          <w:rFonts w:hint="default"/>
          <w:lang w:val="en-US" w:eastAsia="zh-CN"/>
        </w:rPr>
      </w:pPr>
      <w:r>
        <w:rPr>
          <w:rFonts w:hint="eastAsia" w:ascii="仿宋_GB2312" w:hAnsi="仿宋_GB2312" w:eastAsia="仿宋_GB2312"/>
          <w:sz w:val="32"/>
          <w:lang w:val="en-US" w:eastAsia="zh-CN"/>
        </w:rPr>
        <w:t xml:space="preserve">          2.修改政策措施目录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ascii="microsoft yahei" w:hAnsi="microsoft yahei" w:eastAsia="microsoft yahei" w:cs="microsoft yahei"/>
          <w:i w:val="0"/>
          <w:caps w:val="0"/>
          <w:color w:val="000000"/>
          <w:spacing w:val="0"/>
          <w:sz w:val="24"/>
          <w:szCs w:val="24"/>
        </w:rPr>
      </w:pPr>
      <w:r>
        <w:rPr>
          <w:rStyle w:val="10"/>
          <w:rFonts w:hint="default" w:ascii="microsoft yahei" w:hAnsi="microsoft yahei" w:eastAsia="microsoft yahei" w:cs="microsoft yahei"/>
          <w:i w:val="0"/>
          <w:caps w:val="0"/>
          <w:color w:val="000000"/>
          <w:spacing w:val="0"/>
          <w:sz w:val="24"/>
          <w:szCs w:val="24"/>
          <w:shd w:val="clear" w:fill="FFFFFF"/>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Times New Roman"/>
          <w:kern w:val="2"/>
          <w:sz w:val="32"/>
          <w:szCs w:val="22"/>
          <w:lang w:val="en-US" w:eastAsia="zh-CN" w:bidi="ar-SA"/>
        </w:rPr>
      </w:pPr>
      <w:r>
        <w:rPr>
          <w:rFonts w:hint="default" w:ascii="microsoft yahei" w:hAnsi="microsoft yahei" w:eastAsia="microsoft yahei" w:cs="microsoft yahei"/>
          <w:i w:val="0"/>
          <w:caps w:val="0"/>
          <w:color w:val="000000"/>
          <w:spacing w:val="0"/>
          <w:sz w:val="24"/>
          <w:szCs w:val="24"/>
          <w:shd w:val="clear" w:fill="FFFFFF"/>
        </w:rPr>
        <w:t>       </w:t>
      </w:r>
      <w:r>
        <w:rPr>
          <w:rFonts w:hint="default" w:ascii="仿宋_GB2312" w:hAnsi="仿宋_GB2312" w:eastAsia="仿宋_GB2312" w:cs="Times New Roman"/>
          <w:kern w:val="2"/>
          <w:sz w:val="32"/>
          <w:szCs w:val="22"/>
          <w:lang w:val="en-US" w:eastAsia="zh-CN" w:bidi="ar-SA"/>
        </w:rPr>
        <w:t> </w:t>
      </w:r>
      <w:r>
        <w:rPr>
          <w:rFonts w:hint="eastAsia" w:ascii="仿宋_GB2312" w:hAnsi="仿宋_GB2312" w:eastAsia="仿宋_GB2312" w:cs="Times New Roman"/>
          <w:kern w:val="2"/>
          <w:sz w:val="32"/>
          <w:szCs w:val="22"/>
          <w:lang w:val="en-US" w:eastAsia="zh-CN" w:bidi="ar-SA"/>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5120" w:firstLineChars="1600"/>
        <w:jc w:val="left"/>
        <w:textAlignment w:val="auto"/>
        <w:rPr>
          <w:rFonts w:hint="eastAsia" w:ascii="仿宋_GB2312" w:hAnsi="仿宋_GB2312" w:eastAsia="仿宋_GB2312" w:cs="Times New Roman"/>
          <w:kern w:val="2"/>
          <w:sz w:val="32"/>
          <w:szCs w:val="22"/>
          <w:lang w:val="en-US" w:eastAsia="zh-CN" w:bidi="ar-SA"/>
        </w:rPr>
      </w:pPr>
      <w:r>
        <w:rPr>
          <w:rFonts w:hint="default" w:ascii="仿宋_GB2312" w:hAnsi="仿宋_GB2312" w:eastAsia="仿宋_GB2312" w:cs="Times New Roman"/>
          <w:kern w:val="2"/>
          <w:sz w:val="32"/>
          <w:szCs w:val="22"/>
          <w:lang w:val="en-US" w:eastAsia="zh-CN" w:bidi="ar-SA"/>
        </w:rPr>
        <w:t> </w:t>
      </w:r>
      <w:r>
        <w:rPr>
          <w:rFonts w:hint="eastAsia" w:ascii="仿宋_GB2312" w:hAnsi="仿宋_GB2312" w:eastAsia="仿宋_GB2312" w:cs="Times New Roman"/>
          <w:kern w:val="2"/>
          <w:sz w:val="32"/>
          <w:szCs w:val="22"/>
          <w:lang w:val="en-US" w:eastAsia="zh-CN" w:bidi="ar-SA"/>
        </w:rPr>
        <w:t>抚顺市人民政府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5120" w:firstLineChars="1600"/>
        <w:jc w:val="left"/>
        <w:textAlignment w:val="auto"/>
        <w:rPr>
          <w:rFonts w:hint="default" w:ascii="仿宋_GB2312" w:hAnsi="仿宋_GB2312" w:eastAsia="仿宋_GB2312" w:cs="Times New Roman"/>
          <w:kern w:val="2"/>
          <w:sz w:val="32"/>
          <w:szCs w:val="22"/>
          <w:lang w:val="en-US" w:eastAsia="zh-CN" w:bidi="ar-SA"/>
        </w:rPr>
      </w:pPr>
      <w:r>
        <w:rPr>
          <w:rFonts w:hint="eastAsia" w:ascii="仿宋_GB2312" w:hAnsi="仿宋_GB2312" w:eastAsia="仿宋_GB2312" w:cs="Times New Roman"/>
          <w:kern w:val="2"/>
          <w:sz w:val="32"/>
          <w:szCs w:val="22"/>
          <w:lang w:val="en-US" w:eastAsia="zh-CN" w:bidi="ar-SA"/>
        </w:rPr>
        <w:t>2025年   月   日</w:t>
      </w: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Times New Roman"/>
          <w:kern w:val="2"/>
          <w:sz w:val="32"/>
          <w:szCs w:val="2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28"/>
          <w:szCs w:val="28"/>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32"/>
          <w:highlight w:val="none"/>
          <w:lang w:val="en-US" w:eastAsia="zh-CN"/>
        </w:rPr>
      </w:pPr>
      <w:r>
        <w:rPr>
          <w:rFonts w:hint="eastAsia" w:ascii="黑体" w:hAnsi="黑体" w:eastAsia="黑体" w:cs="黑体"/>
          <w:sz w:val="28"/>
          <w:szCs w:val="28"/>
          <w:highlight w:val="none"/>
          <w:lang w:val="en-US" w:eastAsia="zh-CN"/>
        </w:rPr>
        <w:t xml:space="preserve">附件1 </w:t>
      </w:r>
      <w:r>
        <w:rPr>
          <w:rFonts w:hint="eastAsia" w:ascii="黑体" w:hAnsi="黑体" w:eastAsia="黑体" w:cs="黑体"/>
          <w:sz w:val="32"/>
          <w:highlight w:val="non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lang w:val="en-US" w:eastAsia="zh-CN"/>
        </w:rPr>
      </w:pPr>
      <w:r>
        <w:rPr>
          <w:rFonts w:hint="eastAsia" w:ascii="黑体" w:hAnsi="黑体" w:eastAsia="黑体" w:cs="黑体"/>
          <w:sz w:val="32"/>
          <w:highlight w:val="none"/>
          <w:lang w:val="en-US" w:eastAsia="zh-CN"/>
        </w:rPr>
        <w:t>废止</w:t>
      </w:r>
      <w:r>
        <w:rPr>
          <w:rFonts w:hint="eastAsia" w:ascii="黑体" w:hAnsi="黑体" w:eastAsia="黑体" w:cs="黑体"/>
          <w:sz w:val="32"/>
          <w:lang w:val="en-US" w:eastAsia="zh-CN"/>
        </w:rPr>
        <w:t>政策措施目录</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1.《抚顺市人民政府关于加快物流业发展的实施意见</w:t>
      </w:r>
      <w:r>
        <w:rPr>
          <w:rFonts w:hint="eastAsia" w:ascii="仿宋_GB2312" w:hAnsi="仿宋_GB2312" w:eastAsia="仿宋_GB2312" w:cs="仿宋_GB2312"/>
          <w:sz w:val="32"/>
          <w:szCs w:val="32"/>
          <w:lang w:val="en-US" w:eastAsia="zh-CN"/>
        </w:rPr>
        <w:t>》（抚政发〔2017〕8号）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0"/>
          <w:sz w:val="32"/>
          <w:szCs w:val="32"/>
          <w:lang w:val="en-US" w:eastAsia="zh-CN" w:bidi="ar"/>
        </w:rPr>
        <w:t>《抚顺市人民政府关于印发抚顺市推进服务业供给侧结构性改革实施方案的通知</w:t>
      </w:r>
      <w:r>
        <w:rPr>
          <w:rFonts w:hint="eastAsia" w:ascii="仿宋_GB2312" w:hAnsi="仿宋_GB2312" w:eastAsia="仿宋_GB2312" w:cs="仿宋_GB2312"/>
          <w:sz w:val="32"/>
          <w:szCs w:val="32"/>
          <w:lang w:val="en-US" w:eastAsia="zh-CN"/>
        </w:rPr>
        <w:t>》（抚政发〔2017〕7号）</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3.《抚顺市人民政府关于支持辽宁（抚顺）碳纤维产业基地发展政策的意见》（抚政发〔2009〕22号）</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4.《关于印发抚顺市引进项目和争取资金奖励办法的通知》（抚政发〔2008〕10号）</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5.《抚顺市人民政府办公室关于印发抚顺市“十四五”能源发展规划的通知》（抚政办发〔2022〕41号）</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6.《抚顺市人民政府办公室关于印发抚顺市国家级高附加值新型原材料基地建设“十四五”专项规划的通知》（抚政办发〔2022〕17号）</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7.《关于印发抚顺市融入沈阳现代化都市圈建设实施方案（2022-2025年）的通知》（抚政办发〔2022〕14号）</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8.《关于印发抚顺市融入辽东绿色经济区建设实施方案（2022-2025年）的通知》（抚政办发〔2022〕13号）</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9.《抚顺市人民政府办公室关于印发抚顺市服务业发展“十四五”规划的通知》（抚政办发〔2022〕6号）</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10.《抚顺市人民政府办公室关于印发抚顺市新型清洁能源产业“十四五”发展规划的通知》（抚政办发〔2021〕28号）</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11.《抚顺市人民政府办公室关于印发抚顺市煤矸石综合利用产业“十四五”发展规划的通知》（抚政办发〔2021〕27号）</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12.《抚顺市人民政府办公室关于印发抚顺市促进商贸流通高质量发展推动消费升级方案的通知》（抚政办发〔2020〕18号）</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13.《抚顺市人民政府办公室关于印发抚顺市推进清洁取暖实施方案的通知》（抚政办发〔2019〕34号）</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14.《抚顺市人民政府办公室关于积极推进供应链创新与应用的实施意见》（抚政办发〔2019〕33号）</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15.《抚顺市人民政府关于扶持鹿产业发展的意见》（抚政发〔2009〕23号）</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16.《关于加快农产品加工业发展的意见》（抚政发〔2008〕22号）</w:t>
      </w:r>
    </w:p>
    <w:p>
      <w:pPr>
        <w:pStyle w:val="2"/>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17.《关于印发抚顺市加快发展现代农业若干政策的通知》2007年5月31日印发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18.《关于扶持农业产业化重点龙头企业发展的若干意见》（抚政发〔2004〕23号）</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19.《抚顺市人民政府办公室关于印发抚顺市冶金高端新材料产业“十四五”发展规划的通知》（抚政办发〔2021〕26号）  </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20.抚顺市人民政府办公室关于印发抚顺市“十四五”金融业发展规划的通知（抚政办发〔2022〕34号）</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21.抚顺市人民政府办公室关于印发抚顺市特色农产品深加工产业“十四五”发展规划的通知（抚政办发〔2021〕29号）</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22.抚顺市人民政府办公室关于印发抚顺市 “十四五”科技创新规划的通知（抚政办发〔2022〕29号）</w:t>
      </w:r>
    </w:p>
    <w:p>
      <w:pPr>
        <w:pStyle w:val="2"/>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28"/>
          <w:szCs w:val="28"/>
          <w:highlight w:val="none"/>
          <w:lang w:val="en-US" w:eastAsia="zh-CN"/>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highlight w:val="none"/>
          <w:lang w:val="en-US" w:eastAsia="zh-CN"/>
        </w:rPr>
        <w:t>《抚顺市人民政府关于印发抚顺市推进职业教育实用高效发展实施方案的通知》（抚政发〔2021〕12号）</w:t>
      </w: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28"/>
          <w:szCs w:val="28"/>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28"/>
          <w:szCs w:val="28"/>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28"/>
          <w:szCs w:val="28"/>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28"/>
          <w:szCs w:val="28"/>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28"/>
          <w:szCs w:val="28"/>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32"/>
          <w:highlight w:val="none"/>
          <w:lang w:val="en-US" w:eastAsia="zh-CN"/>
        </w:rPr>
      </w:pPr>
      <w:r>
        <w:rPr>
          <w:rFonts w:hint="eastAsia" w:ascii="黑体" w:hAnsi="黑体" w:eastAsia="黑体" w:cs="黑体"/>
          <w:sz w:val="28"/>
          <w:szCs w:val="28"/>
          <w:highlight w:val="none"/>
          <w:lang w:val="en-US" w:eastAsia="zh-CN"/>
        </w:rPr>
        <w:t>附件2</w:t>
      </w:r>
      <w:r>
        <w:rPr>
          <w:rFonts w:hint="eastAsia" w:ascii="黑体" w:hAnsi="黑体" w:eastAsia="黑体" w:cs="黑体"/>
          <w:sz w:val="32"/>
          <w:highlight w:val="non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lang w:val="en-US" w:eastAsia="zh-CN"/>
        </w:rPr>
      </w:pPr>
      <w:r>
        <w:rPr>
          <w:rFonts w:hint="eastAsia" w:ascii="黑体" w:hAnsi="黑体" w:eastAsia="黑体" w:cs="黑体"/>
          <w:sz w:val="32"/>
          <w:highlight w:val="none"/>
          <w:lang w:val="en-US" w:eastAsia="zh-CN"/>
        </w:rPr>
        <w:t>修改</w:t>
      </w:r>
      <w:r>
        <w:rPr>
          <w:rFonts w:hint="eastAsia" w:ascii="黑体" w:hAnsi="黑体" w:eastAsia="黑体" w:cs="黑体"/>
          <w:sz w:val="32"/>
          <w:lang w:val="en-US" w:eastAsia="zh-CN"/>
        </w:rPr>
        <w:t>政策措施目录</w:t>
      </w:r>
    </w:p>
    <w:p>
      <w:pPr>
        <w:keepNext w:val="0"/>
        <w:keepLines w:val="0"/>
        <w:pageBreakBefore w:val="0"/>
        <w:widowControl w:val="0"/>
        <w:numPr>
          <w:ilvl w:val="0"/>
          <w:numId w:val="0"/>
        </w:numPr>
        <w:kinsoku/>
        <w:wordWrap/>
        <w:overflowPunct/>
        <w:topLinePunct w:val="0"/>
        <w:autoSpaceDE/>
        <w:autoSpaceDN/>
        <w:bidi w:val="0"/>
        <w:adjustRightInd/>
        <w:snapToGrid w:val="0"/>
        <w:spacing w:line="640" w:lineRule="exact"/>
        <w:ind w:firstLine="640" w:firstLineChars="200"/>
        <w:textAlignment w:val="auto"/>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kern w:val="0"/>
          <w:sz w:val="32"/>
          <w:szCs w:val="32"/>
          <w:lang w:val="en-US" w:eastAsia="zh-CN" w:bidi="ar"/>
        </w:rPr>
        <w:t>《抚顺市人民政府关于印发抚顺市碳达峰实施方案的通知</w:t>
      </w:r>
      <w:r>
        <w:rPr>
          <w:rFonts w:hint="eastAsia" w:ascii="仿宋_GB2312" w:hAnsi="仿宋_GB2312" w:eastAsia="仿宋_GB2312" w:cs="仿宋_GB2312"/>
          <w:sz w:val="32"/>
          <w:szCs w:val="32"/>
          <w:lang w:val="en-US" w:eastAsia="zh-CN"/>
        </w:rPr>
        <w:t>》（抚政发〔2023〕8号），</w:t>
      </w:r>
      <w:r>
        <w:rPr>
          <w:rFonts w:hint="eastAsia" w:ascii="汉仪书宋二S" w:hAnsi="汉仪书宋二S" w:eastAsia="汉仪书宋二S" w:cs="汉仪书宋二S"/>
          <w:sz w:val="32"/>
          <w:szCs w:val="32"/>
          <w:lang w:val="en-US" w:eastAsia="zh-CN"/>
        </w:rPr>
        <w:t>①</w:t>
      </w:r>
      <w:r>
        <w:rPr>
          <w:rFonts w:hint="eastAsia" w:ascii="仿宋_GB2312" w:hAnsi="仿宋_GB2312" w:eastAsia="仿宋_GB2312" w:cs="仿宋_GB2312"/>
          <w:sz w:val="32"/>
          <w:szCs w:val="32"/>
          <w:lang w:val="en-US" w:eastAsia="zh-CN"/>
        </w:rPr>
        <w:t>将</w:t>
      </w:r>
      <w:r>
        <w:rPr>
          <w:rFonts w:hint="eastAsia" w:ascii="仿宋" w:hAnsi="仿宋" w:eastAsia="仿宋" w:cs="仿宋"/>
          <w:sz w:val="32"/>
          <w:szCs w:val="32"/>
          <w:lang w:eastAsia="zh-CN"/>
        </w:rPr>
        <w:t>重点任务（三）实施工业领域碳达峰。“积极推动抚顺石化“减油增化”、“油蜡联产”项目建设。”</w:t>
      </w:r>
      <w:r>
        <w:rPr>
          <w:rFonts w:hint="eastAsia" w:ascii="仿宋" w:hAnsi="仿宋" w:eastAsia="仿宋" w:cs="仿宋"/>
          <w:b/>
          <w:bCs/>
          <w:sz w:val="32"/>
          <w:szCs w:val="32"/>
          <w:lang w:eastAsia="zh-CN"/>
        </w:rPr>
        <w:t>修改为</w:t>
      </w:r>
      <w:r>
        <w:rPr>
          <w:rFonts w:hint="eastAsia" w:ascii="仿宋" w:hAnsi="仿宋" w:eastAsia="仿宋" w:cs="仿宋"/>
          <w:sz w:val="32"/>
          <w:szCs w:val="32"/>
          <w:lang w:eastAsia="zh-CN"/>
        </w:rPr>
        <w:t>“积极推动石化行业项目建设。”；</w:t>
      </w:r>
      <w:r>
        <w:rPr>
          <w:rFonts w:hint="eastAsia" w:ascii="仿宋" w:hAnsi="仿宋" w:eastAsia="仿宋" w:cs="仿宋"/>
          <w:b/>
          <w:bCs/>
          <w:sz w:val="32"/>
          <w:szCs w:val="32"/>
          <w:lang w:eastAsia="zh-CN"/>
        </w:rPr>
        <w:t>删除</w:t>
      </w:r>
      <w:r>
        <w:rPr>
          <w:rFonts w:hint="eastAsia" w:ascii="仿宋" w:hAnsi="仿宋" w:eastAsia="仿宋" w:cs="仿宋"/>
          <w:sz w:val="32"/>
          <w:szCs w:val="32"/>
          <w:lang w:eastAsia="zh-CN"/>
        </w:rPr>
        <w:t>“以抚顺新钢铁、抚特钢为重点。”；将“持续推进抚顺新钢铁、抚特钢等节能技改项目建设。”</w:t>
      </w:r>
      <w:r>
        <w:rPr>
          <w:rFonts w:hint="eastAsia" w:ascii="仿宋" w:hAnsi="仿宋" w:eastAsia="仿宋" w:cs="仿宋"/>
          <w:b/>
          <w:bCs/>
          <w:sz w:val="32"/>
          <w:szCs w:val="32"/>
          <w:lang w:eastAsia="zh-CN"/>
        </w:rPr>
        <w:t>修改为</w:t>
      </w:r>
      <w:r>
        <w:rPr>
          <w:rFonts w:hint="eastAsia" w:ascii="仿宋" w:hAnsi="仿宋" w:eastAsia="仿宋" w:cs="仿宋"/>
          <w:sz w:val="32"/>
          <w:szCs w:val="32"/>
          <w:lang w:eastAsia="zh-CN"/>
        </w:rPr>
        <w:t>“持续推进钢铁行业节能技改项目建设。”；</w:t>
      </w:r>
      <w:r>
        <w:rPr>
          <w:rFonts w:hint="eastAsia" w:ascii="仿宋" w:hAnsi="仿宋" w:eastAsia="仿宋" w:cs="仿宋"/>
          <w:b/>
          <w:bCs/>
          <w:sz w:val="32"/>
          <w:szCs w:val="32"/>
          <w:lang w:eastAsia="zh-CN"/>
        </w:rPr>
        <w:t>删除</w:t>
      </w:r>
      <w:r>
        <w:rPr>
          <w:rFonts w:hint="eastAsia" w:ascii="仿宋" w:hAnsi="仿宋" w:eastAsia="仿宋" w:cs="仿宋"/>
          <w:sz w:val="32"/>
          <w:szCs w:val="32"/>
          <w:lang w:eastAsia="zh-CN"/>
        </w:rPr>
        <w:t>“支持领军企业做大做强。”</w:t>
      </w:r>
      <w:r>
        <w:rPr>
          <w:rFonts w:hint="eastAsia" w:ascii="汉仪书宋二S" w:hAnsi="汉仪书宋二S" w:eastAsia="汉仪书宋二S" w:cs="汉仪书宋二S"/>
          <w:sz w:val="32"/>
          <w:szCs w:val="32"/>
          <w:lang w:eastAsia="zh-CN"/>
        </w:rPr>
        <w:t>②</w:t>
      </w:r>
      <w:r>
        <w:rPr>
          <w:rFonts w:hint="eastAsia" w:ascii="仿宋_GB2312" w:hAnsi="仿宋_GB2312" w:eastAsia="仿宋_GB2312" w:cs="仿宋_GB2312"/>
          <w:sz w:val="32"/>
          <w:szCs w:val="32"/>
          <w:lang w:eastAsia="zh-CN"/>
        </w:rPr>
        <w:t>将</w:t>
      </w:r>
      <w:r>
        <w:rPr>
          <w:rFonts w:hint="eastAsia" w:ascii="仿宋" w:hAnsi="仿宋" w:eastAsia="仿宋" w:cs="仿宋"/>
          <w:b w:val="0"/>
          <w:bCs w:val="0"/>
          <w:sz w:val="32"/>
          <w:szCs w:val="32"/>
          <w:lang w:eastAsia="zh-CN"/>
        </w:rPr>
        <w:t>重点任务（七）强化创新绿色支撑。</w:t>
      </w:r>
      <w:r>
        <w:rPr>
          <w:rFonts w:hint="eastAsia" w:ascii="仿宋" w:hAnsi="仿宋" w:eastAsia="仿宋" w:cs="仿宋"/>
          <w:sz w:val="32"/>
          <w:szCs w:val="32"/>
          <w:lang w:eastAsia="zh-CN"/>
        </w:rPr>
        <w:t>“支持企业和高校建立重点实验室、专业技术创新中心，持续推动辽宁省石化产业技术创新研究院、辽宁钢铁冶金长流程绿色低碳专业技术创新中心、辽宁省固体废弃物产业技术研究院等研发平台建设，打造高水平绿色低碳科技创新平台。”</w:t>
      </w:r>
      <w:r>
        <w:rPr>
          <w:rFonts w:hint="eastAsia" w:ascii="仿宋" w:hAnsi="仿宋" w:eastAsia="仿宋" w:cs="仿宋"/>
          <w:b/>
          <w:bCs/>
          <w:sz w:val="32"/>
          <w:szCs w:val="32"/>
          <w:lang w:eastAsia="zh-CN"/>
        </w:rPr>
        <w:t>修改为</w:t>
      </w:r>
      <w:r>
        <w:rPr>
          <w:rFonts w:hint="eastAsia" w:ascii="仿宋" w:hAnsi="仿宋" w:eastAsia="仿宋" w:cs="仿宋"/>
          <w:sz w:val="32"/>
          <w:szCs w:val="32"/>
          <w:lang w:eastAsia="zh-CN"/>
        </w:rPr>
        <w:t>“支持企业和高校建立重点实验室、专业技术创新中心，持续推动各级研发平台建设，打造高水平绿色低碳科技创新平台。”</w:t>
      </w:r>
      <w:r>
        <w:rPr>
          <w:rFonts w:hint="eastAsia" w:ascii="仿宋_GB2312" w:hAnsi="仿宋_GB2312" w:eastAsia="仿宋_GB2312" w:cs="仿宋_GB2312"/>
          <w:sz w:val="32"/>
          <w:highlight w:val="none"/>
          <w:lang w:val="en-US" w:eastAsia="zh-CN"/>
        </w:rPr>
        <w:t>对整个文件不产生实质性影响。</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sz w:val="32"/>
          <w:highlight w:val="none"/>
          <w:lang w:val="en-US" w:eastAsia="zh-CN"/>
        </w:rPr>
      </w:pPr>
      <w:r>
        <w:rPr>
          <w:rFonts w:hint="eastAsia" w:ascii="仿宋_GB2312" w:hAnsi="仿宋_GB2312" w:eastAsia="仿宋_GB2312" w:cs="仿宋_GB2312"/>
          <w:sz w:val="32"/>
          <w:highlight w:val="none"/>
          <w:lang w:val="en-US" w:eastAsia="zh-CN"/>
        </w:rPr>
        <w:t>2.</w:t>
      </w:r>
      <w:r>
        <w:rPr>
          <w:rFonts w:hint="eastAsia" w:ascii="仿宋_GB2312" w:hAnsi="仿宋_GB2312" w:eastAsia="仿宋_GB2312"/>
          <w:sz w:val="32"/>
          <w:highlight w:val="none"/>
          <w:lang w:val="en-US" w:eastAsia="zh-CN"/>
        </w:rPr>
        <w:t>《抚顺市人民政府办公室关于印发抚顺市加快发展外贸新业态新模式实施方案的通知》（抚政办发〔2022〕23号），将（二）“实行退税无纸化，对优质企业可使用增值税专用发票认证系统信息审核办理退税。”修改为“实行退税无纸化，对各类企业可使用增值税专用发票交叉稽核信息系统审核办理退税。”。对整个文件不产生实质性影响。</w:t>
      </w:r>
    </w:p>
    <w:p>
      <w:pPr>
        <w:pStyle w:val="2"/>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sz w:val="32"/>
          <w:lang w:val="en-US" w:eastAsia="zh-CN"/>
        </w:rPr>
      </w:pPr>
      <w:r>
        <w:rPr>
          <w:rFonts w:hint="eastAsia" w:ascii="仿宋_GB2312" w:hAnsi="仿宋_GB2312" w:eastAsia="仿宋_GB2312"/>
          <w:sz w:val="32"/>
          <w:highlight w:val="none"/>
          <w:lang w:val="en-US" w:eastAsia="zh-CN"/>
        </w:rPr>
        <w:t>3.</w:t>
      </w:r>
      <w:r>
        <w:rPr>
          <w:rFonts w:hint="eastAsia" w:ascii="仿宋_GB2312" w:hAnsi="仿宋_GB2312" w:eastAsia="仿宋_GB2312"/>
          <w:sz w:val="32"/>
          <w:lang w:val="en-US" w:eastAsia="zh-CN"/>
        </w:rPr>
        <w:t>《</w:t>
      </w:r>
      <w:r>
        <w:rPr>
          <w:rFonts w:hint="eastAsia" w:ascii="仿宋_GB2312" w:hAnsi="仿宋_GB2312" w:eastAsia="仿宋_GB2312" w:cs="仿宋_GB2312"/>
          <w:b w:val="0"/>
          <w:bCs w:val="0"/>
          <w:color w:val="000000"/>
          <w:sz w:val="32"/>
          <w:szCs w:val="32"/>
          <w:highlight w:val="none"/>
          <w:lang w:val="en-US" w:eastAsia="zh-CN"/>
        </w:rPr>
        <w:t>抚顺市人民政府办公室关于印发抚顺市“十四五”数字经济发展规划的通知</w:t>
      </w:r>
      <w:r>
        <w:rPr>
          <w:rFonts w:hint="eastAsia" w:ascii="仿宋_GB2312" w:hAnsi="仿宋_GB2312" w:eastAsia="仿宋_GB2312"/>
          <w:sz w:val="32"/>
          <w:lang w:val="en-US" w:eastAsia="zh-CN"/>
        </w:rPr>
        <w:t>》（抚政办发〔2022〕1号），</w:t>
      </w:r>
      <w:r>
        <w:rPr>
          <w:rFonts w:hint="eastAsia" w:ascii="仿宋_GB2312" w:hAnsi="仿宋_GB2312" w:eastAsia="仿宋_GB2312"/>
          <w:sz w:val="32"/>
          <w:highlight w:val="none"/>
          <w:lang w:val="en-US" w:eastAsia="zh-CN"/>
        </w:rPr>
        <w:t>将“三、重点任务及工程。（一）建设数字融合基础设施。1．建设新一代信息基础设施。统筹布局算力基础设施。支持行业龙头企业强化云计算关键技术和服务模式创新及建设行业云数据中心，推动数据小镇（大数据中心）项目建设。2．建设智能融合基础设施。推动工业互联网建设。支持抚顺罕王傲牛矿业、本慧机电设备、森源食品、抚顺新钢铁、永茂建机、抚挖重工等工业企业协同本地运营商等平台企业建设工业互联网平台。专栏3  数字科技培育工程项目1．石化产业数字化创业大赛项目 联合启迪之星等孵化载体 支持抚顺石化等大企业建设石化产业数字化领域的专业化众创空间。项目2．石化产业数字化创新实验室项目 依托辽宁省石化产业技术创新研究院，鼓励抚顺石化等龙头企业加大与高校院所的产学研合作。（四）促进数字产业能级突破。1．推动电子信息制造产业发展。吸引并支持全国大中型企业入驻产业园区。3．布局人工智能、大数据、区块链、物联网等新兴产业。鼓励支持威风（辽宁）数据科技等企业加强新一代信息技术产业发展。专栏4  数字产业能级提升工程 项目1．云数据计算中心项目 威风（辽宁）数据科技有限公司 计划总投资3亿元。（五）深入推进产业数字化进程。2．推动工业数字化转型。（2）深化企业数字化转型。鼓励和支持骨干企业，支持东工冶金、抚顺特钢、新钢铁等企业推动智造中心建设，强化数字化设施、设备改造升级；鼓励抚挖重工、永茂建机、抚顺东工冶金等龙头企业。（3）打造工业互联网平台赋能体系。鼓励传统行业龙头企业。依托龙头企业。支持抚顺罕王傲牛矿业、本慧机电设备、森源食品、抚顺新钢铁、永茂建机、抚挖重工依托工业互联网平台建设5G+工业互联网工厂。专栏6  工业数字化转型工程项目1．抚顺石化“5G+机器视觉”企业智能应用项目，抚顺石化公司，计划总投资6000万元。项目3．企业5G+改造项目，抚顺隆烨化工有限公司、辽宁华驰专用汽车制造有限公司、抚顺市添泷耐火材料有限公司。项目5．5G+工业互联网示范工厂建设系列项目，支持罕王傲牛矿业、辽宁本慧机电、清原助剂厂、清原森源食品、清原田润华农业科技、抚顺新钢铁、辽宁华丰民用化工、抚顺永茂建筑机械、辽宁抚挖重工等公司大力发展</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sz w:val="32"/>
          <w:highlight w:val="none"/>
          <w:lang w:val="en-US" w:eastAsia="zh-CN"/>
        </w:rPr>
        <w:t>5G+工业互联网</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sz w:val="32"/>
          <w:highlight w:val="none"/>
          <w:lang w:val="en-US" w:eastAsia="zh-CN"/>
        </w:rPr>
        <w:t>示范工厂建设，计划总投资1.348亿元。”修改为“ 三、重点任务及工程（一）建设数字融合基础设施。1.建设新一代信息基础设施。统筹布局算力基础设施。根据市场需求和产业发展需要，合理规划和布局算力基础设施。鼓励各类企业在云计算关键技术和服务模式创新方面加大投入，推动行业云数据中心的建设。鼓励符合条件的企业参与数据小镇（大数据中心）项目建设，提升全市算力水平，满足各行业对高性能计算的需求。2建设智能融合基础设施。推动工业互联网建设。鼓励工业企业与本地运营商等平台企业合作，共同建设工业互联网平台。支持相关企业协同建设工业互联网平台，提升制造业数字化、网络化、智能化水平。专栏3：数字科技培育工程项目1．石化产业数字化创业大赛项组织创新孵化企业开展石化产业数字化领域的专业化众创空间建设，促进创新创业生态的形成，推动石化产业的数字化转型。项目2．石化产业数字化创新实验室项目依托我省石化科研院所，加强石化产业产学研用联盟建设，加强石化产业数字化技术研发和应用，提升产业创新能力。（四）促进数字产业能级突破。1.推动电子信息制造产业发展。通过优质服务和良好营商环境，吸引更多计算机、电子信息制造业企业入驻产业园区，推动产业集聚发展。2.布局人工智能、大数据、区块链、物联网等新兴产业。吸引软件和信息技术服务业企业落户抚顺，加强新一代信息技术的研发和应用，推动人工智能、大数据、区块链、物联网等新兴产业发展，提升全市数字经济竞争力。专栏4：数字产业能级提升工程项目1．云数据计算中心吸引相关企业在抚建设云数据计算中心，提升全市数据处理和存储能力，为各行业提供高效的数据服务。（五）深入推进产业数字化进程。2.推动工业数字化转型。（2）深化企业数字化转型。依托我市工业基础，推动智造中心建设，强化数字化设施、设备改造升级，提升企业的智能制造水平，进一步加快企业数字化转型步伐，提升生产效率和产品质量。（3）打造工业互联网平台赋能体系。鼓励传统行业企业依托工业互联网平台，建设5G+工业互联网工厂，提升企业的智能化管理水平。专栏6：工业数字化转型工程项目1．石化“5G+机器视觉”企业智能应用项目建设石化产业“5G+机器视觉”智能应用项目，提升企业的智能化生产和管理能力。项目3．企业5G+改造项目鼓励全市企业实施5G+改造项目，提升企业的数字化、智能化水平。项目5．5G+工业互联网示范工厂建设系列项目引导全市企业开展</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sz w:val="32"/>
          <w:highlight w:val="none"/>
          <w:lang w:val="en-US" w:eastAsia="zh-CN"/>
        </w:rPr>
        <w:t>5G+工业互联网</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sz w:val="32"/>
          <w:highlight w:val="none"/>
          <w:lang w:val="en-US" w:eastAsia="zh-CN"/>
        </w:rPr>
        <w:t>示范工厂建设，推动传统制造业向智能制造转型升级。”。</w:t>
      </w:r>
      <w:r>
        <w:rPr>
          <w:rFonts w:hint="eastAsia" w:ascii="仿宋_GB2312" w:hAnsi="仿宋_GB2312" w:eastAsia="仿宋_GB2312"/>
          <w:sz w:val="32"/>
          <w:lang w:val="en-US" w:eastAsia="zh-CN"/>
        </w:rPr>
        <w:t>对整个文件不产生实质性影响。</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sz w:val="32"/>
          <w:lang w:val="en-US" w:eastAsia="zh-CN"/>
        </w:rPr>
      </w:pPr>
      <w:r>
        <w:rPr>
          <w:rFonts w:hint="eastAsia" w:ascii="仿宋_GB2312" w:hAnsi="仿宋_GB2312" w:eastAsia="仿宋_GB2312" w:cs="仿宋_GB2312"/>
          <w:b w:val="0"/>
          <w:bCs w:val="0"/>
          <w:color w:val="000000"/>
          <w:sz w:val="32"/>
          <w:szCs w:val="32"/>
          <w:highlight w:val="none"/>
          <w:lang w:val="en-US" w:eastAsia="zh-CN"/>
        </w:rPr>
        <w:t>4.</w:t>
      </w:r>
      <w:r>
        <w:rPr>
          <w:rFonts w:hint="eastAsia" w:ascii="仿宋_GB2312" w:hAnsi="仿宋_GB2312" w:eastAsia="仿宋_GB2312"/>
          <w:sz w:val="32"/>
          <w:lang w:val="en-US" w:eastAsia="zh-CN"/>
        </w:rPr>
        <w:t>《</w:t>
      </w:r>
      <w:r>
        <w:rPr>
          <w:rFonts w:hint="eastAsia" w:ascii="仿宋_GB2312" w:hAnsi="仿宋_GB2312" w:eastAsia="仿宋_GB2312" w:cs="仿宋_GB2312"/>
          <w:b w:val="0"/>
          <w:bCs w:val="0"/>
          <w:color w:val="000000"/>
          <w:sz w:val="32"/>
          <w:szCs w:val="32"/>
          <w:highlight w:val="none"/>
          <w:lang w:val="en-US" w:eastAsia="zh-CN"/>
        </w:rPr>
        <w:t>抚顺市人民政府办公室关于加快数字经济发展的实施意见</w:t>
      </w:r>
      <w:r>
        <w:rPr>
          <w:rFonts w:hint="eastAsia" w:ascii="仿宋_GB2312" w:hAnsi="仿宋_GB2312" w:eastAsia="仿宋_GB2312"/>
          <w:sz w:val="32"/>
          <w:lang w:val="en-US" w:eastAsia="zh-CN"/>
        </w:rPr>
        <w:t>》（抚政办发〔2021〕6号），</w:t>
      </w:r>
      <w:r>
        <w:rPr>
          <w:rFonts w:hint="eastAsia" w:ascii="仿宋_GB2312" w:hAnsi="仿宋_GB2312" w:eastAsia="仿宋_GB2312"/>
          <w:sz w:val="32"/>
          <w:highlight w:val="none"/>
          <w:lang w:val="en-US" w:eastAsia="zh-CN"/>
        </w:rPr>
        <w:t>将“二、重点任务（二）加快发展新兴数字产业。6.培育和引进数字经济龙头骨干企业.8.推进服务业数字化升级。支持大中型生产制造企业加快电子商务应用，引导电子商务企业集聚发展”修改为“二、重点任务（二）加快发展新兴数字产业。6.培育和引进数字经济企业.8.推进服务业数字化升级。支持企业数字化转型，引导实体经济和数字经济融合发展”。</w:t>
      </w:r>
      <w:r>
        <w:rPr>
          <w:rFonts w:hint="eastAsia" w:ascii="仿宋_GB2312" w:hAnsi="仿宋_GB2312" w:eastAsia="仿宋_GB2312"/>
          <w:sz w:val="32"/>
          <w:lang w:val="en-US" w:eastAsia="zh-CN"/>
        </w:rPr>
        <w:t>对整个文件不产生实质性影响。</w:t>
      </w:r>
    </w:p>
    <w:p>
      <w:pPr>
        <w:pStyle w:val="2"/>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sz w:val="32"/>
          <w:lang w:val="en-US" w:eastAsia="zh-CN"/>
        </w:rPr>
      </w:pPr>
      <w:r>
        <w:rPr>
          <w:rFonts w:hint="eastAsia" w:ascii="仿宋_GB2312" w:hAnsi="仿宋_GB2312" w:eastAsia="仿宋_GB2312"/>
          <w:sz w:val="32"/>
          <w:lang w:val="en-US" w:eastAsia="zh-CN"/>
        </w:rPr>
        <w:t>5.《抚顺市人民政府办公室关于印发抚顺市“十四五”生态环境保护规划的通知》（抚政办发〔2023〕1号），</w:t>
      </w:r>
      <w:r>
        <w:rPr>
          <w:rFonts w:hint="eastAsia" w:ascii="汉仪书宋二S" w:hAnsi="汉仪书宋二S" w:eastAsia="汉仪书宋二S" w:cs="汉仪书宋二S"/>
          <w:sz w:val="32"/>
          <w:lang w:val="en-US" w:eastAsia="zh-CN"/>
        </w:rPr>
        <w:t>①</w:t>
      </w:r>
      <w:r>
        <w:rPr>
          <w:rFonts w:hint="default" w:ascii="仿宋" w:hAnsi="仿宋" w:eastAsia="仿宋" w:cs="仿宋"/>
          <w:sz w:val="32"/>
          <w:szCs w:val="32"/>
          <w:lang w:eastAsia="zh-CN"/>
        </w:rPr>
        <w:t>删除第三章第（二）项第1点</w:t>
      </w:r>
      <w:r>
        <w:rPr>
          <w:rFonts w:hint="eastAsia" w:ascii="仿宋" w:hAnsi="仿宋" w:eastAsia="仿宋" w:cs="仿宋"/>
          <w:sz w:val="32"/>
          <w:szCs w:val="32"/>
          <w:lang w:val="en-US" w:eastAsia="zh-CN"/>
        </w:rPr>
        <w:t>推动重点企业绿色转型</w:t>
      </w:r>
      <w:r>
        <w:rPr>
          <w:rFonts w:hint="default" w:ascii="仿宋" w:hAnsi="仿宋" w:eastAsia="仿宋" w:cs="仿宋"/>
          <w:sz w:val="32"/>
          <w:szCs w:val="32"/>
          <w:lang w:eastAsia="zh-CN"/>
        </w:rPr>
        <w:t>里的“加快抚顺石化推进减油增化，推进炼化一体化发展。推进抚顺特钢等企业打造高端新材料环保产业，支持抚矿集团推进煤炭精细化开采。</w:t>
      </w:r>
      <w:r>
        <w:rPr>
          <w:rFonts w:hint="eastAsia" w:ascii="仿宋" w:hAnsi="仿宋" w:eastAsia="仿宋" w:cs="仿宋"/>
          <w:sz w:val="32"/>
          <w:szCs w:val="32"/>
          <w:lang w:val="en-US" w:eastAsia="zh-CN"/>
        </w:rPr>
        <w:t>”</w:t>
      </w:r>
      <w:r>
        <w:rPr>
          <w:rFonts w:hint="eastAsia" w:ascii="汉仪书宋二S" w:hAnsi="汉仪书宋二S" w:eastAsia="汉仪书宋二S" w:cs="汉仪书宋二S"/>
          <w:sz w:val="32"/>
          <w:szCs w:val="32"/>
          <w:lang w:val="en-US" w:eastAsia="zh-CN"/>
        </w:rPr>
        <w:t>②</w:t>
      </w:r>
      <w:r>
        <w:rPr>
          <w:rFonts w:hint="default" w:ascii="仿宋" w:hAnsi="仿宋" w:eastAsia="仿宋" w:cs="仿宋"/>
          <w:b w:val="0"/>
          <w:bCs w:val="0"/>
          <w:sz w:val="32"/>
          <w:szCs w:val="32"/>
          <w:lang w:eastAsia="zh-CN"/>
        </w:rPr>
        <w:t>删除第三章</w:t>
      </w:r>
      <w:r>
        <w:rPr>
          <w:rFonts w:hint="eastAsia" w:ascii="仿宋" w:hAnsi="仿宋" w:eastAsia="仿宋" w:cs="仿宋"/>
          <w:b w:val="0"/>
          <w:bCs w:val="0"/>
          <w:sz w:val="32"/>
          <w:szCs w:val="32"/>
          <w:lang w:val="en-US" w:eastAsia="zh-CN"/>
        </w:rPr>
        <w:t>第（</w:t>
      </w:r>
      <w:r>
        <w:rPr>
          <w:rFonts w:hint="default" w:ascii="仿宋" w:hAnsi="仿宋" w:eastAsia="仿宋" w:cs="仿宋"/>
          <w:b w:val="0"/>
          <w:bCs w:val="0"/>
          <w:sz w:val="32"/>
          <w:szCs w:val="32"/>
          <w:lang w:eastAsia="zh-CN"/>
        </w:rPr>
        <w:t>五</w:t>
      </w:r>
      <w:r>
        <w:rPr>
          <w:rFonts w:hint="eastAsia" w:ascii="仿宋" w:hAnsi="仿宋" w:eastAsia="仿宋" w:cs="仿宋"/>
          <w:b w:val="0"/>
          <w:bCs w:val="0"/>
          <w:sz w:val="32"/>
          <w:szCs w:val="32"/>
          <w:lang w:val="en-US" w:eastAsia="zh-CN"/>
        </w:rPr>
        <w:t>）项</w:t>
      </w:r>
      <w:r>
        <w:rPr>
          <w:rFonts w:hint="default" w:ascii="仿宋" w:hAnsi="仿宋" w:eastAsia="仿宋" w:cs="仿宋"/>
          <w:b w:val="0"/>
          <w:bCs w:val="0"/>
          <w:sz w:val="32"/>
          <w:szCs w:val="32"/>
          <w:lang w:eastAsia="zh-CN"/>
        </w:rPr>
        <w:t>第2点</w:t>
      </w:r>
      <w:r>
        <w:rPr>
          <w:rFonts w:hint="eastAsia" w:ascii="仿宋" w:hAnsi="仿宋" w:eastAsia="仿宋" w:cs="仿宋"/>
          <w:b w:val="0"/>
          <w:bCs w:val="0"/>
          <w:sz w:val="32"/>
          <w:szCs w:val="32"/>
          <w:lang w:val="en-US" w:eastAsia="zh-CN"/>
        </w:rPr>
        <w:t>加强大宗固体废物综合利用</w:t>
      </w:r>
      <w:r>
        <w:rPr>
          <w:rFonts w:hint="default" w:ascii="仿宋" w:hAnsi="仿宋" w:eastAsia="仿宋" w:cs="仿宋"/>
          <w:b w:val="0"/>
          <w:bCs w:val="0"/>
          <w:sz w:val="32"/>
          <w:szCs w:val="32"/>
          <w:lang w:eastAsia="zh-CN"/>
        </w:rPr>
        <w:t>里的</w:t>
      </w:r>
      <w:r>
        <w:rPr>
          <w:rFonts w:hint="eastAsia" w:ascii="仿宋" w:hAnsi="仿宋" w:eastAsia="仿宋" w:cs="仿宋"/>
          <w:b w:val="0"/>
          <w:bCs w:val="0"/>
          <w:sz w:val="32"/>
          <w:szCs w:val="32"/>
          <w:lang w:eastAsia="zh-CN"/>
        </w:rPr>
        <w:t>“</w:t>
      </w:r>
      <w:r>
        <w:rPr>
          <w:rFonts w:hint="default" w:ascii="仿宋" w:hAnsi="仿宋" w:eastAsia="仿宋" w:cs="仿宋"/>
          <w:b w:val="0"/>
          <w:bCs w:val="0"/>
          <w:sz w:val="32"/>
          <w:szCs w:val="32"/>
          <w:lang w:eastAsia="zh-CN"/>
        </w:rPr>
        <w:t>依托抚顺抚顺新钢、特钢钢渣综合利用重点企业生产高品位渣钢。</w:t>
      </w:r>
      <w:r>
        <w:rPr>
          <w:rFonts w:hint="eastAsia" w:ascii="仿宋" w:hAnsi="仿宋" w:eastAsia="仿宋" w:cs="仿宋"/>
          <w:b w:val="0"/>
          <w:bCs w:val="0"/>
          <w:sz w:val="32"/>
          <w:szCs w:val="32"/>
          <w:lang w:eastAsia="zh-CN"/>
        </w:rPr>
        <w:t>”</w:t>
      </w:r>
      <w:r>
        <w:rPr>
          <w:rFonts w:hint="eastAsia" w:ascii="汉仪书宋二S" w:hAnsi="汉仪书宋二S" w:eastAsia="汉仪书宋二S" w:cs="汉仪书宋二S"/>
          <w:b w:val="0"/>
          <w:bCs w:val="0"/>
          <w:sz w:val="32"/>
          <w:szCs w:val="32"/>
          <w:lang w:eastAsia="zh-CN"/>
        </w:rPr>
        <w:t>③</w:t>
      </w:r>
      <w:r>
        <w:rPr>
          <w:rFonts w:hint="eastAsia" w:ascii="仿宋" w:hAnsi="仿宋" w:eastAsia="仿宋" w:cs="仿宋"/>
          <w:b w:val="0"/>
          <w:bCs w:val="0"/>
          <w:sz w:val="32"/>
          <w:szCs w:val="32"/>
          <w:lang w:val="en-US" w:eastAsia="zh-CN"/>
        </w:rPr>
        <w:t>删除第八章第（</w:t>
      </w:r>
      <w:r>
        <w:rPr>
          <w:rFonts w:hint="default" w:ascii="仿宋" w:hAnsi="仿宋" w:eastAsia="仿宋" w:cs="仿宋"/>
          <w:b w:val="0"/>
          <w:bCs w:val="0"/>
          <w:sz w:val="32"/>
          <w:szCs w:val="32"/>
          <w:lang w:eastAsia="zh-CN"/>
        </w:rPr>
        <w:t>五</w:t>
      </w:r>
      <w:r>
        <w:rPr>
          <w:rFonts w:hint="eastAsia" w:ascii="仿宋" w:hAnsi="仿宋" w:eastAsia="仿宋" w:cs="仿宋"/>
          <w:b w:val="0"/>
          <w:bCs w:val="0"/>
          <w:sz w:val="32"/>
          <w:szCs w:val="32"/>
          <w:lang w:val="en-US" w:eastAsia="zh-CN"/>
        </w:rPr>
        <w:t>）项</w:t>
      </w:r>
      <w:r>
        <w:rPr>
          <w:rFonts w:hint="default" w:ascii="仿宋" w:hAnsi="仿宋" w:eastAsia="仿宋" w:cs="仿宋"/>
          <w:b w:val="0"/>
          <w:bCs w:val="0"/>
          <w:sz w:val="32"/>
          <w:szCs w:val="32"/>
          <w:lang w:eastAsia="zh-CN"/>
        </w:rPr>
        <w:t>第2点重点开展大宗固废综合利用技术研究</w:t>
      </w:r>
      <w:r>
        <w:rPr>
          <w:rFonts w:hint="eastAsia" w:ascii="仿宋" w:hAnsi="仿宋" w:eastAsia="仿宋" w:cs="仿宋"/>
          <w:b w:val="0"/>
          <w:bCs w:val="0"/>
          <w:sz w:val="32"/>
          <w:szCs w:val="32"/>
          <w:lang w:eastAsia="zh-CN"/>
        </w:rPr>
        <w:t>里的“依托抚矿集团抚顺固体废弃物产业技术研究院，积极开展煤矸石综合利用产业技术研究；依托辽宁亚太固体废弃物研究院，联合辽宁省沙地治理与利用研究所、辽宁省能源研究所有限公司等科研单位。”</w:t>
      </w:r>
      <w:r>
        <w:rPr>
          <w:rFonts w:hint="eastAsia" w:ascii="汉仪书宋二S" w:hAnsi="汉仪书宋二S" w:eastAsia="汉仪书宋二S" w:cs="汉仪书宋二S"/>
          <w:b w:val="0"/>
          <w:bCs w:val="0"/>
          <w:sz w:val="32"/>
          <w:szCs w:val="32"/>
          <w:lang w:eastAsia="zh-CN"/>
        </w:rPr>
        <w:t>④</w:t>
      </w:r>
      <w:r>
        <w:rPr>
          <w:rFonts w:hint="eastAsia" w:ascii="仿宋" w:hAnsi="仿宋" w:eastAsia="仿宋" w:cs="仿宋"/>
          <w:b w:val="0"/>
          <w:bCs w:val="0"/>
          <w:sz w:val="32"/>
          <w:szCs w:val="32"/>
          <w:lang w:val="en-US" w:eastAsia="zh-CN"/>
        </w:rPr>
        <w:t>删除第八章第（</w:t>
      </w:r>
      <w:r>
        <w:rPr>
          <w:rFonts w:hint="default" w:ascii="仿宋" w:hAnsi="仿宋" w:eastAsia="仿宋" w:cs="仿宋"/>
          <w:b w:val="0"/>
          <w:bCs w:val="0"/>
          <w:sz w:val="32"/>
          <w:szCs w:val="32"/>
          <w:lang w:eastAsia="zh-CN"/>
        </w:rPr>
        <w:t>五</w:t>
      </w:r>
      <w:r>
        <w:rPr>
          <w:rFonts w:hint="eastAsia" w:ascii="仿宋" w:hAnsi="仿宋" w:eastAsia="仿宋" w:cs="仿宋"/>
          <w:b w:val="0"/>
          <w:bCs w:val="0"/>
          <w:sz w:val="32"/>
          <w:szCs w:val="32"/>
          <w:lang w:val="en-US" w:eastAsia="zh-CN"/>
        </w:rPr>
        <w:t>）项</w:t>
      </w:r>
      <w:r>
        <w:rPr>
          <w:rFonts w:hint="default" w:ascii="仿宋" w:hAnsi="仿宋" w:eastAsia="仿宋" w:cs="仿宋"/>
          <w:b w:val="0"/>
          <w:bCs w:val="0"/>
          <w:sz w:val="32"/>
          <w:szCs w:val="32"/>
          <w:lang w:eastAsia="zh-CN"/>
        </w:rPr>
        <w:t>第2点重点开展大宗固废综合利用技术研究</w:t>
      </w:r>
      <w:r>
        <w:rPr>
          <w:rFonts w:hint="eastAsia" w:ascii="仿宋" w:hAnsi="仿宋" w:eastAsia="仿宋" w:cs="仿宋"/>
          <w:b w:val="0"/>
          <w:bCs w:val="0"/>
          <w:sz w:val="32"/>
          <w:szCs w:val="32"/>
          <w:lang w:eastAsia="zh-CN"/>
        </w:rPr>
        <w:t>里的“依托抚矿集团抚顺固体废弃物产业技术研究院，积极开展煤矸石综合利用产业技术研究；依托辽宁亚太固体废弃物研究院，联合辽宁省沙地治理与利用研究所、辽宁省能源研究所有限公司等科研单位。”</w:t>
      </w:r>
      <w:r>
        <w:rPr>
          <w:rFonts w:hint="eastAsia" w:ascii="仿宋_GB2312" w:hAnsi="仿宋_GB2312" w:eastAsia="仿宋_GB2312"/>
          <w:sz w:val="32"/>
          <w:lang w:val="en-US" w:eastAsia="zh-CN"/>
        </w:rPr>
        <w:t>对整个文件不产生实质性影响。</w:t>
      </w:r>
    </w:p>
    <w:p>
      <w:pPr>
        <w:pStyle w:val="2"/>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sz w:val="32"/>
          <w:lang w:val="en-US" w:eastAsia="zh-CN"/>
        </w:rPr>
      </w:pPr>
      <w:r>
        <w:rPr>
          <w:rFonts w:hint="eastAsia" w:ascii="仿宋_GB2312" w:hAnsi="仿宋_GB2312" w:eastAsia="仿宋_GB2312"/>
          <w:sz w:val="32"/>
          <w:lang w:val="en-US" w:eastAsia="zh-CN"/>
        </w:rPr>
        <w:t>6.《抚顺市人民政府关于加快发展养老服务业的实施意见》（抚政发〔2014〕14号），将</w:t>
      </w:r>
      <w:r>
        <w:rPr>
          <w:rFonts w:hint="eastAsia" w:ascii="仿宋" w:hAnsi="仿宋" w:eastAsia="仿宋" w:cs="仿宋"/>
          <w:sz w:val="32"/>
          <w:szCs w:val="32"/>
          <w:lang w:val="en-US" w:eastAsia="zh-CN"/>
        </w:rPr>
        <w:t>“四、政策措施（一）完善投融资政策，鼓励和支持养老服务龙头企业上市融资”的内容修改为“四、政策措施（一）完善投融资政策，鼓励和支持养老服务企业上市融资”。</w:t>
      </w:r>
      <w:r>
        <w:rPr>
          <w:rFonts w:hint="eastAsia" w:ascii="仿宋_GB2312" w:hAnsi="仿宋_GB2312" w:eastAsia="仿宋_GB2312"/>
          <w:sz w:val="32"/>
          <w:lang w:val="en-US" w:eastAsia="zh-CN"/>
        </w:rPr>
        <w:t>对整个文件不产生实质性影响。</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sz w:val="32"/>
          <w:highlight w:val="none"/>
          <w:lang w:val="en-US" w:eastAsia="zh-CN"/>
        </w:rPr>
        <w:t>7.《抚顺市人民政府办公室关于促进平台经济规范健康持续发展的工作方案》（抚政办发〔2022〕7号），将</w:t>
      </w:r>
      <w:r>
        <w:rPr>
          <w:rFonts w:hint="eastAsia" w:ascii="仿宋_GB2312" w:hAnsi="仿宋_GB2312" w:eastAsia="仿宋_GB2312" w:cs="仿宋_GB2312"/>
          <w:sz w:val="32"/>
          <w:szCs w:val="32"/>
          <w:lang w:val="en-US" w:eastAsia="zh-CN"/>
        </w:rPr>
        <w:t>第二十条“加大数据信息基础技术与重点人才培养。...组织辽宁石油化工大学等高校积极承担数字抚顺重大建设任务和研究项目，...”中“组织辽宁石油化工大学等高校积极承担数字抚顺重大建设任务和研究项目”表述删除。将第二十一条和第二十二条删除。将第二十五条“加快完善相关领域标准体系建设。...鼓励龙头企业和行业协会主动制定企业、团体标准，..”中“鼓励龙头企业和行业协会主动制定企业、团体标准”表述删除。</w:t>
      </w:r>
    </w:p>
    <w:p>
      <w:pPr>
        <w:keepNext w:val="0"/>
        <w:keepLines w:val="0"/>
        <w:pageBreakBefore w:val="0"/>
        <w:widowControl w:val="0"/>
        <w:kinsoku/>
        <w:wordWrap/>
        <w:overflowPunct/>
        <w:topLinePunct w:val="0"/>
        <w:autoSpaceDE/>
        <w:autoSpaceDN/>
        <w:bidi w:val="0"/>
        <w:adjustRightIn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sz w:val="32"/>
          <w:highlight w:val="none"/>
          <w:lang w:val="en-US" w:eastAsia="zh-CN"/>
        </w:rPr>
        <w:t>.《抚顺市工业“十四五”发展规划》,修改情况见附后材料（市工信局出具的修改决定）</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icrosoft yahei">
    <w:altName w:val="仿宋"/>
    <w:panose1 w:val="00000000000000000000"/>
    <w:charset w:val="00"/>
    <w:family w:val="auto"/>
    <w:pitch w:val="default"/>
    <w:sig w:usb0="00000000" w:usb1="00000000" w:usb2="00000000" w:usb3="00000000" w:csb0="00000000" w:csb1="00000000"/>
  </w:font>
  <w:font w:name="汉仪书宋二S">
    <w:altName w:val="方正书宋_GBK"/>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B2C"/>
    <w:rsid w:val="00013707"/>
    <w:rsid w:val="00021012"/>
    <w:rsid w:val="00021CFE"/>
    <w:rsid w:val="00027CC0"/>
    <w:rsid w:val="000360F4"/>
    <w:rsid w:val="0005188E"/>
    <w:rsid w:val="00077943"/>
    <w:rsid w:val="000B2267"/>
    <w:rsid w:val="000D2672"/>
    <w:rsid w:val="000D4FB2"/>
    <w:rsid w:val="000F2A64"/>
    <w:rsid w:val="00110426"/>
    <w:rsid w:val="00116352"/>
    <w:rsid w:val="001178FB"/>
    <w:rsid w:val="0013491B"/>
    <w:rsid w:val="00143F3C"/>
    <w:rsid w:val="001509E1"/>
    <w:rsid w:val="001635DD"/>
    <w:rsid w:val="00165DBA"/>
    <w:rsid w:val="00170AC4"/>
    <w:rsid w:val="00176DE8"/>
    <w:rsid w:val="0019202D"/>
    <w:rsid w:val="001976E5"/>
    <w:rsid w:val="001B762C"/>
    <w:rsid w:val="001F0EB8"/>
    <w:rsid w:val="0020412C"/>
    <w:rsid w:val="00217851"/>
    <w:rsid w:val="00252E96"/>
    <w:rsid w:val="00256442"/>
    <w:rsid w:val="00256A1E"/>
    <w:rsid w:val="002606AF"/>
    <w:rsid w:val="00265020"/>
    <w:rsid w:val="00272483"/>
    <w:rsid w:val="00297FCF"/>
    <w:rsid w:val="002F74F7"/>
    <w:rsid w:val="003238E7"/>
    <w:rsid w:val="00324E53"/>
    <w:rsid w:val="003556A3"/>
    <w:rsid w:val="003621D9"/>
    <w:rsid w:val="003A4DFF"/>
    <w:rsid w:val="003C49D3"/>
    <w:rsid w:val="003D4C92"/>
    <w:rsid w:val="003E7660"/>
    <w:rsid w:val="003F1C00"/>
    <w:rsid w:val="00402438"/>
    <w:rsid w:val="0042445B"/>
    <w:rsid w:val="00471AD7"/>
    <w:rsid w:val="00474F4E"/>
    <w:rsid w:val="004B505C"/>
    <w:rsid w:val="004B73B8"/>
    <w:rsid w:val="004E643C"/>
    <w:rsid w:val="004F48B1"/>
    <w:rsid w:val="005077E7"/>
    <w:rsid w:val="005078C4"/>
    <w:rsid w:val="00524049"/>
    <w:rsid w:val="00543440"/>
    <w:rsid w:val="00560DF7"/>
    <w:rsid w:val="00566B91"/>
    <w:rsid w:val="00587B2A"/>
    <w:rsid w:val="00590BE6"/>
    <w:rsid w:val="005C64E6"/>
    <w:rsid w:val="005E0575"/>
    <w:rsid w:val="005F5F7B"/>
    <w:rsid w:val="00612661"/>
    <w:rsid w:val="006130FB"/>
    <w:rsid w:val="00647568"/>
    <w:rsid w:val="00666C11"/>
    <w:rsid w:val="00671B6E"/>
    <w:rsid w:val="00687DDF"/>
    <w:rsid w:val="006C14A9"/>
    <w:rsid w:val="006D2DCA"/>
    <w:rsid w:val="006D561E"/>
    <w:rsid w:val="006E0775"/>
    <w:rsid w:val="006F4CF5"/>
    <w:rsid w:val="0070148D"/>
    <w:rsid w:val="007359C6"/>
    <w:rsid w:val="00757420"/>
    <w:rsid w:val="00757502"/>
    <w:rsid w:val="007705A9"/>
    <w:rsid w:val="00772B2C"/>
    <w:rsid w:val="00777F84"/>
    <w:rsid w:val="007A50E7"/>
    <w:rsid w:val="007A77E2"/>
    <w:rsid w:val="007B385E"/>
    <w:rsid w:val="007B4681"/>
    <w:rsid w:val="007C7632"/>
    <w:rsid w:val="007D0E25"/>
    <w:rsid w:val="007D45F1"/>
    <w:rsid w:val="007E2405"/>
    <w:rsid w:val="007F4528"/>
    <w:rsid w:val="007F5C70"/>
    <w:rsid w:val="00821628"/>
    <w:rsid w:val="00821C8E"/>
    <w:rsid w:val="008647F2"/>
    <w:rsid w:val="008836A9"/>
    <w:rsid w:val="008C19F8"/>
    <w:rsid w:val="008C2AB9"/>
    <w:rsid w:val="008E5A67"/>
    <w:rsid w:val="008E64D2"/>
    <w:rsid w:val="009007CB"/>
    <w:rsid w:val="009031D2"/>
    <w:rsid w:val="009125ED"/>
    <w:rsid w:val="00930B1C"/>
    <w:rsid w:val="00950409"/>
    <w:rsid w:val="00965847"/>
    <w:rsid w:val="00965DA2"/>
    <w:rsid w:val="00977C61"/>
    <w:rsid w:val="009A09F9"/>
    <w:rsid w:val="009D0DFD"/>
    <w:rsid w:val="009D57CD"/>
    <w:rsid w:val="009F5BA8"/>
    <w:rsid w:val="009F7A31"/>
    <w:rsid w:val="00A3042F"/>
    <w:rsid w:val="00A336A6"/>
    <w:rsid w:val="00A4616C"/>
    <w:rsid w:val="00A54376"/>
    <w:rsid w:val="00A544A7"/>
    <w:rsid w:val="00A555A8"/>
    <w:rsid w:val="00A77995"/>
    <w:rsid w:val="00A92C26"/>
    <w:rsid w:val="00A963B5"/>
    <w:rsid w:val="00AA7569"/>
    <w:rsid w:val="00AC3F96"/>
    <w:rsid w:val="00AD154C"/>
    <w:rsid w:val="00B045E0"/>
    <w:rsid w:val="00B16D5D"/>
    <w:rsid w:val="00B42992"/>
    <w:rsid w:val="00B42FC8"/>
    <w:rsid w:val="00B5117A"/>
    <w:rsid w:val="00B6043F"/>
    <w:rsid w:val="00B74BED"/>
    <w:rsid w:val="00B84516"/>
    <w:rsid w:val="00B85AC0"/>
    <w:rsid w:val="00BD70EA"/>
    <w:rsid w:val="00BE29C0"/>
    <w:rsid w:val="00BF45D2"/>
    <w:rsid w:val="00BF4AAF"/>
    <w:rsid w:val="00BF5029"/>
    <w:rsid w:val="00C03B58"/>
    <w:rsid w:val="00C13521"/>
    <w:rsid w:val="00C251F2"/>
    <w:rsid w:val="00C31C0B"/>
    <w:rsid w:val="00C33ADF"/>
    <w:rsid w:val="00C41518"/>
    <w:rsid w:val="00C4693A"/>
    <w:rsid w:val="00C52B4C"/>
    <w:rsid w:val="00C56DED"/>
    <w:rsid w:val="00C757FD"/>
    <w:rsid w:val="00C90444"/>
    <w:rsid w:val="00CB6549"/>
    <w:rsid w:val="00CC0992"/>
    <w:rsid w:val="00CC1462"/>
    <w:rsid w:val="00CC5C1C"/>
    <w:rsid w:val="00CD57C7"/>
    <w:rsid w:val="00CD6F73"/>
    <w:rsid w:val="00D140C1"/>
    <w:rsid w:val="00D268B1"/>
    <w:rsid w:val="00D3205C"/>
    <w:rsid w:val="00D35130"/>
    <w:rsid w:val="00D40319"/>
    <w:rsid w:val="00D63541"/>
    <w:rsid w:val="00D71FA2"/>
    <w:rsid w:val="00D84986"/>
    <w:rsid w:val="00D9615E"/>
    <w:rsid w:val="00DC5545"/>
    <w:rsid w:val="00E07FE4"/>
    <w:rsid w:val="00E123BF"/>
    <w:rsid w:val="00E26A6C"/>
    <w:rsid w:val="00E2760A"/>
    <w:rsid w:val="00E330AF"/>
    <w:rsid w:val="00E36773"/>
    <w:rsid w:val="00E4632D"/>
    <w:rsid w:val="00E55CA6"/>
    <w:rsid w:val="00E70AC2"/>
    <w:rsid w:val="00E72BA4"/>
    <w:rsid w:val="00E776E0"/>
    <w:rsid w:val="00EB38DE"/>
    <w:rsid w:val="00EC0B89"/>
    <w:rsid w:val="00F16B2A"/>
    <w:rsid w:val="00F2179A"/>
    <w:rsid w:val="00F26AC8"/>
    <w:rsid w:val="00F64893"/>
    <w:rsid w:val="00F72681"/>
    <w:rsid w:val="00F86AC1"/>
    <w:rsid w:val="00F94586"/>
    <w:rsid w:val="00FB6CF0"/>
    <w:rsid w:val="00FC58EB"/>
    <w:rsid w:val="00FD005A"/>
    <w:rsid w:val="00FE3E83"/>
    <w:rsid w:val="00FF42A4"/>
    <w:rsid w:val="01DE741E"/>
    <w:rsid w:val="02CF6619"/>
    <w:rsid w:val="06DFD8EB"/>
    <w:rsid w:val="095E7037"/>
    <w:rsid w:val="0DC2060D"/>
    <w:rsid w:val="0F90333E"/>
    <w:rsid w:val="14553C42"/>
    <w:rsid w:val="198A11C8"/>
    <w:rsid w:val="1A671D24"/>
    <w:rsid w:val="1B5606D3"/>
    <w:rsid w:val="1BD67065"/>
    <w:rsid w:val="1DEF3BC1"/>
    <w:rsid w:val="1FD93D0B"/>
    <w:rsid w:val="21093BFC"/>
    <w:rsid w:val="2521ADB5"/>
    <w:rsid w:val="28391E0C"/>
    <w:rsid w:val="2B1E221D"/>
    <w:rsid w:val="2BA7373C"/>
    <w:rsid w:val="33D22AA9"/>
    <w:rsid w:val="37D27194"/>
    <w:rsid w:val="3CA70F9C"/>
    <w:rsid w:val="3DD53950"/>
    <w:rsid w:val="3DF8894F"/>
    <w:rsid w:val="3EA16D64"/>
    <w:rsid w:val="41B4446F"/>
    <w:rsid w:val="43722F6C"/>
    <w:rsid w:val="496316D2"/>
    <w:rsid w:val="49E14C98"/>
    <w:rsid w:val="4B940D87"/>
    <w:rsid w:val="53BA40DE"/>
    <w:rsid w:val="592CDD54"/>
    <w:rsid w:val="5CF6ACA8"/>
    <w:rsid w:val="5E821540"/>
    <w:rsid w:val="5EFB2E68"/>
    <w:rsid w:val="5FF21E24"/>
    <w:rsid w:val="622A3E00"/>
    <w:rsid w:val="665ED310"/>
    <w:rsid w:val="66F70336"/>
    <w:rsid w:val="69CC4F38"/>
    <w:rsid w:val="6AED606E"/>
    <w:rsid w:val="6BD75AC6"/>
    <w:rsid w:val="6F1F8A4A"/>
    <w:rsid w:val="6F381C78"/>
    <w:rsid w:val="6F5F5A2B"/>
    <w:rsid w:val="6F677513"/>
    <w:rsid w:val="71997A3B"/>
    <w:rsid w:val="72FF9C69"/>
    <w:rsid w:val="74B96A79"/>
    <w:rsid w:val="754703EF"/>
    <w:rsid w:val="75F7A491"/>
    <w:rsid w:val="76BD049A"/>
    <w:rsid w:val="77AF3B41"/>
    <w:rsid w:val="77EBC56D"/>
    <w:rsid w:val="78686C39"/>
    <w:rsid w:val="78D77AB1"/>
    <w:rsid w:val="7A7D6327"/>
    <w:rsid w:val="7B6CCF1B"/>
    <w:rsid w:val="7BD78C21"/>
    <w:rsid w:val="7BE16CDA"/>
    <w:rsid w:val="7BEF463D"/>
    <w:rsid w:val="7D759985"/>
    <w:rsid w:val="7DCE7FFF"/>
    <w:rsid w:val="7EDC2F58"/>
    <w:rsid w:val="7FC41D6E"/>
    <w:rsid w:val="7FDF590C"/>
    <w:rsid w:val="7FE7489C"/>
    <w:rsid w:val="7FEAD878"/>
    <w:rsid w:val="7FED6AA2"/>
    <w:rsid w:val="85FF5E4C"/>
    <w:rsid w:val="8EEB5785"/>
    <w:rsid w:val="A6724AE3"/>
    <w:rsid w:val="AEB7EB3F"/>
    <w:rsid w:val="B7FFD203"/>
    <w:rsid w:val="BB9E1961"/>
    <w:rsid w:val="BD7B65A4"/>
    <w:rsid w:val="BF6B5475"/>
    <w:rsid w:val="BF6F309D"/>
    <w:rsid w:val="D3F75A33"/>
    <w:rsid w:val="D5B7E9FF"/>
    <w:rsid w:val="D6C9F973"/>
    <w:rsid w:val="DAFD1943"/>
    <w:rsid w:val="DDEECE74"/>
    <w:rsid w:val="DEFA7A58"/>
    <w:rsid w:val="DEFB5F5F"/>
    <w:rsid w:val="DFBF976C"/>
    <w:rsid w:val="DFDDBE61"/>
    <w:rsid w:val="E5F78667"/>
    <w:rsid w:val="ED7F5855"/>
    <w:rsid w:val="F0EF1DDE"/>
    <w:rsid w:val="F35F68F5"/>
    <w:rsid w:val="F57E5A93"/>
    <w:rsid w:val="F6DFE36B"/>
    <w:rsid w:val="F6F7E187"/>
    <w:rsid w:val="F776511A"/>
    <w:rsid w:val="F7FF886A"/>
    <w:rsid w:val="F9F18A55"/>
    <w:rsid w:val="FBEF439E"/>
    <w:rsid w:val="FD7F7B5F"/>
    <w:rsid w:val="FD8D1E10"/>
    <w:rsid w:val="FDDD78F2"/>
    <w:rsid w:val="FDFF38AA"/>
    <w:rsid w:val="FE2E36D4"/>
    <w:rsid w:val="FE6FB0F7"/>
    <w:rsid w:val="FE7D34DB"/>
    <w:rsid w:val="FFAD061A"/>
    <w:rsid w:val="FFDB75E1"/>
    <w:rsid w:val="FFE38706"/>
    <w:rsid w:val="FFFA2C2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alloon Text"/>
    <w:basedOn w:val="1"/>
    <w:link w:val="12"/>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link w:val="14"/>
    <w:semiHidden/>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locked/>
    <w:uiPriority w:val="0"/>
    <w:rPr>
      <w:i/>
    </w:rPr>
  </w:style>
  <w:style w:type="character" w:styleId="11">
    <w:name w:val="Hyperlink"/>
    <w:basedOn w:val="9"/>
    <w:qFormat/>
    <w:uiPriority w:val="0"/>
    <w:rPr>
      <w:color w:val="0000FF"/>
      <w:u w:val="single"/>
    </w:rPr>
  </w:style>
  <w:style w:type="character" w:customStyle="1" w:styleId="12">
    <w:name w:val="Balloon Text Char"/>
    <w:basedOn w:val="9"/>
    <w:link w:val="3"/>
    <w:semiHidden/>
    <w:qFormat/>
    <w:locked/>
    <w:uiPriority w:val="99"/>
    <w:rPr>
      <w:rFonts w:ascii="Calibri" w:hAnsi="Calibri" w:cs="Times New Roman"/>
      <w:sz w:val="2"/>
    </w:rPr>
  </w:style>
  <w:style w:type="character" w:customStyle="1" w:styleId="13">
    <w:name w:val="Footer Char"/>
    <w:basedOn w:val="9"/>
    <w:link w:val="4"/>
    <w:semiHidden/>
    <w:qFormat/>
    <w:locked/>
    <w:uiPriority w:val="99"/>
    <w:rPr>
      <w:rFonts w:ascii="Calibri" w:hAnsi="Calibri" w:cs="Times New Roman"/>
      <w:sz w:val="18"/>
      <w:szCs w:val="18"/>
    </w:rPr>
  </w:style>
  <w:style w:type="character" w:customStyle="1" w:styleId="14">
    <w:name w:val="Header Char"/>
    <w:basedOn w:val="9"/>
    <w:link w:val="5"/>
    <w:semiHidden/>
    <w:qFormat/>
    <w:locked/>
    <w:uiPriority w:val="99"/>
    <w:rPr>
      <w:rFonts w:ascii="Calibri" w:hAnsi="Calibri"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Pages>
  <Words>56</Words>
  <Characters>323</Characters>
  <Lines>0</Lines>
  <Paragraphs>0</Paragraphs>
  <TotalTime>1</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2019-11-11T23:01:00Z</dcterms:created>
  <dc:creator>DELL</dc:creator>
  <cp:lastModifiedBy>fushunshi</cp:lastModifiedBy>
  <cp:lastPrinted>2025-02-22T18:39:00Z</cp:lastPrinted>
  <dcterms:modified xsi:type="dcterms:W3CDTF">2026-07-21T15:22:22Z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