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解读《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抚顺市市本级国有建设用地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标定地价体系建设成果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》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numPr>
          <w:numId w:val="0"/>
        </w:numPr>
        <w:spacing w:line="360" w:lineRule="auto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制定依据</w:t>
      </w:r>
    </w:p>
    <w:p>
      <w:pPr>
        <w:spacing w:line="360" w:lineRule="auto"/>
        <w:ind w:firstLine="640" w:firstLineChars="200"/>
        <w:rPr>
          <w:rFonts w:hint="eastAsia" w:eastAsia="仿宋"/>
          <w:bCs/>
          <w:color w:val="000000"/>
          <w:sz w:val="32"/>
          <w:szCs w:val="32"/>
          <w:lang w:eastAsia="zh-CN"/>
        </w:rPr>
      </w:pPr>
      <w:r>
        <w:rPr>
          <w:rFonts w:hint="eastAsia" w:eastAsia="仿宋"/>
          <w:bCs/>
          <w:color w:val="000000"/>
          <w:sz w:val="32"/>
          <w:szCs w:val="32"/>
          <w:lang w:eastAsia="zh-CN"/>
        </w:rPr>
        <w:t>新《中华人民共和国城市房地产管理法》规定，基准地价、标定地价和各类房屋的重置价格应当定期确定并公布。自然资源部考虑到标定地价体系建设的重要性，部署开展了2019年度自然资源评价评估工作。按照《关于部署开展2019年度自然资源评价评估工作的通知》（辽自然资办发〔2019〕36号）文件要求，我市开展了</w:t>
      </w: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>抚顺市市本级国有建设用地标定地价体系建设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工作。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二、编制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过程</w:t>
      </w:r>
    </w:p>
    <w:p>
      <w:pPr>
        <w:spacing w:line="360" w:lineRule="auto"/>
        <w:ind w:firstLine="640" w:firstLineChars="200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2020年8月末，抚顺市自然资源局竞争性谈判的方式确定了项目承接单位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，</w:t>
      </w:r>
      <w:r>
        <w:rPr>
          <w:rFonts w:eastAsia="仿宋"/>
          <w:bCs/>
          <w:color w:val="000000"/>
          <w:sz w:val="32"/>
          <w:szCs w:val="32"/>
        </w:rPr>
        <w:t>同时成立了项目领导小组、项目组、专家组、后勤组，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标定</w:t>
      </w:r>
      <w:r>
        <w:rPr>
          <w:rFonts w:eastAsia="仿宋"/>
          <w:bCs/>
          <w:color w:val="000000"/>
          <w:sz w:val="32"/>
          <w:szCs w:val="32"/>
        </w:rPr>
        <w:t>地价制定工作全面展开。在用途为商业、住宅、工业用地土地级别地域及地价动态监测区段的基础上，以各宗地界线为单位，采用多因素综合评价法和叠加法相结合初步划分标定区域。在标定区域内设立标准宗地，并采集初始信息。采用两种以上适宜的评估方法评估标定地价，并提出标定地价标准建议，经政府审核批准后，确定标定地价，依据合规的信息公示程序，向社会发布标定地价及相关信息。</w:t>
      </w:r>
    </w:p>
    <w:p>
      <w:pPr>
        <w:numPr>
          <w:numId w:val="0"/>
        </w:numPr>
        <w:spacing w:line="360" w:lineRule="auto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主要内容</w:t>
      </w:r>
    </w:p>
    <w:p>
      <w:pPr>
        <w:spacing w:line="360" w:lineRule="auto"/>
        <w:ind w:firstLine="640" w:firstLineChars="200"/>
        <w:rPr>
          <w:rFonts w:hint="eastAsia" w:eastAsia="仿宋"/>
          <w:bCs/>
          <w:color w:val="000000"/>
          <w:sz w:val="32"/>
          <w:szCs w:val="32"/>
          <w:lang w:eastAsia="zh-CN"/>
        </w:rPr>
      </w:pP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>抚顺市市本级国有建设用地标定地价体系建设成果，见附表。</w:t>
      </w:r>
    </w:p>
    <w:p>
      <w:pPr>
        <w:numPr>
          <w:numId w:val="0"/>
        </w:numPr>
        <w:spacing w:line="360" w:lineRule="auto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点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定地价体系是地价体系不可缺少的一部分，标定地价的制订对城市地价管理具有重要的现实意义，通过完善以标定地价和标定地价为主体的公示地价体系，为评估地价和政府管理提供参考，有利于进一步规范房地产市场交易主体的行为，落实地价政策，促进土地市场价格水平信息的公开透明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lMTk1YTU4Nzc2ODc4ZDkwMTY5MmJjOTI0N2UzYzkifQ=="/>
  </w:docVars>
  <w:rsids>
    <w:rsidRoot w:val="00000000"/>
    <w:rsid w:val="185C36C6"/>
    <w:rsid w:val="524C2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</w:pPr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617</Characters>
  <Lines>0</Lines>
  <Paragraphs>0</Paragraphs>
  <TotalTime>2</TotalTime>
  <ScaleCrop>false</ScaleCrop>
  <LinksUpToDate>false</LinksUpToDate>
  <CharactersWithSpaces>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2023-04-12T07:58:00Z</dcterms:created>
  <dc:creator>Administrator</dc:creator>
  <cp:lastModifiedBy>Administrator</cp:lastModifiedBy>
  <dcterms:modified xsi:type="dcterms:W3CDTF">2023-04-13T02:28:51Z</dcterms:modified>
  <dc:title>政策解读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55DE1C69A35044D48B43D77EDC21C16B_12</vt:lpwstr>
  </property>
</Properties>
</file>