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b/>
          <w:color w:val="auto"/>
          <w:sz w:val="52"/>
          <w:szCs w:val="52"/>
        </w:rPr>
      </w:pPr>
    </w:p>
    <w:p>
      <w:pPr>
        <w:rPr>
          <w:b/>
          <w:color w:val="auto"/>
          <w:sz w:val="52"/>
          <w:szCs w:val="52"/>
        </w:rPr>
      </w:pPr>
    </w:p>
    <w:p>
      <w:pPr>
        <w:rPr>
          <w:b/>
          <w:color w:val="auto"/>
          <w:sz w:val="52"/>
          <w:szCs w:val="52"/>
        </w:rPr>
      </w:pPr>
    </w:p>
    <w:p>
      <w:pPr>
        <w:rPr>
          <w:b/>
          <w:color w:val="auto"/>
          <w:sz w:val="52"/>
          <w:szCs w:val="52"/>
        </w:rPr>
      </w:pPr>
    </w:p>
    <w:p>
      <w:pPr>
        <w:jc w:val="center"/>
        <w:rPr>
          <w:b/>
          <w:color w:val="auto"/>
          <w:spacing w:val="20"/>
          <w:sz w:val="56"/>
          <w:szCs w:val="56"/>
        </w:rPr>
      </w:pPr>
      <w:r>
        <w:rPr>
          <w:rFonts w:hint="eastAsia"/>
          <w:b/>
          <w:color w:val="auto"/>
          <w:spacing w:val="20"/>
          <w:sz w:val="56"/>
          <w:szCs w:val="56"/>
        </w:rPr>
        <w:t>抚顺市城市供热专项规划</w:t>
      </w:r>
    </w:p>
    <w:p>
      <w:pPr>
        <w:jc w:val="center"/>
        <w:rPr>
          <w:b/>
          <w:color w:val="auto"/>
          <w:sz w:val="48"/>
          <w:szCs w:val="48"/>
        </w:rPr>
      </w:pPr>
    </w:p>
    <w:p>
      <w:pPr>
        <w:jc w:val="center"/>
        <w:rPr>
          <w:b/>
          <w:color w:val="auto"/>
          <w:sz w:val="56"/>
          <w:szCs w:val="56"/>
        </w:rPr>
      </w:pPr>
      <w:r>
        <w:rPr>
          <w:rFonts w:hint="eastAsia"/>
          <w:b/>
          <w:color w:val="auto"/>
          <w:sz w:val="56"/>
          <w:szCs w:val="56"/>
        </w:rPr>
        <w:t>（202</w:t>
      </w:r>
      <w:r>
        <w:rPr>
          <w:rFonts w:hint="eastAsia"/>
          <w:b/>
          <w:color w:val="auto"/>
          <w:sz w:val="56"/>
          <w:szCs w:val="56"/>
          <w:lang w:val="en-US" w:eastAsia="zh-CN"/>
        </w:rPr>
        <w:t>1</w:t>
      </w:r>
      <w:r>
        <w:rPr>
          <w:rFonts w:hint="eastAsia"/>
          <w:b/>
          <w:color w:val="auto"/>
          <w:sz w:val="56"/>
          <w:szCs w:val="56"/>
        </w:rPr>
        <w:t>—203</w:t>
      </w:r>
      <w:r>
        <w:rPr>
          <w:rFonts w:hint="eastAsia"/>
          <w:b/>
          <w:color w:val="auto"/>
          <w:sz w:val="56"/>
          <w:szCs w:val="56"/>
          <w:lang w:val="en-US" w:eastAsia="zh-CN"/>
        </w:rPr>
        <w:t>5</w:t>
      </w:r>
      <w:r>
        <w:rPr>
          <w:rFonts w:hint="eastAsia"/>
          <w:b/>
          <w:color w:val="auto"/>
          <w:sz w:val="56"/>
          <w:szCs w:val="56"/>
        </w:rPr>
        <w:t>年）</w:t>
      </w:r>
    </w:p>
    <w:p>
      <w:pPr>
        <w:jc w:val="center"/>
        <w:rPr>
          <w:b/>
          <w:color w:val="auto"/>
          <w:sz w:val="56"/>
          <w:szCs w:val="56"/>
        </w:rPr>
      </w:pPr>
    </w:p>
    <w:p>
      <w:pPr>
        <w:jc w:val="center"/>
        <w:rPr>
          <w:b/>
          <w:color w:val="auto"/>
          <w:sz w:val="44"/>
          <w:szCs w:val="48"/>
        </w:rPr>
      </w:pPr>
    </w:p>
    <w:p>
      <w:pPr>
        <w:jc w:val="center"/>
        <w:rPr>
          <w:rFonts w:hint="eastAsia" w:eastAsia="宋体"/>
          <w:b/>
          <w:color w:val="auto"/>
          <w:sz w:val="72"/>
          <w:szCs w:val="72"/>
          <w:lang w:eastAsia="zh-CN"/>
        </w:rPr>
      </w:pPr>
      <w:r>
        <w:rPr>
          <w:rFonts w:hint="eastAsia"/>
          <w:b/>
          <w:color w:val="auto"/>
          <w:sz w:val="72"/>
          <w:szCs w:val="72"/>
        </w:rPr>
        <w:t>文本</w:t>
      </w:r>
    </w:p>
    <w:p>
      <w:pPr>
        <w:jc w:val="center"/>
        <w:rPr>
          <w:b/>
          <w:color w:val="auto"/>
          <w:spacing w:val="20"/>
          <w:sz w:val="48"/>
          <w:szCs w:val="48"/>
        </w:rPr>
      </w:pPr>
    </w:p>
    <w:p>
      <w:pPr>
        <w:jc w:val="center"/>
        <w:rPr>
          <w:b/>
          <w:color w:val="auto"/>
          <w:sz w:val="48"/>
          <w:szCs w:val="48"/>
        </w:rPr>
      </w:pPr>
    </w:p>
    <w:p>
      <w:pPr>
        <w:jc w:val="center"/>
        <w:rPr>
          <w:b/>
          <w:color w:val="auto"/>
          <w:sz w:val="48"/>
          <w:szCs w:val="48"/>
        </w:rPr>
      </w:pPr>
    </w:p>
    <w:p>
      <w:pPr>
        <w:jc w:val="center"/>
        <w:rPr>
          <w:b/>
          <w:color w:val="auto"/>
          <w:sz w:val="48"/>
          <w:szCs w:val="48"/>
        </w:rPr>
      </w:pPr>
    </w:p>
    <w:p>
      <w:pPr>
        <w:jc w:val="center"/>
        <w:rPr>
          <w:b/>
          <w:color w:val="auto"/>
          <w:sz w:val="48"/>
          <w:szCs w:val="48"/>
        </w:rPr>
      </w:pPr>
    </w:p>
    <w:p>
      <w:pPr>
        <w:rPr>
          <w:b/>
          <w:color w:val="auto"/>
          <w:sz w:val="48"/>
          <w:szCs w:val="48"/>
        </w:rPr>
      </w:pPr>
    </w:p>
    <w:p>
      <w:pPr>
        <w:jc w:val="center"/>
        <w:rPr>
          <w:b/>
          <w:color w:val="auto"/>
          <w:sz w:val="48"/>
          <w:szCs w:val="48"/>
        </w:rPr>
      </w:pPr>
    </w:p>
    <w:p>
      <w:pPr>
        <w:jc w:val="center"/>
        <w:rPr>
          <w:b/>
          <w:color w:val="auto"/>
          <w:spacing w:val="40"/>
          <w:sz w:val="32"/>
          <w:szCs w:val="28"/>
        </w:rPr>
      </w:pPr>
      <w:r>
        <w:rPr>
          <w:rFonts w:hint="eastAsia"/>
          <w:b/>
          <w:color w:val="auto"/>
          <w:spacing w:val="40"/>
          <w:sz w:val="32"/>
          <w:szCs w:val="28"/>
        </w:rPr>
        <w:t>抚顺市住房和</w:t>
      </w:r>
      <w:r>
        <w:rPr>
          <w:b/>
          <w:color w:val="auto"/>
          <w:spacing w:val="40"/>
          <w:sz w:val="32"/>
          <w:szCs w:val="28"/>
        </w:rPr>
        <w:t>城乡建设局</w:t>
      </w:r>
    </w:p>
    <w:p>
      <w:pPr>
        <w:jc w:val="center"/>
        <w:rPr>
          <w:b/>
          <w:color w:val="auto"/>
          <w:spacing w:val="40"/>
          <w:sz w:val="32"/>
          <w:szCs w:val="28"/>
        </w:rPr>
      </w:pPr>
    </w:p>
    <w:p>
      <w:pPr>
        <w:jc w:val="center"/>
        <w:rPr>
          <w:b/>
          <w:color w:val="auto"/>
          <w:spacing w:val="40"/>
          <w:sz w:val="32"/>
          <w:szCs w:val="28"/>
        </w:rPr>
      </w:pPr>
      <w:r>
        <w:rPr>
          <w:rFonts w:hint="eastAsia"/>
          <w:b/>
          <w:color w:val="auto"/>
          <w:spacing w:val="40"/>
          <w:sz w:val="32"/>
          <w:szCs w:val="28"/>
        </w:rPr>
        <w:t>辽宁城建设计院有限公司</w:t>
      </w:r>
    </w:p>
    <w:p>
      <w:pPr>
        <w:jc w:val="center"/>
        <w:rPr>
          <w:b/>
          <w:color w:val="auto"/>
          <w:spacing w:val="40"/>
          <w:sz w:val="32"/>
          <w:szCs w:val="28"/>
        </w:rPr>
      </w:pPr>
    </w:p>
    <w:p>
      <w:pPr>
        <w:spacing w:line="360" w:lineRule="auto"/>
        <w:jc w:val="center"/>
        <w:rPr>
          <w:b/>
          <w:color w:val="auto"/>
          <w:sz w:val="48"/>
          <w:szCs w:val="48"/>
        </w:rPr>
        <w:sectPr>
          <w:headerReference r:id="rId3" w:type="default"/>
          <w:footerReference r:id="rId4" w:type="even"/>
          <w:type w:val="oddPage"/>
          <w:pgSz w:w="11913" w:h="16834"/>
          <w:pgMar w:top="1418" w:right="1418" w:bottom="1418" w:left="1701" w:header="851" w:footer="851" w:gutter="0"/>
          <w:pgNumType w:start="1"/>
          <w:cols w:space="720" w:num="1"/>
          <w:docGrid w:linePitch="312" w:charSpace="0"/>
        </w:sectPr>
      </w:pPr>
    </w:p>
    <w:p>
      <w:pPr>
        <w:widowControl/>
        <w:spacing w:line="360" w:lineRule="auto"/>
        <w:jc w:val="left"/>
        <w:rPr>
          <w:b/>
          <w:color w:val="auto"/>
          <w:sz w:val="48"/>
          <w:szCs w:val="48"/>
        </w:rPr>
      </w:pPr>
      <w:r>
        <w:rPr>
          <w:color w:val="auto"/>
        </w:rPr>
        <w:drawing>
          <wp:inline distT="0" distB="0" distL="0" distR="0">
            <wp:extent cx="5584190" cy="4002405"/>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8"/>
                    <a:stretch>
                      <a:fillRect/>
                    </a:stretch>
                  </pic:blipFill>
                  <pic:spPr>
                    <a:xfrm>
                      <a:off x="0" y="0"/>
                      <a:ext cx="5584190" cy="4002405"/>
                    </a:xfrm>
                    <a:prstGeom prst="rect">
                      <a:avLst/>
                    </a:prstGeom>
                  </pic:spPr>
                </pic:pic>
              </a:graphicData>
            </a:graphic>
          </wp:inline>
        </w:drawing>
      </w:r>
    </w:p>
    <w:p>
      <w:pPr>
        <w:widowControl/>
        <w:spacing w:line="360" w:lineRule="auto"/>
        <w:jc w:val="left"/>
        <w:rPr>
          <w:b/>
          <w:color w:val="auto"/>
          <w:sz w:val="48"/>
          <w:szCs w:val="48"/>
        </w:rPr>
      </w:pPr>
      <w:r>
        <w:rPr>
          <w:color w:val="auto"/>
        </w:rPr>
        <w:drawing>
          <wp:inline distT="0" distB="0" distL="0" distR="0">
            <wp:extent cx="5584190" cy="4042410"/>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9"/>
                    <a:stretch>
                      <a:fillRect/>
                    </a:stretch>
                  </pic:blipFill>
                  <pic:spPr>
                    <a:xfrm>
                      <a:off x="0" y="0"/>
                      <a:ext cx="5584190" cy="4042410"/>
                    </a:xfrm>
                    <a:prstGeom prst="rect">
                      <a:avLst/>
                    </a:prstGeom>
                  </pic:spPr>
                </pic:pic>
              </a:graphicData>
            </a:graphic>
          </wp:inline>
        </w:drawing>
      </w:r>
      <w:r>
        <w:rPr>
          <w:b/>
          <w:color w:val="auto"/>
          <w:sz w:val="48"/>
          <w:szCs w:val="48"/>
        </w:rPr>
        <w:br w:type="page"/>
      </w:r>
    </w:p>
    <w:p>
      <w:pPr>
        <w:widowControl/>
        <w:spacing w:line="360" w:lineRule="auto"/>
        <w:jc w:val="left"/>
        <w:rPr>
          <w:b/>
          <w:color w:val="auto"/>
          <w:sz w:val="48"/>
          <w:szCs w:val="48"/>
        </w:rPr>
      </w:pPr>
      <w:r>
        <w:rPr>
          <w:b/>
          <w:color w:val="auto"/>
          <w:sz w:val="48"/>
          <w:szCs w:val="48"/>
        </w:rPr>
        <w:drawing>
          <wp:inline distT="0" distB="0" distL="0" distR="0">
            <wp:extent cx="5584190" cy="7904480"/>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5584190" cy="7904480"/>
                    </a:xfrm>
                    <a:prstGeom prst="rect">
                      <a:avLst/>
                    </a:prstGeom>
                  </pic:spPr>
                </pic:pic>
              </a:graphicData>
            </a:graphic>
          </wp:inline>
        </w:drawing>
      </w:r>
    </w:p>
    <w:p>
      <w:pPr>
        <w:widowControl/>
        <w:spacing w:line="360" w:lineRule="auto"/>
        <w:jc w:val="left"/>
        <w:rPr>
          <w:b/>
          <w:color w:val="auto"/>
          <w:sz w:val="48"/>
          <w:szCs w:val="48"/>
        </w:rPr>
      </w:pPr>
    </w:p>
    <w:p>
      <w:pPr>
        <w:spacing w:line="360" w:lineRule="auto"/>
        <w:jc w:val="center"/>
        <w:rPr>
          <w:b/>
          <w:color w:val="auto"/>
          <w:sz w:val="36"/>
          <w:szCs w:val="32"/>
        </w:rPr>
      </w:pPr>
      <w:r>
        <w:rPr>
          <w:rFonts w:hint="eastAsia"/>
          <w:b/>
          <w:color w:val="auto"/>
          <w:sz w:val="36"/>
          <w:szCs w:val="32"/>
        </w:rPr>
        <w:t>目  录</w:t>
      </w:r>
    </w:p>
    <w:p>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TOC \o "1-3" \h \z \u</w:instrText>
      </w:r>
      <w:r>
        <w:rPr>
          <w:color w:val="auto"/>
          <w:sz w:val="24"/>
          <w:szCs w:val="24"/>
        </w:rPr>
        <w:instrText xml:space="preserve"> </w:instrText>
      </w:r>
      <w:r>
        <w:rPr>
          <w:color w:val="auto"/>
          <w:sz w:val="24"/>
          <w:szCs w:val="24"/>
        </w:rPr>
        <w:fldChar w:fldCharType="separate"/>
      </w:r>
      <w:r>
        <w:rPr>
          <w:color w:val="auto"/>
          <w:sz w:val="24"/>
          <w:szCs w:val="24"/>
        </w:rPr>
        <w:fldChar w:fldCharType="begin"/>
      </w:r>
      <w:r>
        <w:rPr>
          <w:sz w:val="24"/>
          <w:szCs w:val="24"/>
        </w:rPr>
        <w:instrText xml:space="preserve"> HYPERLINK \l _Toc25875 </w:instrText>
      </w:r>
      <w:r>
        <w:rPr>
          <w:sz w:val="24"/>
          <w:szCs w:val="24"/>
        </w:rPr>
        <w:fldChar w:fldCharType="separate"/>
      </w:r>
      <w:r>
        <w:rPr>
          <w:rFonts w:hint="default"/>
          <w:sz w:val="24"/>
          <w:szCs w:val="24"/>
        </w:rPr>
        <w:t xml:space="preserve">第一章 </w:t>
      </w:r>
      <w:r>
        <w:rPr>
          <w:rFonts w:hint="eastAsia"/>
          <w:sz w:val="24"/>
          <w:szCs w:val="24"/>
        </w:rPr>
        <w:t>总 则</w:t>
      </w:r>
      <w:r>
        <w:rPr>
          <w:sz w:val="24"/>
          <w:szCs w:val="24"/>
        </w:rPr>
        <w:tab/>
      </w:r>
      <w:r>
        <w:rPr>
          <w:sz w:val="24"/>
          <w:szCs w:val="24"/>
        </w:rPr>
        <w:fldChar w:fldCharType="begin"/>
      </w:r>
      <w:r>
        <w:rPr>
          <w:sz w:val="24"/>
          <w:szCs w:val="24"/>
        </w:rPr>
        <w:instrText xml:space="preserve"> PAGEREF _Toc25875 \h </w:instrText>
      </w:r>
      <w:r>
        <w:rPr>
          <w:sz w:val="24"/>
          <w:szCs w:val="24"/>
        </w:rPr>
        <w:fldChar w:fldCharType="separate"/>
      </w:r>
      <w:r>
        <w:rPr>
          <w:sz w:val="24"/>
          <w:szCs w:val="24"/>
        </w:rPr>
        <w:t>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_Toc19894 </w:instrText>
      </w:r>
      <w:r>
        <w:rPr>
          <w:sz w:val="24"/>
          <w:szCs w:val="24"/>
        </w:rPr>
        <w:fldChar w:fldCharType="separate"/>
      </w:r>
      <w:r>
        <w:rPr>
          <w:rFonts w:hint="eastAsia" w:ascii="Times New Roman" w:hAnsi="Times New Roman" w:cs="Times New Roman"/>
          <w:sz w:val="24"/>
          <w:szCs w:val="24"/>
        </w:rPr>
        <w:t>一、规划编制的目的</w:t>
      </w:r>
      <w:r>
        <w:rPr>
          <w:rFonts w:ascii="Times New Roman" w:hAnsi="Times New Roman" w:cs="Times New Roman"/>
          <w:sz w:val="24"/>
          <w:szCs w:val="24"/>
        </w:rPr>
        <w:t>、指导思想与规划原则</w:t>
      </w:r>
      <w:r>
        <w:rPr>
          <w:sz w:val="24"/>
          <w:szCs w:val="24"/>
        </w:rPr>
        <w:tab/>
      </w:r>
      <w:r>
        <w:rPr>
          <w:sz w:val="24"/>
          <w:szCs w:val="24"/>
        </w:rPr>
        <w:fldChar w:fldCharType="begin"/>
      </w:r>
      <w:r>
        <w:rPr>
          <w:sz w:val="24"/>
          <w:szCs w:val="24"/>
        </w:rPr>
        <w:instrText xml:space="preserve"> PAGEREF _Toc19894 \h </w:instrText>
      </w:r>
      <w:r>
        <w:rPr>
          <w:sz w:val="24"/>
          <w:szCs w:val="24"/>
        </w:rPr>
        <w:fldChar w:fldCharType="separate"/>
      </w:r>
      <w:r>
        <w:rPr>
          <w:sz w:val="24"/>
          <w:szCs w:val="24"/>
        </w:rPr>
        <w:t>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_Toc21063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编制目的</w:t>
      </w:r>
      <w:r>
        <w:rPr>
          <w:sz w:val="24"/>
          <w:szCs w:val="24"/>
        </w:rPr>
        <w:tab/>
      </w:r>
      <w:r>
        <w:rPr>
          <w:sz w:val="24"/>
          <w:szCs w:val="24"/>
        </w:rPr>
        <w:fldChar w:fldCharType="begin"/>
      </w:r>
      <w:r>
        <w:rPr>
          <w:sz w:val="24"/>
          <w:szCs w:val="24"/>
        </w:rPr>
        <w:instrText xml:space="preserve"> PAGEREF _Toc21063 \h </w:instrText>
      </w:r>
      <w:r>
        <w:rPr>
          <w:sz w:val="24"/>
          <w:szCs w:val="24"/>
        </w:rPr>
        <w:fldChar w:fldCharType="separate"/>
      </w:r>
      <w:r>
        <w:rPr>
          <w:sz w:val="24"/>
          <w:szCs w:val="24"/>
        </w:rPr>
        <w:t>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_Toc26267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2</w:t>
      </w:r>
      <w:r>
        <w:rPr>
          <w:rFonts w:hint="eastAsia" w:ascii="Times New Roman" w:hAnsi="Times New Roman" w:cs="Times New Roman"/>
          <w:sz w:val="24"/>
          <w:szCs w:val="24"/>
        </w:rPr>
        <w:t>指导思想</w:t>
      </w:r>
      <w:r>
        <w:rPr>
          <w:sz w:val="24"/>
          <w:szCs w:val="24"/>
        </w:rPr>
        <w:tab/>
      </w:r>
      <w:r>
        <w:rPr>
          <w:sz w:val="24"/>
          <w:szCs w:val="24"/>
        </w:rPr>
        <w:fldChar w:fldCharType="begin"/>
      </w:r>
      <w:r>
        <w:rPr>
          <w:sz w:val="24"/>
          <w:szCs w:val="24"/>
        </w:rPr>
        <w:instrText xml:space="preserve"> PAGEREF _Toc26267 \h </w:instrText>
      </w:r>
      <w:r>
        <w:rPr>
          <w:sz w:val="24"/>
          <w:szCs w:val="24"/>
        </w:rPr>
        <w:fldChar w:fldCharType="separate"/>
      </w:r>
      <w:r>
        <w:rPr>
          <w:sz w:val="24"/>
          <w:szCs w:val="24"/>
        </w:rPr>
        <w:t>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_Toc27451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3</w:t>
      </w:r>
      <w:r>
        <w:rPr>
          <w:rFonts w:hint="eastAsia" w:ascii="Times New Roman" w:hAnsi="Times New Roman" w:cs="Times New Roman"/>
          <w:sz w:val="24"/>
          <w:szCs w:val="24"/>
        </w:rPr>
        <w:t>编制原则</w:t>
      </w:r>
      <w:r>
        <w:rPr>
          <w:sz w:val="24"/>
          <w:szCs w:val="24"/>
        </w:rPr>
        <w:tab/>
      </w:r>
      <w:r>
        <w:rPr>
          <w:sz w:val="24"/>
          <w:szCs w:val="24"/>
        </w:rPr>
        <w:fldChar w:fldCharType="begin"/>
      </w:r>
      <w:r>
        <w:rPr>
          <w:sz w:val="24"/>
          <w:szCs w:val="24"/>
        </w:rPr>
        <w:instrText xml:space="preserve"> PAGEREF _Toc27451 \h </w:instrText>
      </w:r>
      <w:r>
        <w:rPr>
          <w:sz w:val="24"/>
          <w:szCs w:val="24"/>
        </w:rPr>
        <w:fldChar w:fldCharType="separate"/>
      </w:r>
      <w:r>
        <w:rPr>
          <w:sz w:val="24"/>
          <w:szCs w:val="24"/>
        </w:rPr>
        <w:t>8</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_Toc24946 </w:instrText>
      </w:r>
      <w:r>
        <w:rPr>
          <w:sz w:val="24"/>
          <w:szCs w:val="24"/>
        </w:rPr>
        <w:fldChar w:fldCharType="separate"/>
      </w:r>
      <w:r>
        <w:rPr>
          <w:rFonts w:hint="eastAsia" w:ascii="Times New Roman" w:hAnsi="Times New Roman" w:cs="Times New Roman"/>
          <w:sz w:val="24"/>
          <w:szCs w:val="24"/>
        </w:rPr>
        <w:t>二、规划</w:t>
      </w:r>
      <w:r>
        <w:rPr>
          <w:rFonts w:ascii="Times New Roman" w:hAnsi="Times New Roman" w:cs="Times New Roman"/>
          <w:sz w:val="24"/>
          <w:szCs w:val="24"/>
        </w:rPr>
        <w:t>依据、</w:t>
      </w:r>
      <w:r>
        <w:rPr>
          <w:rFonts w:hint="eastAsia" w:ascii="Times New Roman" w:hAnsi="Times New Roman" w:cs="Times New Roman"/>
          <w:sz w:val="24"/>
          <w:szCs w:val="24"/>
        </w:rPr>
        <w:t>规划范围与</w:t>
      </w:r>
      <w:r>
        <w:rPr>
          <w:rFonts w:ascii="Times New Roman" w:hAnsi="Times New Roman" w:cs="Times New Roman"/>
          <w:sz w:val="24"/>
          <w:szCs w:val="24"/>
        </w:rPr>
        <w:t>期限</w:t>
      </w:r>
      <w:r>
        <w:rPr>
          <w:sz w:val="24"/>
          <w:szCs w:val="24"/>
        </w:rPr>
        <w:tab/>
      </w:r>
      <w:r>
        <w:rPr>
          <w:sz w:val="24"/>
          <w:szCs w:val="24"/>
        </w:rPr>
        <w:fldChar w:fldCharType="begin"/>
      </w:r>
      <w:r>
        <w:rPr>
          <w:sz w:val="24"/>
          <w:szCs w:val="24"/>
        </w:rPr>
        <w:instrText xml:space="preserve"> PAGEREF _Toc24946 \h </w:instrText>
      </w:r>
      <w:r>
        <w:rPr>
          <w:sz w:val="24"/>
          <w:szCs w:val="24"/>
        </w:rPr>
        <w:fldChar w:fldCharType="separate"/>
      </w:r>
      <w:r>
        <w:rPr>
          <w:sz w:val="24"/>
          <w:szCs w:val="24"/>
        </w:rPr>
        <w:t>9</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_Toc22454 </w:instrText>
      </w:r>
      <w:r>
        <w:rPr>
          <w:sz w:val="24"/>
          <w:szCs w:val="24"/>
        </w:rPr>
        <w:fldChar w:fldCharType="separate"/>
      </w:r>
      <w:r>
        <w:rPr>
          <w:rFonts w:ascii="Times New Roman" w:hAnsi="Times New Roman" w:cs="Times New Roman"/>
          <w:sz w:val="24"/>
          <w:szCs w:val="24"/>
        </w:rPr>
        <w:t>2.1</w:t>
      </w:r>
      <w:r>
        <w:rPr>
          <w:rFonts w:hint="eastAsia" w:ascii="Times New Roman" w:hAnsi="Times New Roman" w:cs="Times New Roman"/>
          <w:sz w:val="24"/>
          <w:szCs w:val="24"/>
        </w:rPr>
        <w:t>规划依据</w:t>
      </w:r>
      <w:r>
        <w:rPr>
          <w:sz w:val="24"/>
          <w:szCs w:val="24"/>
        </w:rPr>
        <w:tab/>
      </w:r>
      <w:r>
        <w:rPr>
          <w:sz w:val="24"/>
          <w:szCs w:val="24"/>
        </w:rPr>
        <w:fldChar w:fldCharType="begin"/>
      </w:r>
      <w:r>
        <w:rPr>
          <w:sz w:val="24"/>
          <w:szCs w:val="24"/>
        </w:rPr>
        <w:instrText xml:space="preserve"> PAGEREF _Toc22454 \h </w:instrText>
      </w:r>
      <w:r>
        <w:rPr>
          <w:sz w:val="24"/>
          <w:szCs w:val="24"/>
        </w:rPr>
        <w:fldChar w:fldCharType="separate"/>
      </w:r>
      <w:r>
        <w:rPr>
          <w:sz w:val="24"/>
          <w:szCs w:val="24"/>
        </w:rPr>
        <w:t>9</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_Toc31390 </w:instrText>
      </w:r>
      <w:r>
        <w:rPr>
          <w:sz w:val="24"/>
          <w:szCs w:val="24"/>
        </w:rPr>
        <w:fldChar w:fldCharType="separate"/>
      </w:r>
      <w:r>
        <w:rPr>
          <w:rFonts w:ascii="Times New Roman" w:hAnsi="Times New Roman" w:cs="Times New Roman"/>
          <w:sz w:val="24"/>
          <w:szCs w:val="24"/>
        </w:rPr>
        <w:t>2.2</w:t>
      </w:r>
      <w:r>
        <w:rPr>
          <w:rFonts w:hint="eastAsia" w:ascii="Times New Roman" w:hAnsi="Times New Roman" w:cs="Times New Roman"/>
          <w:sz w:val="24"/>
          <w:szCs w:val="24"/>
        </w:rPr>
        <w:t>规划范围</w:t>
      </w:r>
      <w:r>
        <w:rPr>
          <w:sz w:val="24"/>
          <w:szCs w:val="24"/>
        </w:rPr>
        <w:tab/>
      </w:r>
      <w:r>
        <w:rPr>
          <w:sz w:val="24"/>
          <w:szCs w:val="24"/>
        </w:rPr>
        <w:fldChar w:fldCharType="begin"/>
      </w:r>
      <w:r>
        <w:rPr>
          <w:sz w:val="24"/>
          <w:szCs w:val="24"/>
        </w:rPr>
        <w:instrText xml:space="preserve"> PAGEREF _Toc31390 \h </w:instrText>
      </w:r>
      <w:r>
        <w:rPr>
          <w:sz w:val="24"/>
          <w:szCs w:val="24"/>
        </w:rPr>
        <w:fldChar w:fldCharType="separate"/>
      </w:r>
      <w:r>
        <w:rPr>
          <w:sz w:val="24"/>
          <w:szCs w:val="24"/>
        </w:rPr>
        <w:t>12</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_Toc3964 </w:instrText>
      </w:r>
      <w:r>
        <w:rPr>
          <w:sz w:val="24"/>
          <w:szCs w:val="24"/>
        </w:rPr>
        <w:fldChar w:fldCharType="separate"/>
      </w:r>
      <w:r>
        <w:rPr>
          <w:rFonts w:ascii="Times New Roman" w:hAnsi="Times New Roman" w:cs="Times New Roman"/>
          <w:sz w:val="24"/>
          <w:szCs w:val="24"/>
        </w:rPr>
        <w:t>2.3</w:t>
      </w:r>
      <w:r>
        <w:rPr>
          <w:rFonts w:hint="eastAsia" w:ascii="Times New Roman" w:hAnsi="Times New Roman" w:cs="Times New Roman"/>
          <w:sz w:val="24"/>
          <w:szCs w:val="24"/>
        </w:rPr>
        <w:t>规划期限</w:t>
      </w:r>
      <w:r>
        <w:rPr>
          <w:sz w:val="24"/>
          <w:szCs w:val="24"/>
        </w:rPr>
        <w:tab/>
      </w:r>
      <w:r>
        <w:rPr>
          <w:sz w:val="24"/>
          <w:szCs w:val="24"/>
        </w:rPr>
        <w:fldChar w:fldCharType="begin"/>
      </w:r>
      <w:r>
        <w:rPr>
          <w:sz w:val="24"/>
          <w:szCs w:val="24"/>
        </w:rPr>
        <w:instrText xml:space="preserve"> PAGEREF _Toc3964 \h </w:instrText>
      </w:r>
      <w:r>
        <w:rPr>
          <w:sz w:val="24"/>
          <w:szCs w:val="24"/>
        </w:rPr>
        <w:fldChar w:fldCharType="separate"/>
      </w:r>
      <w:r>
        <w:rPr>
          <w:sz w:val="24"/>
          <w:szCs w:val="24"/>
        </w:rPr>
        <w:t>12</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_Toc27670 </w:instrText>
      </w:r>
      <w:r>
        <w:rPr>
          <w:sz w:val="24"/>
          <w:szCs w:val="24"/>
        </w:rPr>
        <w:fldChar w:fldCharType="separate"/>
      </w:r>
      <w:r>
        <w:rPr>
          <w:rFonts w:ascii="Times New Roman" w:hAnsi="Times New Roman" w:cs="Times New Roman"/>
          <w:sz w:val="24"/>
          <w:szCs w:val="24"/>
        </w:rPr>
        <w:t>2.4</w:t>
      </w:r>
      <w:r>
        <w:rPr>
          <w:rFonts w:hint="eastAsia" w:ascii="Times New Roman" w:hAnsi="Times New Roman" w:cs="Times New Roman"/>
          <w:sz w:val="24"/>
          <w:szCs w:val="24"/>
        </w:rPr>
        <w:t>规划内容</w:t>
      </w:r>
      <w:r>
        <w:rPr>
          <w:sz w:val="24"/>
          <w:szCs w:val="24"/>
        </w:rPr>
        <w:tab/>
      </w:r>
      <w:r>
        <w:rPr>
          <w:sz w:val="24"/>
          <w:szCs w:val="24"/>
        </w:rPr>
        <w:fldChar w:fldCharType="begin"/>
      </w:r>
      <w:r>
        <w:rPr>
          <w:sz w:val="24"/>
          <w:szCs w:val="24"/>
        </w:rPr>
        <w:instrText xml:space="preserve"> PAGEREF _Toc27670 \h </w:instrText>
      </w:r>
      <w:r>
        <w:rPr>
          <w:sz w:val="24"/>
          <w:szCs w:val="24"/>
        </w:rPr>
        <w:fldChar w:fldCharType="separate"/>
      </w:r>
      <w:r>
        <w:rPr>
          <w:sz w:val="24"/>
          <w:szCs w:val="24"/>
        </w:rPr>
        <w:t>12</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_Toc2269 </w:instrText>
      </w:r>
      <w:r>
        <w:rPr>
          <w:sz w:val="24"/>
          <w:szCs w:val="24"/>
        </w:rPr>
        <w:fldChar w:fldCharType="separate"/>
      </w:r>
      <w:r>
        <w:rPr>
          <w:rFonts w:hint="eastAsia" w:ascii="Times New Roman" w:hAnsi="Times New Roman" w:cs="Times New Roman"/>
          <w:sz w:val="24"/>
          <w:szCs w:val="24"/>
        </w:rPr>
        <w:t>三、规划目标</w:t>
      </w:r>
      <w:r>
        <w:rPr>
          <w:sz w:val="24"/>
          <w:szCs w:val="24"/>
        </w:rPr>
        <w:tab/>
      </w:r>
      <w:r>
        <w:rPr>
          <w:sz w:val="24"/>
          <w:szCs w:val="24"/>
        </w:rPr>
        <w:fldChar w:fldCharType="begin"/>
      </w:r>
      <w:r>
        <w:rPr>
          <w:sz w:val="24"/>
          <w:szCs w:val="24"/>
        </w:rPr>
        <w:instrText xml:space="preserve"> PAGEREF _Toc2269 \h </w:instrText>
      </w:r>
      <w:r>
        <w:rPr>
          <w:sz w:val="24"/>
          <w:szCs w:val="24"/>
        </w:rPr>
        <w:fldChar w:fldCharType="separate"/>
      </w:r>
      <w:r>
        <w:rPr>
          <w:sz w:val="24"/>
          <w:szCs w:val="24"/>
        </w:rPr>
        <w:t>13</w:t>
      </w:r>
      <w:r>
        <w:rPr>
          <w:sz w:val="24"/>
          <w:szCs w:val="24"/>
        </w:rPr>
        <w:fldChar w:fldCharType="end"/>
      </w:r>
      <w:r>
        <w:rPr>
          <w:color w:val="auto"/>
          <w:sz w:val="24"/>
          <w:szCs w:val="24"/>
        </w:rPr>
        <w:fldChar w:fldCharType="end"/>
      </w:r>
    </w:p>
    <w:p>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_Toc20020 </w:instrText>
      </w:r>
      <w:r>
        <w:rPr>
          <w:sz w:val="24"/>
          <w:szCs w:val="24"/>
        </w:rPr>
        <w:fldChar w:fldCharType="separate"/>
      </w:r>
      <w:r>
        <w:rPr>
          <w:sz w:val="24"/>
          <w:szCs w:val="24"/>
        </w:rPr>
        <w:t>第</w:t>
      </w:r>
      <w:r>
        <w:rPr>
          <w:rFonts w:hint="eastAsia"/>
          <w:sz w:val="24"/>
          <w:szCs w:val="24"/>
        </w:rPr>
        <w:t>二</w:t>
      </w:r>
      <w:r>
        <w:rPr>
          <w:sz w:val="24"/>
          <w:szCs w:val="24"/>
        </w:rPr>
        <w:t xml:space="preserve">章 </w:t>
      </w:r>
      <w:r>
        <w:rPr>
          <w:rFonts w:hint="eastAsia"/>
          <w:sz w:val="24"/>
          <w:szCs w:val="24"/>
        </w:rPr>
        <w:t xml:space="preserve"> </w:t>
      </w:r>
      <w:r>
        <w:rPr>
          <w:sz w:val="24"/>
          <w:szCs w:val="24"/>
        </w:rPr>
        <w:t>热负荷</w:t>
      </w:r>
      <w:r>
        <w:rPr>
          <w:sz w:val="24"/>
          <w:szCs w:val="24"/>
        </w:rPr>
        <w:tab/>
      </w:r>
      <w:r>
        <w:rPr>
          <w:sz w:val="24"/>
          <w:szCs w:val="24"/>
        </w:rPr>
        <w:fldChar w:fldCharType="begin"/>
      </w:r>
      <w:r>
        <w:rPr>
          <w:sz w:val="24"/>
          <w:szCs w:val="24"/>
        </w:rPr>
        <w:instrText xml:space="preserve"> PAGEREF _Toc20020 \h </w:instrText>
      </w:r>
      <w:r>
        <w:rPr>
          <w:sz w:val="24"/>
          <w:szCs w:val="24"/>
        </w:rPr>
        <w:fldChar w:fldCharType="separate"/>
      </w:r>
      <w:r>
        <w:rPr>
          <w:sz w:val="24"/>
          <w:szCs w:val="24"/>
        </w:rPr>
        <w:t>15</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_Toc20696 </w:instrText>
      </w:r>
      <w:r>
        <w:rPr>
          <w:sz w:val="24"/>
          <w:szCs w:val="24"/>
        </w:rPr>
        <w:fldChar w:fldCharType="separate"/>
      </w:r>
      <w:r>
        <w:rPr>
          <w:rFonts w:hint="eastAsia" w:ascii="Times New Roman" w:hAnsi="Times New Roman" w:cs="Times New Roman"/>
          <w:sz w:val="24"/>
          <w:szCs w:val="24"/>
        </w:rPr>
        <w:t>一、热指标</w:t>
      </w:r>
      <w:r>
        <w:rPr>
          <w:sz w:val="24"/>
          <w:szCs w:val="24"/>
        </w:rPr>
        <w:tab/>
      </w:r>
      <w:r>
        <w:rPr>
          <w:sz w:val="24"/>
          <w:szCs w:val="24"/>
        </w:rPr>
        <w:fldChar w:fldCharType="begin"/>
      </w:r>
      <w:r>
        <w:rPr>
          <w:sz w:val="24"/>
          <w:szCs w:val="24"/>
        </w:rPr>
        <w:instrText xml:space="preserve"> PAGEREF _Toc20696 \h </w:instrText>
      </w:r>
      <w:r>
        <w:rPr>
          <w:sz w:val="24"/>
          <w:szCs w:val="24"/>
        </w:rPr>
        <w:fldChar w:fldCharType="separate"/>
      </w:r>
      <w:r>
        <w:rPr>
          <w:sz w:val="24"/>
          <w:szCs w:val="24"/>
        </w:rPr>
        <w:t>15</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_Toc8166 </w:instrText>
      </w:r>
      <w:r>
        <w:rPr>
          <w:sz w:val="24"/>
          <w:szCs w:val="24"/>
        </w:rPr>
        <w:fldChar w:fldCharType="separate"/>
      </w:r>
      <w:r>
        <w:rPr>
          <w:rFonts w:hint="eastAsia" w:ascii="Times New Roman" w:hAnsi="Times New Roman" w:cs="Times New Roman"/>
          <w:sz w:val="24"/>
          <w:szCs w:val="24"/>
        </w:rPr>
        <w:t>二、现有热负荷</w:t>
      </w:r>
      <w:r>
        <w:rPr>
          <w:sz w:val="24"/>
          <w:szCs w:val="24"/>
        </w:rPr>
        <w:tab/>
      </w:r>
      <w:r>
        <w:rPr>
          <w:sz w:val="24"/>
          <w:szCs w:val="24"/>
        </w:rPr>
        <w:fldChar w:fldCharType="begin"/>
      </w:r>
      <w:r>
        <w:rPr>
          <w:sz w:val="24"/>
          <w:szCs w:val="24"/>
        </w:rPr>
        <w:instrText xml:space="preserve"> PAGEREF _Toc8166 \h </w:instrText>
      </w:r>
      <w:r>
        <w:rPr>
          <w:sz w:val="24"/>
          <w:szCs w:val="24"/>
        </w:rPr>
        <w:fldChar w:fldCharType="separate"/>
      </w:r>
      <w:r>
        <w:rPr>
          <w:sz w:val="24"/>
          <w:szCs w:val="24"/>
        </w:rPr>
        <w:t>17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_Toc252 </w:instrText>
      </w:r>
      <w:r>
        <w:rPr>
          <w:sz w:val="24"/>
          <w:szCs w:val="24"/>
        </w:rPr>
        <w:fldChar w:fldCharType="separate"/>
      </w:r>
      <w:r>
        <w:rPr>
          <w:rFonts w:hint="eastAsia" w:ascii="Times New Roman" w:hAnsi="Times New Roman" w:cs="Times New Roman"/>
          <w:sz w:val="24"/>
          <w:szCs w:val="24"/>
        </w:rPr>
        <w:t>三、规划</w:t>
      </w:r>
      <w:r>
        <w:rPr>
          <w:rFonts w:ascii="Times New Roman" w:hAnsi="Times New Roman" w:cs="Times New Roman"/>
          <w:sz w:val="24"/>
          <w:szCs w:val="24"/>
        </w:rPr>
        <w:t>热负荷</w:t>
      </w:r>
      <w:r>
        <w:rPr>
          <w:sz w:val="24"/>
          <w:szCs w:val="24"/>
        </w:rPr>
        <w:tab/>
      </w:r>
      <w:r>
        <w:rPr>
          <w:sz w:val="24"/>
          <w:szCs w:val="24"/>
        </w:rPr>
        <w:fldChar w:fldCharType="begin"/>
      </w:r>
      <w:r>
        <w:rPr>
          <w:sz w:val="24"/>
          <w:szCs w:val="24"/>
        </w:rPr>
        <w:instrText xml:space="preserve"> PAGEREF _Toc252 \h </w:instrText>
      </w:r>
      <w:r>
        <w:rPr>
          <w:sz w:val="24"/>
          <w:szCs w:val="24"/>
        </w:rPr>
        <w:fldChar w:fldCharType="separate"/>
      </w:r>
      <w:r>
        <w:rPr>
          <w:sz w:val="24"/>
          <w:szCs w:val="24"/>
        </w:rPr>
        <w:t>18</w:t>
      </w:r>
      <w:r>
        <w:rPr>
          <w:sz w:val="24"/>
          <w:szCs w:val="24"/>
        </w:rPr>
        <w:fldChar w:fldCharType="end"/>
      </w:r>
      <w:r>
        <w:rPr>
          <w:color w:val="auto"/>
          <w:sz w:val="24"/>
          <w:szCs w:val="24"/>
        </w:rPr>
        <w:fldChar w:fldCharType="end"/>
      </w:r>
    </w:p>
    <w:p>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_Toc14700 </w:instrText>
      </w:r>
      <w:r>
        <w:rPr>
          <w:sz w:val="24"/>
          <w:szCs w:val="24"/>
        </w:rPr>
        <w:fldChar w:fldCharType="separate"/>
      </w:r>
      <w:r>
        <w:rPr>
          <w:sz w:val="24"/>
          <w:szCs w:val="24"/>
        </w:rPr>
        <w:t>第</w:t>
      </w:r>
      <w:r>
        <w:rPr>
          <w:rFonts w:hint="eastAsia"/>
          <w:sz w:val="24"/>
          <w:szCs w:val="24"/>
        </w:rPr>
        <w:t>三</w:t>
      </w:r>
      <w:r>
        <w:rPr>
          <w:sz w:val="24"/>
          <w:szCs w:val="24"/>
        </w:rPr>
        <w:t>章</w:t>
      </w:r>
      <w:r>
        <w:rPr>
          <w:rFonts w:hint="eastAsia"/>
          <w:sz w:val="24"/>
          <w:szCs w:val="24"/>
        </w:rPr>
        <w:t xml:space="preserve">  供热方式与供热分区</w:t>
      </w:r>
      <w:r>
        <w:rPr>
          <w:sz w:val="24"/>
          <w:szCs w:val="24"/>
        </w:rPr>
        <w:tab/>
      </w:r>
      <w:r>
        <w:rPr>
          <w:sz w:val="24"/>
          <w:szCs w:val="24"/>
        </w:rPr>
        <w:fldChar w:fldCharType="begin"/>
      </w:r>
      <w:r>
        <w:rPr>
          <w:sz w:val="24"/>
          <w:szCs w:val="24"/>
        </w:rPr>
        <w:instrText xml:space="preserve"> PAGEREF _Toc14700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_Toc27059 </w:instrText>
      </w:r>
      <w:r>
        <w:rPr>
          <w:sz w:val="24"/>
          <w:szCs w:val="24"/>
        </w:rPr>
        <w:fldChar w:fldCharType="separate"/>
      </w:r>
      <w:r>
        <w:rPr>
          <w:rFonts w:hint="eastAsia" w:ascii="Times New Roman" w:hAnsi="Times New Roman" w:cs="Times New Roman"/>
          <w:sz w:val="24"/>
          <w:szCs w:val="24"/>
        </w:rPr>
        <w:t>一、供热方式</w:t>
      </w:r>
      <w:r>
        <w:rPr>
          <w:sz w:val="24"/>
          <w:szCs w:val="24"/>
        </w:rPr>
        <w:tab/>
      </w:r>
      <w:r>
        <w:rPr>
          <w:sz w:val="24"/>
          <w:szCs w:val="24"/>
        </w:rPr>
        <w:fldChar w:fldCharType="begin"/>
      </w:r>
      <w:r>
        <w:rPr>
          <w:sz w:val="24"/>
          <w:szCs w:val="24"/>
        </w:rPr>
        <w:instrText xml:space="preserve"> PAGEREF _Toc27059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_Toc17933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.1 供热方式类别</w:t>
      </w:r>
      <w:r>
        <w:rPr>
          <w:sz w:val="24"/>
          <w:szCs w:val="24"/>
        </w:rPr>
        <w:tab/>
      </w:r>
      <w:r>
        <w:rPr>
          <w:sz w:val="24"/>
          <w:szCs w:val="24"/>
        </w:rPr>
        <w:fldChar w:fldCharType="begin"/>
      </w:r>
      <w:r>
        <w:rPr>
          <w:sz w:val="24"/>
          <w:szCs w:val="24"/>
        </w:rPr>
        <w:instrText xml:space="preserve"> PAGEREF _Toc17933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_Toc15267 </w:instrText>
      </w:r>
      <w:r>
        <w:rPr>
          <w:sz w:val="24"/>
          <w:szCs w:val="24"/>
        </w:rPr>
        <w:fldChar w:fldCharType="separate"/>
      </w:r>
      <w:r>
        <w:rPr>
          <w:rFonts w:ascii="Times New Roman" w:hAnsi="Times New Roman" w:cs="Times New Roman"/>
          <w:sz w:val="24"/>
          <w:szCs w:val="24"/>
        </w:rPr>
        <w:t>1</w:t>
      </w:r>
      <w:r>
        <w:rPr>
          <w:rFonts w:hint="eastAsia" w:ascii="Times New Roman" w:hAnsi="Times New Roman" w:cs="Times New Roman"/>
          <w:sz w:val="24"/>
          <w:szCs w:val="24"/>
        </w:rPr>
        <w:t>.2 供热方式选择原则</w:t>
      </w:r>
      <w:r>
        <w:rPr>
          <w:sz w:val="24"/>
          <w:szCs w:val="24"/>
        </w:rPr>
        <w:tab/>
      </w:r>
      <w:r>
        <w:rPr>
          <w:sz w:val="24"/>
          <w:szCs w:val="24"/>
        </w:rPr>
        <w:fldChar w:fldCharType="begin"/>
      </w:r>
      <w:r>
        <w:rPr>
          <w:sz w:val="24"/>
          <w:szCs w:val="24"/>
        </w:rPr>
        <w:instrText xml:space="preserve"> PAGEREF _Toc15267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_Toc1125 </w:instrText>
      </w:r>
      <w:r>
        <w:rPr>
          <w:sz w:val="24"/>
          <w:szCs w:val="24"/>
        </w:rPr>
        <w:fldChar w:fldCharType="separate"/>
      </w:r>
      <w:r>
        <w:rPr>
          <w:rFonts w:ascii="Times New Roman" w:hAnsi="Times New Roman" w:cs="Times New Roman"/>
          <w:sz w:val="24"/>
          <w:szCs w:val="24"/>
        </w:rPr>
        <w:t xml:space="preserve">1.3 </w:t>
      </w:r>
      <w:r>
        <w:rPr>
          <w:rFonts w:hint="eastAsia" w:ascii="Times New Roman" w:hAnsi="Times New Roman" w:cs="Times New Roman"/>
          <w:sz w:val="24"/>
          <w:szCs w:val="24"/>
        </w:rPr>
        <w:t>供热方式确定</w:t>
      </w:r>
      <w:r>
        <w:rPr>
          <w:sz w:val="24"/>
          <w:szCs w:val="24"/>
        </w:rPr>
        <w:tab/>
      </w:r>
      <w:r>
        <w:rPr>
          <w:sz w:val="24"/>
          <w:szCs w:val="24"/>
        </w:rPr>
        <w:fldChar w:fldCharType="begin"/>
      </w:r>
      <w:r>
        <w:rPr>
          <w:sz w:val="24"/>
          <w:szCs w:val="24"/>
        </w:rPr>
        <w:instrText xml:space="preserve"> PAGEREF _Toc1125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_Toc4415 </w:instrText>
      </w:r>
      <w:r>
        <w:rPr>
          <w:sz w:val="24"/>
          <w:szCs w:val="24"/>
        </w:rPr>
        <w:fldChar w:fldCharType="separate"/>
      </w:r>
      <w:r>
        <w:rPr>
          <w:rFonts w:hint="eastAsia" w:ascii="Times New Roman" w:hAnsi="Times New Roman" w:cs="Times New Roman"/>
          <w:sz w:val="24"/>
          <w:szCs w:val="24"/>
        </w:rPr>
        <w:t>二、 供热分区</w:t>
      </w:r>
      <w:r>
        <w:rPr>
          <w:sz w:val="24"/>
          <w:szCs w:val="24"/>
        </w:rPr>
        <w:tab/>
      </w:r>
      <w:r>
        <w:rPr>
          <w:sz w:val="24"/>
          <w:szCs w:val="24"/>
        </w:rPr>
        <w:fldChar w:fldCharType="begin"/>
      </w:r>
      <w:r>
        <w:rPr>
          <w:sz w:val="24"/>
          <w:szCs w:val="24"/>
        </w:rPr>
        <w:instrText xml:space="preserve"> PAGEREF _Toc4415 \h </w:instrText>
      </w:r>
      <w:r>
        <w:rPr>
          <w:sz w:val="24"/>
          <w:szCs w:val="24"/>
        </w:rPr>
        <w:fldChar w:fldCharType="separate"/>
      </w:r>
      <w:r>
        <w:rPr>
          <w:sz w:val="24"/>
          <w:szCs w:val="24"/>
        </w:rPr>
        <w:t>21</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_Toc19006 </w:instrText>
      </w:r>
      <w:r>
        <w:rPr>
          <w:sz w:val="24"/>
          <w:szCs w:val="24"/>
        </w:rPr>
        <w:fldChar w:fldCharType="separate"/>
      </w:r>
      <w:r>
        <w:rPr>
          <w:sz w:val="24"/>
          <w:szCs w:val="24"/>
        </w:rPr>
        <w:t>2</w:t>
      </w:r>
      <w:r>
        <w:rPr>
          <w:rFonts w:hint="eastAsia"/>
          <w:sz w:val="24"/>
          <w:szCs w:val="24"/>
        </w:rPr>
        <w:t>.1 一分区：东洲地区</w:t>
      </w:r>
      <w:r>
        <w:rPr>
          <w:sz w:val="24"/>
          <w:szCs w:val="24"/>
        </w:rPr>
        <w:tab/>
      </w:r>
      <w:r>
        <w:rPr>
          <w:sz w:val="24"/>
          <w:szCs w:val="24"/>
        </w:rPr>
        <w:fldChar w:fldCharType="begin"/>
      </w:r>
      <w:r>
        <w:rPr>
          <w:sz w:val="24"/>
          <w:szCs w:val="24"/>
        </w:rPr>
        <w:instrText xml:space="preserve"> PAGEREF _Toc19006 \h </w:instrText>
      </w:r>
      <w:r>
        <w:rPr>
          <w:sz w:val="24"/>
          <w:szCs w:val="24"/>
        </w:rPr>
        <w:fldChar w:fldCharType="separate"/>
      </w:r>
      <w:r>
        <w:rPr>
          <w:sz w:val="24"/>
          <w:szCs w:val="24"/>
        </w:rPr>
        <w:t>22</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_Toc454 </w:instrText>
      </w:r>
      <w:r>
        <w:rPr>
          <w:sz w:val="24"/>
          <w:szCs w:val="24"/>
        </w:rPr>
        <w:fldChar w:fldCharType="separate"/>
      </w:r>
      <w:r>
        <w:rPr>
          <w:sz w:val="24"/>
          <w:szCs w:val="24"/>
        </w:rPr>
        <w:t>2</w:t>
      </w:r>
      <w:r>
        <w:rPr>
          <w:rFonts w:hint="eastAsia"/>
          <w:sz w:val="24"/>
          <w:szCs w:val="24"/>
        </w:rPr>
        <w:t>.2 二分区：章党、城东新区</w:t>
      </w:r>
      <w:r>
        <w:rPr>
          <w:sz w:val="24"/>
          <w:szCs w:val="24"/>
        </w:rPr>
        <w:tab/>
      </w:r>
      <w:r>
        <w:rPr>
          <w:sz w:val="24"/>
          <w:szCs w:val="24"/>
        </w:rPr>
        <w:fldChar w:fldCharType="begin"/>
      </w:r>
      <w:r>
        <w:rPr>
          <w:sz w:val="24"/>
          <w:szCs w:val="24"/>
        </w:rPr>
        <w:instrText xml:space="preserve"> PAGEREF _Toc454 \h </w:instrText>
      </w:r>
      <w:r>
        <w:rPr>
          <w:sz w:val="24"/>
          <w:szCs w:val="24"/>
        </w:rPr>
        <w:fldChar w:fldCharType="separate"/>
      </w:r>
      <w:r>
        <w:rPr>
          <w:sz w:val="24"/>
          <w:szCs w:val="24"/>
        </w:rPr>
        <w:t>22</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_Toc28689 </w:instrText>
      </w:r>
      <w:r>
        <w:rPr>
          <w:sz w:val="24"/>
          <w:szCs w:val="24"/>
        </w:rPr>
        <w:fldChar w:fldCharType="separate"/>
      </w:r>
      <w:r>
        <w:rPr>
          <w:sz w:val="24"/>
          <w:szCs w:val="24"/>
        </w:rPr>
        <w:t>2</w:t>
      </w:r>
      <w:r>
        <w:rPr>
          <w:rFonts w:hint="eastAsia"/>
          <w:sz w:val="24"/>
          <w:szCs w:val="24"/>
        </w:rPr>
        <w:t>.3 三分区：新华、河东地区</w:t>
      </w:r>
      <w:r>
        <w:rPr>
          <w:sz w:val="24"/>
          <w:szCs w:val="24"/>
        </w:rPr>
        <w:tab/>
      </w:r>
      <w:r>
        <w:rPr>
          <w:sz w:val="24"/>
          <w:szCs w:val="24"/>
        </w:rPr>
        <w:fldChar w:fldCharType="begin"/>
      </w:r>
      <w:r>
        <w:rPr>
          <w:sz w:val="24"/>
          <w:szCs w:val="24"/>
        </w:rPr>
        <w:instrText xml:space="preserve"> PAGEREF _Toc28689 \h </w:instrText>
      </w:r>
      <w:r>
        <w:rPr>
          <w:sz w:val="24"/>
          <w:szCs w:val="24"/>
        </w:rPr>
        <w:fldChar w:fldCharType="separate"/>
      </w:r>
      <w:r>
        <w:rPr>
          <w:sz w:val="24"/>
          <w:szCs w:val="24"/>
        </w:rPr>
        <w:t>22</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_Toc28985 </w:instrText>
      </w:r>
      <w:r>
        <w:rPr>
          <w:sz w:val="24"/>
          <w:szCs w:val="24"/>
        </w:rPr>
        <w:fldChar w:fldCharType="separate"/>
      </w:r>
      <w:r>
        <w:rPr>
          <w:sz w:val="24"/>
          <w:szCs w:val="24"/>
        </w:rPr>
        <w:t>2</w:t>
      </w:r>
      <w:r>
        <w:rPr>
          <w:rFonts w:hint="eastAsia"/>
          <w:sz w:val="24"/>
          <w:szCs w:val="24"/>
        </w:rPr>
        <w:t>.4 四分区：公园、榆林、将军、葛布地区</w:t>
      </w:r>
      <w:r>
        <w:rPr>
          <w:sz w:val="24"/>
          <w:szCs w:val="24"/>
        </w:rPr>
        <w:tab/>
      </w:r>
      <w:r>
        <w:rPr>
          <w:sz w:val="24"/>
          <w:szCs w:val="24"/>
        </w:rPr>
        <w:fldChar w:fldCharType="begin"/>
      </w:r>
      <w:r>
        <w:rPr>
          <w:sz w:val="24"/>
          <w:szCs w:val="24"/>
        </w:rPr>
        <w:instrText xml:space="preserve"> PAGEREF _Toc28985 \h </w:instrText>
      </w:r>
      <w:r>
        <w:rPr>
          <w:sz w:val="24"/>
          <w:szCs w:val="24"/>
        </w:rPr>
        <w:fldChar w:fldCharType="separate"/>
      </w:r>
      <w:r>
        <w:rPr>
          <w:sz w:val="24"/>
          <w:szCs w:val="24"/>
        </w:rPr>
        <w:t>23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_Toc10652 </w:instrText>
      </w:r>
      <w:r>
        <w:rPr>
          <w:sz w:val="24"/>
          <w:szCs w:val="24"/>
        </w:rPr>
        <w:fldChar w:fldCharType="separate"/>
      </w:r>
      <w:r>
        <w:rPr>
          <w:sz w:val="24"/>
          <w:szCs w:val="24"/>
        </w:rPr>
        <w:t>2</w:t>
      </w:r>
      <w:r>
        <w:rPr>
          <w:rFonts w:hint="eastAsia"/>
          <w:sz w:val="24"/>
          <w:szCs w:val="24"/>
        </w:rPr>
        <w:t>.5 五分区：站前、道街、南北台地区</w:t>
      </w:r>
      <w:r>
        <w:rPr>
          <w:sz w:val="24"/>
          <w:szCs w:val="24"/>
        </w:rPr>
        <w:tab/>
      </w:r>
      <w:r>
        <w:rPr>
          <w:sz w:val="24"/>
          <w:szCs w:val="24"/>
        </w:rPr>
        <w:fldChar w:fldCharType="begin"/>
      </w:r>
      <w:r>
        <w:rPr>
          <w:sz w:val="24"/>
          <w:szCs w:val="24"/>
        </w:rPr>
        <w:instrText xml:space="preserve"> PAGEREF _Toc10652 \h </w:instrText>
      </w:r>
      <w:r>
        <w:rPr>
          <w:sz w:val="24"/>
          <w:szCs w:val="24"/>
        </w:rPr>
        <w:fldChar w:fldCharType="separate"/>
      </w:r>
      <w:r>
        <w:rPr>
          <w:sz w:val="24"/>
          <w:szCs w:val="24"/>
        </w:rPr>
        <w:t>23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_Toc11539 </w:instrText>
      </w:r>
      <w:r>
        <w:rPr>
          <w:sz w:val="24"/>
          <w:szCs w:val="24"/>
        </w:rPr>
        <w:fldChar w:fldCharType="separate"/>
      </w:r>
      <w:r>
        <w:rPr>
          <w:sz w:val="24"/>
          <w:szCs w:val="24"/>
        </w:rPr>
        <w:t>2</w:t>
      </w:r>
      <w:r>
        <w:rPr>
          <w:rFonts w:hint="eastAsia"/>
          <w:sz w:val="24"/>
          <w:szCs w:val="24"/>
        </w:rPr>
        <w:t>.6 六分区：万新、老虎台、新屯地区</w:t>
      </w:r>
      <w:r>
        <w:rPr>
          <w:sz w:val="24"/>
          <w:szCs w:val="24"/>
        </w:rPr>
        <w:tab/>
      </w:r>
      <w:r>
        <w:rPr>
          <w:sz w:val="24"/>
          <w:szCs w:val="24"/>
        </w:rPr>
        <w:fldChar w:fldCharType="begin"/>
      </w:r>
      <w:r>
        <w:rPr>
          <w:sz w:val="24"/>
          <w:szCs w:val="24"/>
        </w:rPr>
        <w:instrText xml:space="preserve"> PAGEREF _Toc11539 \h </w:instrText>
      </w:r>
      <w:r>
        <w:rPr>
          <w:sz w:val="24"/>
          <w:szCs w:val="24"/>
        </w:rPr>
        <w:fldChar w:fldCharType="separate"/>
      </w:r>
      <w:r>
        <w:rPr>
          <w:sz w:val="24"/>
          <w:szCs w:val="24"/>
        </w:rPr>
        <w:t>24</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_Toc15417 </w:instrText>
      </w:r>
      <w:r>
        <w:rPr>
          <w:sz w:val="24"/>
          <w:szCs w:val="24"/>
        </w:rPr>
        <w:fldChar w:fldCharType="separate"/>
      </w:r>
      <w:r>
        <w:rPr>
          <w:sz w:val="24"/>
          <w:szCs w:val="24"/>
        </w:rPr>
        <w:t>2</w:t>
      </w:r>
      <w:r>
        <w:rPr>
          <w:rFonts w:hint="eastAsia"/>
          <w:sz w:val="24"/>
          <w:szCs w:val="24"/>
        </w:rPr>
        <w:t>.7七分区：望花地区</w:t>
      </w:r>
      <w:r>
        <w:rPr>
          <w:sz w:val="24"/>
          <w:szCs w:val="24"/>
        </w:rPr>
        <w:tab/>
      </w:r>
      <w:r>
        <w:rPr>
          <w:sz w:val="24"/>
          <w:szCs w:val="24"/>
        </w:rPr>
        <w:fldChar w:fldCharType="begin"/>
      </w:r>
      <w:r>
        <w:rPr>
          <w:sz w:val="24"/>
          <w:szCs w:val="24"/>
        </w:rPr>
        <w:instrText xml:space="preserve"> PAGEREF _Toc15417 \h </w:instrText>
      </w:r>
      <w:r>
        <w:rPr>
          <w:sz w:val="24"/>
          <w:szCs w:val="24"/>
        </w:rPr>
        <w:fldChar w:fldCharType="separate"/>
      </w:r>
      <w:r>
        <w:rPr>
          <w:sz w:val="24"/>
          <w:szCs w:val="24"/>
        </w:rPr>
        <w:t>24</w:t>
      </w:r>
      <w:r>
        <w:rPr>
          <w:sz w:val="24"/>
          <w:szCs w:val="24"/>
        </w:rPr>
        <w:fldChar w:fldCharType="end"/>
      </w:r>
      <w:r>
        <w:rPr>
          <w:color w:val="auto"/>
          <w:sz w:val="24"/>
          <w:szCs w:val="24"/>
        </w:rPr>
        <w:fldChar w:fldCharType="end"/>
      </w:r>
    </w:p>
    <w:p>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_Toc9171 </w:instrText>
      </w:r>
      <w:r>
        <w:rPr>
          <w:sz w:val="24"/>
          <w:szCs w:val="24"/>
        </w:rPr>
        <w:fldChar w:fldCharType="separate"/>
      </w:r>
      <w:r>
        <w:rPr>
          <w:sz w:val="24"/>
          <w:szCs w:val="24"/>
        </w:rPr>
        <w:t>第</w:t>
      </w:r>
      <w:r>
        <w:rPr>
          <w:rFonts w:hint="eastAsia"/>
          <w:sz w:val="24"/>
          <w:szCs w:val="24"/>
        </w:rPr>
        <w:t>四</w:t>
      </w:r>
      <w:r>
        <w:rPr>
          <w:sz w:val="24"/>
          <w:szCs w:val="24"/>
        </w:rPr>
        <w:t>章</w:t>
      </w:r>
      <w:r>
        <w:rPr>
          <w:rFonts w:hint="eastAsia"/>
          <w:sz w:val="24"/>
          <w:szCs w:val="24"/>
        </w:rPr>
        <w:t xml:space="preserve">  热源</w:t>
      </w:r>
      <w:r>
        <w:rPr>
          <w:sz w:val="24"/>
          <w:szCs w:val="24"/>
        </w:rPr>
        <w:t>规划</w:t>
      </w:r>
      <w:r>
        <w:rPr>
          <w:sz w:val="24"/>
          <w:szCs w:val="24"/>
        </w:rPr>
        <w:tab/>
      </w:r>
      <w:r>
        <w:rPr>
          <w:sz w:val="24"/>
          <w:szCs w:val="24"/>
        </w:rPr>
        <w:fldChar w:fldCharType="begin"/>
      </w:r>
      <w:r>
        <w:rPr>
          <w:sz w:val="24"/>
          <w:szCs w:val="24"/>
        </w:rPr>
        <w:instrText xml:space="preserve"> PAGEREF _Toc9171 \h </w:instrText>
      </w:r>
      <w:r>
        <w:rPr>
          <w:sz w:val="24"/>
          <w:szCs w:val="24"/>
        </w:rPr>
        <w:fldChar w:fldCharType="separate"/>
      </w:r>
      <w:r>
        <w:rPr>
          <w:sz w:val="24"/>
          <w:szCs w:val="24"/>
        </w:rPr>
        <w:t>25</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_Toc18647 </w:instrText>
      </w:r>
      <w:r>
        <w:rPr>
          <w:sz w:val="24"/>
          <w:szCs w:val="24"/>
        </w:rPr>
        <w:fldChar w:fldCharType="separate"/>
      </w:r>
      <w:r>
        <w:rPr>
          <w:rFonts w:hint="eastAsia" w:ascii="Times New Roman" w:hAnsi="Times New Roman" w:cs="Times New Roman"/>
          <w:sz w:val="24"/>
          <w:szCs w:val="24"/>
        </w:rPr>
        <w:t>一</w:t>
      </w:r>
      <w:r>
        <w:rPr>
          <w:rFonts w:ascii="Times New Roman" w:hAnsi="Times New Roman" w:cs="Times New Roman"/>
          <w:sz w:val="24"/>
          <w:szCs w:val="24"/>
        </w:rPr>
        <w:t>、</w:t>
      </w:r>
      <w:r>
        <w:rPr>
          <w:rFonts w:hint="eastAsia" w:ascii="Times New Roman" w:hAnsi="Times New Roman" w:cs="Times New Roman"/>
          <w:sz w:val="24"/>
          <w:szCs w:val="24"/>
        </w:rPr>
        <w:t>热源规划原则</w:t>
      </w:r>
      <w:r>
        <w:rPr>
          <w:sz w:val="24"/>
          <w:szCs w:val="24"/>
        </w:rPr>
        <w:tab/>
      </w:r>
      <w:r>
        <w:rPr>
          <w:sz w:val="24"/>
          <w:szCs w:val="24"/>
        </w:rPr>
        <w:fldChar w:fldCharType="begin"/>
      </w:r>
      <w:r>
        <w:rPr>
          <w:sz w:val="24"/>
          <w:szCs w:val="24"/>
        </w:rPr>
        <w:instrText xml:space="preserve"> PAGEREF _Toc18647 \h </w:instrText>
      </w:r>
      <w:r>
        <w:rPr>
          <w:sz w:val="24"/>
          <w:szCs w:val="24"/>
        </w:rPr>
        <w:fldChar w:fldCharType="separate"/>
      </w:r>
      <w:r>
        <w:rPr>
          <w:sz w:val="24"/>
          <w:szCs w:val="24"/>
        </w:rPr>
        <w:t>25</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_Toc13699 </w:instrText>
      </w:r>
      <w:r>
        <w:rPr>
          <w:sz w:val="24"/>
          <w:szCs w:val="24"/>
        </w:rPr>
        <w:fldChar w:fldCharType="separate"/>
      </w:r>
      <w:r>
        <w:rPr>
          <w:rFonts w:hint="eastAsia" w:ascii="Times New Roman" w:hAnsi="Times New Roman" w:cs="Times New Roman"/>
          <w:sz w:val="24"/>
          <w:szCs w:val="24"/>
        </w:rPr>
        <w:t>二</w:t>
      </w:r>
      <w:r>
        <w:rPr>
          <w:rFonts w:ascii="Times New Roman" w:hAnsi="Times New Roman" w:cs="Times New Roman"/>
          <w:sz w:val="24"/>
          <w:szCs w:val="24"/>
        </w:rPr>
        <w:t>、热源规划</w:t>
      </w:r>
      <w:r>
        <w:rPr>
          <w:sz w:val="24"/>
          <w:szCs w:val="24"/>
        </w:rPr>
        <w:tab/>
      </w:r>
      <w:r>
        <w:rPr>
          <w:sz w:val="24"/>
          <w:szCs w:val="24"/>
        </w:rPr>
        <w:fldChar w:fldCharType="begin"/>
      </w:r>
      <w:r>
        <w:rPr>
          <w:sz w:val="24"/>
          <w:szCs w:val="24"/>
        </w:rPr>
        <w:instrText xml:space="preserve"> PAGEREF _Toc13699 \h </w:instrText>
      </w:r>
      <w:r>
        <w:rPr>
          <w:sz w:val="24"/>
          <w:szCs w:val="24"/>
        </w:rPr>
        <w:fldChar w:fldCharType="separate"/>
      </w:r>
      <w:r>
        <w:rPr>
          <w:sz w:val="24"/>
          <w:szCs w:val="24"/>
        </w:rPr>
        <w:t>26</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_Toc20161 </w:instrText>
      </w:r>
      <w:r>
        <w:rPr>
          <w:sz w:val="24"/>
          <w:szCs w:val="24"/>
        </w:rPr>
        <w:fldChar w:fldCharType="separate"/>
      </w:r>
      <w:r>
        <w:rPr>
          <w:rFonts w:hint="eastAsia"/>
          <w:sz w:val="24"/>
          <w:szCs w:val="24"/>
        </w:rPr>
        <w:t>2.1深挖现有热电联产供热能力</w:t>
      </w:r>
      <w:r>
        <w:rPr>
          <w:sz w:val="24"/>
          <w:szCs w:val="24"/>
        </w:rPr>
        <w:tab/>
      </w:r>
      <w:r>
        <w:rPr>
          <w:sz w:val="24"/>
          <w:szCs w:val="24"/>
        </w:rPr>
        <w:fldChar w:fldCharType="begin"/>
      </w:r>
      <w:r>
        <w:rPr>
          <w:sz w:val="24"/>
          <w:szCs w:val="24"/>
        </w:rPr>
        <w:instrText xml:space="preserve"> PAGEREF _Toc20161 \h </w:instrText>
      </w:r>
      <w:r>
        <w:rPr>
          <w:sz w:val="24"/>
          <w:szCs w:val="24"/>
        </w:rPr>
        <w:fldChar w:fldCharType="separate"/>
      </w:r>
      <w:r>
        <w:rPr>
          <w:sz w:val="24"/>
          <w:szCs w:val="24"/>
        </w:rPr>
        <w:t>26</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_Toc19953 </w:instrText>
      </w:r>
      <w:r>
        <w:rPr>
          <w:sz w:val="24"/>
          <w:szCs w:val="24"/>
        </w:rPr>
        <w:fldChar w:fldCharType="separate"/>
      </w:r>
      <w:r>
        <w:rPr>
          <w:rFonts w:hint="eastAsia"/>
          <w:sz w:val="24"/>
          <w:szCs w:val="24"/>
        </w:rPr>
        <w:t>2.2 工业余热规模化</w:t>
      </w:r>
      <w:r>
        <w:rPr>
          <w:sz w:val="24"/>
          <w:szCs w:val="24"/>
        </w:rPr>
        <w:tab/>
      </w:r>
      <w:r>
        <w:rPr>
          <w:sz w:val="24"/>
          <w:szCs w:val="24"/>
        </w:rPr>
        <w:fldChar w:fldCharType="begin"/>
      </w:r>
      <w:r>
        <w:rPr>
          <w:sz w:val="24"/>
          <w:szCs w:val="24"/>
        </w:rPr>
        <w:instrText xml:space="preserve"> PAGEREF _Toc19953 \h </w:instrText>
      </w:r>
      <w:r>
        <w:rPr>
          <w:sz w:val="24"/>
          <w:szCs w:val="24"/>
        </w:rPr>
        <w:fldChar w:fldCharType="separate"/>
      </w:r>
      <w:r>
        <w:rPr>
          <w:sz w:val="24"/>
          <w:szCs w:val="24"/>
        </w:rPr>
        <w:t>29</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_Toc30104 </w:instrText>
      </w:r>
      <w:r>
        <w:rPr>
          <w:sz w:val="24"/>
          <w:szCs w:val="24"/>
        </w:rPr>
        <w:fldChar w:fldCharType="separate"/>
      </w:r>
      <w:r>
        <w:rPr>
          <w:rFonts w:hint="eastAsia"/>
          <w:sz w:val="24"/>
          <w:szCs w:val="24"/>
        </w:rPr>
        <w:t>2.3燃煤锅炉取消</w:t>
      </w:r>
      <w:r>
        <w:rPr>
          <w:sz w:val="24"/>
          <w:szCs w:val="24"/>
        </w:rPr>
        <w:tab/>
      </w:r>
      <w:r>
        <w:rPr>
          <w:sz w:val="24"/>
          <w:szCs w:val="24"/>
        </w:rPr>
        <w:fldChar w:fldCharType="begin"/>
      </w:r>
      <w:r>
        <w:rPr>
          <w:sz w:val="24"/>
          <w:szCs w:val="24"/>
        </w:rPr>
        <w:instrText xml:space="preserve"> PAGEREF _Toc30104 \h </w:instrText>
      </w:r>
      <w:r>
        <w:rPr>
          <w:sz w:val="24"/>
          <w:szCs w:val="24"/>
        </w:rPr>
        <w:fldChar w:fldCharType="separate"/>
      </w:r>
      <w:r>
        <w:rPr>
          <w:sz w:val="24"/>
          <w:szCs w:val="24"/>
        </w:rPr>
        <w:t>31</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_Toc15664 </w:instrText>
      </w:r>
      <w:r>
        <w:rPr>
          <w:sz w:val="24"/>
          <w:szCs w:val="24"/>
        </w:rPr>
        <w:fldChar w:fldCharType="separate"/>
      </w:r>
      <w:r>
        <w:rPr>
          <w:rFonts w:hint="eastAsia" w:ascii="Times New Roman" w:eastAsia="宋体"/>
          <w:sz w:val="24"/>
          <w:szCs w:val="24"/>
          <w:lang w:val="en-US" w:eastAsia="zh-CN"/>
        </w:rPr>
        <w:t>2.4</w:t>
      </w:r>
      <w:r>
        <w:rPr>
          <w:rFonts w:hint="eastAsia"/>
          <w:sz w:val="24"/>
          <w:szCs w:val="24"/>
        </w:rPr>
        <w:t>清洁能源种类</w:t>
      </w:r>
      <w:r>
        <w:rPr>
          <w:sz w:val="24"/>
          <w:szCs w:val="24"/>
        </w:rPr>
        <w:tab/>
      </w:r>
      <w:r>
        <w:rPr>
          <w:sz w:val="24"/>
          <w:szCs w:val="24"/>
        </w:rPr>
        <w:fldChar w:fldCharType="begin"/>
      </w:r>
      <w:r>
        <w:rPr>
          <w:sz w:val="24"/>
          <w:szCs w:val="24"/>
        </w:rPr>
        <w:instrText xml:space="preserve"> PAGEREF _Toc15664 \h </w:instrText>
      </w:r>
      <w:r>
        <w:rPr>
          <w:sz w:val="24"/>
          <w:szCs w:val="24"/>
        </w:rPr>
        <w:fldChar w:fldCharType="separate"/>
      </w:r>
      <w:r>
        <w:rPr>
          <w:sz w:val="24"/>
          <w:szCs w:val="24"/>
        </w:rPr>
        <w:t>31</w:t>
      </w:r>
      <w:r>
        <w:rPr>
          <w:sz w:val="24"/>
          <w:szCs w:val="24"/>
        </w:rPr>
        <w:fldChar w:fldCharType="end"/>
      </w:r>
      <w:r>
        <w:rPr>
          <w:color w:val="auto"/>
          <w:sz w:val="24"/>
          <w:szCs w:val="24"/>
        </w:rPr>
        <w:fldChar w:fldCharType="end"/>
      </w:r>
    </w:p>
    <w:p>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_Toc24622 </w:instrText>
      </w:r>
      <w:r>
        <w:rPr>
          <w:sz w:val="24"/>
          <w:szCs w:val="24"/>
        </w:rPr>
        <w:fldChar w:fldCharType="separate"/>
      </w:r>
      <w:r>
        <w:rPr>
          <w:sz w:val="24"/>
          <w:szCs w:val="24"/>
        </w:rPr>
        <w:t>第</w:t>
      </w:r>
      <w:r>
        <w:rPr>
          <w:rFonts w:hint="eastAsia"/>
          <w:sz w:val="24"/>
          <w:szCs w:val="24"/>
        </w:rPr>
        <w:t>五</w:t>
      </w:r>
      <w:r>
        <w:rPr>
          <w:sz w:val="24"/>
          <w:szCs w:val="24"/>
        </w:rPr>
        <w:t>章</w:t>
      </w:r>
      <w:r>
        <w:rPr>
          <w:rFonts w:hint="eastAsia"/>
          <w:sz w:val="24"/>
          <w:szCs w:val="24"/>
        </w:rPr>
        <w:t xml:space="preserve">  热力网</w:t>
      </w:r>
      <w:r>
        <w:rPr>
          <w:sz w:val="24"/>
          <w:szCs w:val="24"/>
        </w:rPr>
        <w:t>规划</w:t>
      </w:r>
      <w:r>
        <w:rPr>
          <w:sz w:val="24"/>
          <w:szCs w:val="24"/>
        </w:rPr>
        <w:tab/>
      </w:r>
      <w:r>
        <w:rPr>
          <w:sz w:val="24"/>
          <w:szCs w:val="24"/>
        </w:rPr>
        <w:fldChar w:fldCharType="begin"/>
      </w:r>
      <w:r>
        <w:rPr>
          <w:sz w:val="24"/>
          <w:szCs w:val="24"/>
        </w:rPr>
        <w:instrText xml:space="preserve"> PAGEREF _Toc24622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_Toc10647 </w:instrText>
      </w:r>
      <w:r>
        <w:rPr>
          <w:sz w:val="24"/>
          <w:szCs w:val="24"/>
        </w:rPr>
        <w:fldChar w:fldCharType="separate"/>
      </w:r>
      <w:r>
        <w:rPr>
          <w:rFonts w:hint="eastAsia"/>
          <w:sz w:val="24"/>
          <w:szCs w:val="24"/>
        </w:rPr>
        <w:t>一、热力网规划原则</w:t>
      </w:r>
      <w:r>
        <w:rPr>
          <w:sz w:val="24"/>
          <w:szCs w:val="24"/>
        </w:rPr>
        <w:tab/>
      </w:r>
      <w:r>
        <w:rPr>
          <w:sz w:val="24"/>
          <w:szCs w:val="24"/>
        </w:rPr>
        <w:fldChar w:fldCharType="begin"/>
      </w:r>
      <w:r>
        <w:rPr>
          <w:sz w:val="24"/>
          <w:szCs w:val="24"/>
        </w:rPr>
        <w:instrText xml:space="preserve"> PAGEREF _Toc10647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_Toc5920 </w:instrText>
      </w:r>
      <w:r>
        <w:rPr>
          <w:sz w:val="24"/>
          <w:szCs w:val="24"/>
        </w:rPr>
        <w:fldChar w:fldCharType="separate"/>
      </w:r>
      <w:r>
        <w:rPr>
          <w:rFonts w:hint="eastAsia"/>
          <w:sz w:val="24"/>
          <w:szCs w:val="24"/>
        </w:rPr>
        <w:t>1.</w:t>
      </w:r>
      <w:r>
        <w:rPr>
          <w:sz w:val="24"/>
          <w:szCs w:val="24"/>
        </w:rPr>
        <w:t>1供热管网布置要求</w:t>
      </w:r>
      <w:r>
        <w:rPr>
          <w:sz w:val="24"/>
          <w:szCs w:val="24"/>
        </w:rPr>
        <w:tab/>
      </w:r>
      <w:r>
        <w:rPr>
          <w:sz w:val="24"/>
          <w:szCs w:val="24"/>
        </w:rPr>
        <w:fldChar w:fldCharType="begin"/>
      </w:r>
      <w:r>
        <w:rPr>
          <w:sz w:val="24"/>
          <w:szCs w:val="24"/>
        </w:rPr>
        <w:instrText xml:space="preserve"> PAGEREF _Toc5920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_Toc3686 </w:instrText>
      </w:r>
      <w:r>
        <w:rPr>
          <w:sz w:val="24"/>
          <w:szCs w:val="24"/>
        </w:rPr>
        <w:fldChar w:fldCharType="separate"/>
      </w:r>
      <w:r>
        <w:rPr>
          <w:rFonts w:hint="eastAsia"/>
          <w:sz w:val="24"/>
          <w:szCs w:val="24"/>
        </w:rPr>
        <w:t>1.2管网布置原则</w:t>
      </w:r>
      <w:r>
        <w:rPr>
          <w:sz w:val="24"/>
          <w:szCs w:val="24"/>
        </w:rPr>
        <w:tab/>
      </w:r>
      <w:r>
        <w:rPr>
          <w:sz w:val="24"/>
          <w:szCs w:val="24"/>
        </w:rPr>
        <w:fldChar w:fldCharType="begin"/>
      </w:r>
      <w:r>
        <w:rPr>
          <w:sz w:val="24"/>
          <w:szCs w:val="24"/>
        </w:rPr>
        <w:instrText xml:space="preserve"> PAGEREF _Toc3686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_Toc20837 </w:instrText>
      </w:r>
      <w:r>
        <w:rPr>
          <w:sz w:val="24"/>
          <w:szCs w:val="24"/>
        </w:rPr>
        <w:fldChar w:fldCharType="separate"/>
      </w:r>
      <w:r>
        <w:rPr>
          <w:sz w:val="24"/>
          <w:szCs w:val="24"/>
        </w:rPr>
        <w:t>1.3</w:t>
      </w:r>
      <w:r>
        <w:rPr>
          <w:rFonts w:hint="eastAsia"/>
          <w:sz w:val="24"/>
          <w:szCs w:val="24"/>
        </w:rPr>
        <w:t>热力网形式</w:t>
      </w:r>
      <w:r>
        <w:rPr>
          <w:sz w:val="24"/>
          <w:szCs w:val="24"/>
        </w:rPr>
        <w:tab/>
      </w:r>
      <w:r>
        <w:rPr>
          <w:sz w:val="24"/>
          <w:szCs w:val="24"/>
        </w:rPr>
        <w:fldChar w:fldCharType="begin"/>
      </w:r>
      <w:r>
        <w:rPr>
          <w:sz w:val="24"/>
          <w:szCs w:val="24"/>
        </w:rPr>
        <w:instrText xml:space="preserve"> PAGEREF _Toc20837 \h </w:instrText>
      </w:r>
      <w:r>
        <w:rPr>
          <w:sz w:val="24"/>
          <w:szCs w:val="24"/>
        </w:rPr>
        <w:fldChar w:fldCharType="separate"/>
      </w:r>
      <w:r>
        <w:rPr>
          <w:sz w:val="24"/>
          <w:szCs w:val="24"/>
        </w:rPr>
        <w:t>34</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_Toc5282 </w:instrText>
      </w:r>
      <w:r>
        <w:rPr>
          <w:sz w:val="24"/>
          <w:szCs w:val="24"/>
        </w:rPr>
        <w:fldChar w:fldCharType="separate"/>
      </w:r>
      <w:r>
        <w:rPr>
          <w:rFonts w:hint="eastAsia"/>
          <w:sz w:val="24"/>
          <w:szCs w:val="24"/>
        </w:rPr>
        <w:t>二、热力网规划</w:t>
      </w:r>
      <w:r>
        <w:rPr>
          <w:sz w:val="24"/>
          <w:szCs w:val="24"/>
        </w:rPr>
        <w:tab/>
      </w:r>
      <w:r>
        <w:rPr>
          <w:sz w:val="24"/>
          <w:szCs w:val="24"/>
        </w:rPr>
        <w:fldChar w:fldCharType="begin"/>
      </w:r>
      <w:r>
        <w:rPr>
          <w:sz w:val="24"/>
          <w:szCs w:val="24"/>
        </w:rPr>
        <w:instrText xml:space="preserve"> PAGEREF _Toc5282 \h </w:instrText>
      </w:r>
      <w:r>
        <w:rPr>
          <w:sz w:val="24"/>
          <w:szCs w:val="24"/>
        </w:rPr>
        <w:fldChar w:fldCharType="separate"/>
      </w:r>
      <w:r>
        <w:rPr>
          <w:sz w:val="24"/>
          <w:szCs w:val="24"/>
        </w:rPr>
        <w:t>34</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_Toc21036 </w:instrText>
      </w:r>
      <w:r>
        <w:rPr>
          <w:sz w:val="24"/>
          <w:szCs w:val="24"/>
        </w:rPr>
        <w:fldChar w:fldCharType="separate"/>
      </w:r>
      <w:r>
        <w:rPr>
          <w:rFonts w:hint="eastAsia"/>
          <w:sz w:val="24"/>
          <w:szCs w:val="24"/>
        </w:rPr>
        <w:t>2.1各区热力网规划</w:t>
      </w:r>
      <w:r>
        <w:rPr>
          <w:sz w:val="24"/>
          <w:szCs w:val="24"/>
        </w:rPr>
        <w:tab/>
      </w:r>
      <w:r>
        <w:rPr>
          <w:sz w:val="24"/>
          <w:szCs w:val="24"/>
        </w:rPr>
        <w:fldChar w:fldCharType="begin"/>
      </w:r>
      <w:r>
        <w:rPr>
          <w:sz w:val="24"/>
          <w:szCs w:val="24"/>
        </w:rPr>
        <w:instrText xml:space="preserve"> PAGEREF _Toc21036 \h </w:instrText>
      </w:r>
      <w:r>
        <w:rPr>
          <w:sz w:val="24"/>
          <w:szCs w:val="24"/>
        </w:rPr>
        <w:fldChar w:fldCharType="separate"/>
      </w:r>
      <w:r>
        <w:rPr>
          <w:sz w:val="24"/>
          <w:szCs w:val="24"/>
        </w:rPr>
        <w:t>34</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ind w:left="0" w:leftChars="0"/>
        <w:textAlignment w:val="auto"/>
        <w:rPr>
          <w:sz w:val="24"/>
          <w:szCs w:val="24"/>
        </w:rPr>
      </w:pPr>
      <w:r>
        <w:rPr>
          <w:color w:val="auto"/>
          <w:sz w:val="24"/>
          <w:szCs w:val="24"/>
        </w:rPr>
        <w:fldChar w:fldCharType="begin"/>
      </w:r>
      <w:r>
        <w:rPr>
          <w:sz w:val="24"/>
          <w:szCs w:val="24"/>
        </w:rPr>
        <w:instrText xml:space="preserve"> HYPERLINK \l _Toc16380 </w:instrText>
      </w:r>
      <w:r>
        <w:rPr>
          <w:sz w:val="24"/>
          <w:szCs w:val="24"/>
        </w:rPr>
        <w:fldChar w:fldCharType="separate"/>
      </w:r>
      <w:r>
        <w:rPr>
          <w:sz w:val="24"/>
          <w:szCs w:val="24"/>
        </w:rPr>
        <w:t>2.2</w:t>
      </w:r>
      <w:r>
        <w:rPr>
          <w:rFonts w:hint="eastAsia"/>
          <w:sz w:val="24"/>
          <w:szCs w:val="24"/>
        </w:rPr>
        <w:t>热力网建设方案</w:t>
      </w:r>
      <w:r>
        <w:rPr>
          <w:sz w:val="24"/>
          <w:szCs w:val="24"/>
        </w:rPr>
        <w:tab/>
      </w:r>
      <w:r>
        <w:rPr>
          <w:sz w:val="24"/>
          <w:szCs w:val="24"/>
        </w:rPr>
        <w:fldChar w:fldCharType="begin"/>
      </w:r>
      <w:r>
        <w:rPr>
          <w:sz w:val="24"/>
          <w:szCs w:val="24"/>
        </w:rPr>
        <w:instrText xml:space="preserve"> PAGEREF _Toc16380 \h </w:instrText>
      </w:r>
      <w:r>
        <w:rPr>
          <w:sz w:val="24"/>
          <w:szCs w:val="24"/>
        </w:rPr>
        <w:fldChar w:fldCharType="separate"/>
      </w:r>
      <w:r>
        <w:rPr>
          <w:sz w:val="24"/>
          <w:szCs w:val="24"/>
        </w:rPr>
        <w:t>36</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_Toc3765 </w:instrText>
      </w:r>
      <w:r>
        <w:rPr>
          <w:sz w:val="24"/>
          <w:szCs w:val="24"/>
        </w:rPr>
        <w:fldChar w:fldCharType="separate"/>
      </w:r>
      <w:r>
        <w:rPr>
          <w:rFonts w:hint="eastAsia"/>
          <w:sz w:val="24"/>
          <w:szCs w:val="24"/>
        </w:rPr>
        <w:t>三、换热站规划</w:t>
      </w:r>
      <w:r>
        <w:rPr>
          <w:sz w:val="24"/>
          <w:szCs w:val="24"/>
        </w:rPr>
        <w:tab/>
      </w:r>
      <w:r>
        <w:rPr>
          <w:sz w:val="24"/>
          <w:szCs w:val="24"/>
        </w:rPr>
        <w:fldChar w:fldCharType="begin"/>
      </w:r>
      <w:r>
        <w:rPr>
          <w:sz w:val="24"/>
          <w:szCs w:val="24"/>
        </w:rPr>
        <w:instrText xml:space="preserve"> PAGEREF _Toc3765 \h </w:instrText>
      </w:r>
      <w:r>
        <w:rPr>
          <w:sz w:val="24"/>
          <w:szCs w:val="24"/>
        </w:rPr>
        <w:fldChar w:fldCharType="separate"/>
      </w:r>
      <w:r>
        <w:rPr>
          <w:sz w:val="24"/>
          <w:szCs w:val="24"/>
        </w:rPr>
        <w:t>41</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_Toc30647 </w:instrText>
      </w:r>
      <w:r>
        <w:rPr>
          <w:sz w:val="24"/>
          <w:szCs w:val="24"/>
        </w:rPr>
        <w:fldChar w:fldCharType="separate"/>
      </w:r>
      <w:r>
        <w:rPr>
          <w:sz w:val="24"/>
          <w:szCs w:val="24"/>
        </w:rPr>
        <w:t>3.1换热站布置原则</w:t>
      </w:r>
      <w:r>
        <w:rPr>
          <w:sz w:val="24"/>
          <w:szCs w:val="24"/>
        </w:rPr>
        <w:tab/>
      </w:r>
      <w:r>
        <w:rPr>
          <w:sz w:val="24"/>
          <w:szCs w:val="24"/>
        </w:rPr>
        <w:fldChar w:fldCharType="begin"/>
      </w:r>
      <w:r>
        <w:rPr>
          <w:sz w:val="24"/>
          <w:szCs w:val="24"/>
        </w:rPr>
        <w:instrText xml:space="preserve"> PAGEREF _Toc30647 \h </w:instrText>
      </w:r>
      <w:r>
        <w:rPr>
          <w:sz w:val="24"/>
          <w:szCs w:val="24"/>
        </w:rPr>
        <w:fldChar w:fldCharType="separate"/>
      </w:r>
      <w:r>
        <w:rPr>
          <w:sz w:val="24"/>
          <w:szCs w:val="24"/>
        </w:rPr>
        <w:t>41</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_Toc9243 </w:instrText>
      </w:r>
      <w:r>
        <w:rPr>
          <w:sz w:val="24"/>
          <w:szCs w:val="24"/>
        </w:rPr>
        <w:fldChar w:fldCharType="separate"/>
      </w:r>
      <w:r>
        <w:rPr>
          <w:sz w:val="24"/>
          <w:szCs w:val="24"/>
        </w:rPr>
        <w:t>3.2 换热站规划规模</w:t>
      </w:r>
      <w:r>
        <w:rPr>
          <w:sz w:val="24"/>
          <w:szCs w:val="24"/>
        </w:rPr>
        <w:tab/>
      </w:r>
      <w:r>
        <w:rPr>
          <w:sz w:val="24"/>
          <w:szCs w:val="24"/>
        </w:rPr>
        <w:fldChar w:fldCharType="begin"/>
      </w:r>
      <w:r>
        <w:rPr>
          <w:sz w:val="24"/>
          <w:szCs w:val="24"/>
        </w:rPr>
        <w:instrText xml:space="preserve"> PAGEREF _Toc9243 \h </w:instrText>
      </w:r>
      <w:r>
        <w:rPr>
          <w:sz w:val="24"/>
          <w:szCs w:val="24"/>
        </w:rPr>
        <w:fldChar w:fldCharType="separate"/>
      </w:r>
      <w:r>
        <w:rPr>
          <w:sz w:val="24"/>
          <w:szCs w:val="24"/>
        </w:rPr>
        <w:t>41</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_Toc29669 </w:instrText>
      </w:r>
      <w:r>
        <w:rPr>
          <w:sz w:val="24"/>
          <w:szCs w:val="24"/>
        </w:rPr>
        <w:fldChar w:fldCharType="separate"/>
      </w:r>
      <w:r>
        <w:rPr>
          <w:sz w:val="24"/>
          <w:szCs w:val="24"/>
        </w:rPr>
        <w:t>3.3 换热站主要设备选择原则</w:t>
      </w:r>
      <w:r>
        <w:rPr>
          <w:sz w:val="24"/>
          <w:szCs w:val="24"/>
        </w:rPr>
        <w:tab/>
      </w:r>
      <w:r>
        <w:rPr>
          <w:sz w:val="24"/>
          <w:szCs w:val="24"/>
        </w:rPr>
        <w:fldChar w:fldCharType="begin"/>
      </w:r>
      <w:r>
        <w:rPr>
          <w:sz w:val="24"/>
          <w:szCs w:val="24"/>
        </w:rPr>
        <w:instrText xml:space="preserve"> PAGEREF _Toc29669 \h </w:instrText>
      </w:r>
      <w:r>
        <w:rPr>
          <w:sz w:val="24"/>
          <w:szCs w:val="24"/>
        </w:rPr>
        <w:fldChar w:fldCharType="separate"/>
      </w:r>
      <w:r>
        <w:rPr>
          <w:sz w:val="24"/>
          <w:szCs w:val="24"/>
        </w:rPr>
        <w:t>42</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_Toc9240 </w:instrText>
      </w:r>
      <w:r>
        <w:rPr>
          <w:sz w:val="24"/>
          <w:szCs w:val="24"/>
        </w:rPr>
        <w:fldChar w:fldCharType="separate"/>
      </w:r>
      <w:r>
        <w:rPr>
          <w:sz w:val="24"/>
          <w:szCs w:val="24"/>
        </w:rPr>
        <w:t>3.4 换热站的水力平衡调节</w:t>
      </w:r>
      <w:r>
        <w:rPr>
          <w:sz w:val="24"/>
          <w:szCs w:val="24"/>
        </w:rPr>
        <w:tab/>
      </w:r>
      <w:r>
        <w:rPr>
          <w:sz w:val="24"/>
          <w:szCs w:val="24"/>
        </w:rPr>
        <w:fldChar w:fldCharType="begin"/>
      </w:r>
      <w:r>
        <w:rPr>
          <w:sz w:val="24"/>
          <w:szCs w:val="24"/>
        </w:rPr>
        <w:instrText xml:space="preserve"> PAGEREF _Toc9240 \h </w:instrText>
      </w:r>
      <w:r>
        <w:rPr>
          <w:sz w:val="24"/>
          <w:szCs w:val="24"/>
        </w:rPr>
        <w:fldChar w:fldCharType="separate"/>
      </w:r>
      <w:r>
        <w:rPr>
          <w:sz w:val="24"/>
          <w:szCs w:val="24"/>
        </w:rPr>
        <w:t>42</w:t>
      </w:r>
      <w:r>
        <w:rPr>
          <w:sz w:val="24"/>
          <w:szCs w:val="24"/>
        </w:rPr>
        <w:fldChar w:fldCharType="end"/>
      </w:r>
      <w:r>
        <w:rPr>
          <w:color w:val="auto"/>
          <w:sz w:val="24"/>
          <w:szCs w:val="24"/>
        </w:rPr>
        <w:fldChar w:fldCharType="end"/>
      </w:r>
    </w:p>
    <w:p>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_Toc6522 </w:instrText>
      </w:r>
      <w:r>
        <w:rPr>
          <w:sz w:val="24"/>
          <w:szCs w:val="24"/>
        </w:rPr>
        <w:fldChar w:fldCharType="separate"/>
      </w:r>
      <w:r>
        <w:rPr>
          <w:sz w:val="24"/>
          <w:szCs w:val="24"/>
        </w:rPr>
        <w:t>第</w:t>
      </w:r>
      <w:r>
        <w:rPr>
          <w:rFonts w:hint="eastAsia"/>
          <w:sz w:val="24"/>
          <w:szCs w:val="24"/>
        </w:rPr>
        <w:t>六</w:t>
      </w:r>
      <w:r>
        <w:rPr>
          <w:sz w:val="24"/>
          <w:szCs w:val="24"/>
        </w:rPr>
        <w:t xml:space="preserve">章  </w:t>
      </w:r>
      <w:r>
        <w:rPr>
          <w:rFonts w:hint="eastAsia"/>
          <w:sz w:val="24"/>
          <w:szCs w:val="24"/>
        </w:rPr>
        <w:t>环境保护</w:t>
      </w:r>
      <w:r>
        <w:rPr>
          <w:sz w:val="24"/>
          <w:szCs w:val="24"/>
        </w:rPr>
        <w:tab/>
      </w:r>
      <w:r>
        <w:rPr>
          <w:sz w:val="24"/>
          <w:szCs w:val="24"/>
        </w:rPr>
        <w:fldChar w:fldCharType="begin"/>
      </w:r>
      <w:r>
        <w:rPr>
          <w:sz w:val="24"/>
          <w:szCs w:val="24"/>
        </w:rPr>
        <w:instrText xml:space="preserve"> PAGEREF _Toc6522 \h </w:instrText>
      </w:r>
      <w:r>
        <w:rPr>
          <w:sz w:val="24"/>
          <w:szCs w:val="24"/>
        </w:rPr>
        <w:fldChar w:fldCharType="separate"/>
      </w:r>
      <w:r>
        <w:rPr>
          <w:sz w:val="24"/>
          <w:szCs w:val="24"/>
        </w:rPr>
        <w:t>43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_Toc14674 </w:instrText>
      </w:r>
      <w:r>
        <w:rPr>
          <w:sz w:val="24"/>
          <w:szCs w:val="24"/>
        </w:rPr>
        <w:fldChar w:fldCharType="separate"/>
      </w:r>
      <w:r>
        <w:rPr>
          <w:rFonts w:hint="eastAsia"/>
          <w:sz w:val="24"/>
          <w:szCs w:val="24"/>
        </w:rPr>
        <w:t>一</w:t>
      </w:r>
      <w:r>
        <w:rPr>
          <w:sz w:val="24"/>
          <w:szCs w:val="24"/>
        </w:rPr>
        <w:t>、</w:t>
      </w:r>
      <w:r>
        <w:rPr>
          <w:rFonts w:hint="eastAsia"/>
          <w:sz w:val="24"/>
          <w:szCs w:val="24"/>
        </w:rPr>
        <w:t>环保措施</w:t>
      </w:r>
      <w:r>
        <w:rPr>
          <w:sz w:val="24"/>
          <w:szCs w:val="24"/>
        </w:rPr>
        <w:tab/>
      </w:r>
      <w:r>
        <w:rPr>
          <w:sz w:val="24"/>
          <w:szCs w:val="24"/>
        </w:rPr>
        <w:fldChar w:fldCharType="begin"/>
      </w:r>
      <w:r>
        <w:rPr>
          <w:sz w:val="24"/>
          <w:szCs w:val="24"/>
        </w:rPr>
        <w:instrText xml:space="preserve"> PAGEREF _Toc14674 \h </w:instrText>
      </w:r>
      <w:r>
        <w:rPr>
          <w:sz w:val="24"/>
          <w:szCs w:val="24"/>
        </w:rPr>
        <w:fldChar w:fldCharType="separate"/>
      </w:r>
      <w:r>
        <w:rPr>
          <w:sz w:val="24"/>
          <w:szCs w:val="24"/>
        </w:rPr>
        <w:t>43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_Toc25602 </w:instrText>
      </w:r>
      <w:r>
        <w:rPr>
          <w:sz w:val="24"/>
          <w:szCs w:val="24"/>
        </w:rPr>
        <w:fldChar w:fldCharType="separate"/>
      </w:r>
      <w:r>
        <w:rPr>
          <w:sz w:val="24"/>
          <w:szCs w:val="24"/>
        </w:rPr>
        <w:t>1.1</w:t>
      </w:r>
      <w:r>
        <w:rPr>
          <w:rFonts w:hint="eastAsia"/>
          <w:sz w:val="24"/>
          <w:szCs w:val="24"/>
        </w:rPr>
        <w:t>施工期环保措施</w:t>
      </w:r>
      <w:r>
        <w:rPr>
          <w:sz w:val="24"/>
          <w:szCs w:val="24"/>
        </w:rPr>
        <w:tab/>
      </w:r>
      <w:r>
        <w:rPr>
          <w:sz w:val="24"/>
          <w:szCs w:val="24"/>
        </w:rPr>
        <w:fldChar w:fldCharType="begin"/>
      </w:r>
      <w:r>
        <w:rPr>
          <w:sz w:val="24"/>
          <w:szCs w:val="24"/>
        </w:rPr>
        <w:instrText xml:space="preserve"> PAGEREF _Toc25602 \h </w:instrText>
      </w:r>
      <w:r>
        <w:rPr>
          <w:sz w:val="24"/>
          <w:szCs w:val="24"/>
        </w:rPr>
        <w:fldChar w:fldCharType="separate"/>
      </w:r>
      <w:r>
        <w:rPr>
          <w:sz w:val="24"/>
          <w:szCs w:val="24"/>
        </w:rPr>
        <w:t>43</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_Toc26294 </w:instrText>
      </w:r>
      <w:r>
        <w:rPr>
          <w:sz w:val="24"/>
          <w:szCs w:val="24"/>
        </w:rPr>
        <w:fldChar w:fldCharType="separate"/>
      </w:r>
      <w:r>
        <w:rPr>
          <w:sz w:val="24"/>
          <w:szCs w:val="24"/>
        </w:rPr>
        <w:t>1.2</w:t>
      </w:r>
      <w:r>
        <w:rPr>
          <w:rFonts w:hint="eastAsia"/>
          <w:sz w:val="24"/>
          <w:szCs w:val="24"/>
        </w:rPr>
        <w:t>生产期间污染治理</w:t>
      </w:r>
      <w:r>
        <w:rPr>
          <w:sz w:val="24"/>
          <w:szCs w:val="24"/>
        </w:rPr>
        <w:tab/>
      </w:r>
      <w:r>
        <w:rPr>
          <w:sz w:val="24"/>
          <w:szCs w:val="24"/>
        </w:rPr>
        <w:fldChar w:fldCharType="begin"/>
      </w:r>
      <w:r>
        <w:rPr>
          <w:sz w:val="24"/>
          <w:szCs w:val="24"/>
        </w:rPr>
        <w:instrText xml:space="preserve"> PAGEREF _Toc26294 \h </w:instrText>
      </w:r>
      <w:r>
        <w:rPr>
          <w:sz w:val="24"/>
          <w:szCs w:val="24"/>
        </w:rPr>
        <w:fldChar w:fldCharType="separate"/>
      </w:r>
      <w:r>
        <w:rPr>
          <w:sz w:val="24"/>
          <w:szCs w:val="24"/>
        </w:rPr>
        <w:t>44</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_Toc12800 </w:instrText>
      </w:r>
      <w:r>
        <w:rPr>
          <w:sz w:val="24"/>
          <w:szCs w:val="24"/>
        </w:rPr>
        <w:fldChar w:fldCharType="separate"/>
      </w:r>
      <w:r>
        <w:rPr>
          <w:rFonts w:hint="eastAsia"/>
          <w:sz w:val="24"/>
          <w:szCs w:val="24"/>
        </w:rPr>
        <w:t>二</w:t>
      </w:r>
      <w:r>
        <w:rPr>
          <w:sz w:val="24"/>
          <w:szCs w:val="24"/>
        </w:rPr>
        <w:t>、</w:t>
      </w:r>
      <w:r>
        <w:rPr>
          <w:rFonts w:hint="eastAsia"/>
          <w:sz w:val="24"/>
          <w:szCs w:val="24"/>
        </w:rPr>
        <w:t>节能减排</w:t>
      </w:r>
      <w:r>
        <w:rPr>
          <w:sz w:val="24"/>
          <w:szCs w:val="24"/>
        </w:rPr>
        <w:tab/>
      </w:r>
      <w:r>
        <w:rPr>
          <w:sz w:val="24"/>
          <w:szCs w:val="24"/>
        </w:rPr>
        <w:fldChar w:fldCharType="begin"/>
      </w:r>
      <w:r>
        <w:rPr>
          <w:sz w:val="24"/>
          <w:szCs w:val="24"/>
        </w:rPr>
        <w:instrText xml:space="preserve"> PAGEREF _Toc12800 \h </w:instrText>
      </w:r>
      <w:r>
        <w:rPr>
          <w:sz w:val="24"/>
          <w:szCs w:val="24"/>
        </w:rPr>
        <w:fldChar w:fldCharType="separate"/>
      </w:r>
      <w:r>
        <w:rPr>
          <w:sz w:val="24"/>
          <w:szCs w:val="24"/>
        </w:rPr>
        <w:t>46</w:t>
      </w:r>
      <w:r>
        <w:rPr>
          <w:sz w:val="24"/>
          <w:szCs w:val="24"/>
        </w:rPr>
        <w:fldChar w:fldCharType="end"/>
      </w:r>
      <w:r>
        <w:rPr>
          <w:color w:val="auto"/>
          <w:sz w:val="24"/>
          <w:szCs w:val="24"/>
        </w:rPr>
        <w:fldChar w:fldCharType="end"/>
      </w:r>
    </w:p>
    <w:p>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_Toc736 </w:instrText>
      </w:r>
      <w:r>
        <w:rPr>
          <w:sz w:val="24"/>
          <w:szCs w:val="24"/>
        </w:rPr>
        <w:fldChar w:fldCharType="separate"/>
      </w:r>
      <w:r>
        <w:rPr>
          <w:sz w:val="24"/>
          <w:szCs w:val="24"/>
        </w:rPr>
        <w:t>第</w:t>
      </w:r>
      <w:r>
        <w:rPr>
          <w:rFonts w:hint="eastAsia"/>
          <w:sz w:val="24"/>
          <w:szCs w:val="24"/>
        </w:rPr>
        <w:t>七</w:t>
      </w:r>
      <w:r>
        <w:rPr>
          <w:sz w:val="24"/>
          <w:szCs w:val="24"/>
        </w:rPr>
        <w:t>章 规划实施</w:t>
      </w:r>
      <w:r>
        <w:rPr>
          <w:sz w:val="24"/>
          <w:szCs w:val="24"/>
        </w:rPr>
        <w:tab/>
      </w:r>
      <w:r>
        <w:rPr>
          <w:sz w:val="24"/>
          <w:szCs w:val="24"/>
        </w:rPr>
        <w:fldChar w:fldCharType="begin"/>
      </w:r>
      <w:r>
        <w:rPr>
          <w:sz w:val="24"/>
          <w:szCs w:val="24"/>
        </w:rPr>
        <w:instrText xml:space="preserve"> PAGEREF _Toc736 \h </w:instrText>
      </w:r>
      <w:r>
        <w:rPr>
          <w:sz w:val="24"/>
          <w:szCs w:val="24"/>
        </w:rPr>
        <w:fldChar w:fldCharType="separate"/>
      </w:r>
      <w:r>
        <w:rPr>
          <w:sz w:val="24"/>
          <w:szCs w:val="24"/>
        </w:rPr>
        <w:t>47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_Toc12602 </w:instrText>
      </w:r>
      <w:r>
        <w:rPr>
          <w:sz w:val="24"/>
          <w:szCs w:val="24"/>
        </w:rPr>
        <w:fldChar w:fldCharType="separate"/>
      </w:r>
      <w:r>
        <w:rPr>
          <w:rFonts w:hint="eastAsia"/>
          <w:sz w:val="24"/>
          <w:szCs w:val="24"/>
        </w:rPr>
        <w:t>一</w:t>
      </w:r>
      <w:r>
        <w:rPr>
          <w:sz w:val="24"/>
          <w:szCs w:val="24"/>
        </w:rPr>
        <w:t>、</w:t>
      </w:r>
      <w:r>
        <w:rPr>
          <w:rFonts w:hint="eastAsia"/>
          <w:sz w:val="24"/>
          <w:szCs w:val="24"/>
        </w:rPr>
        <w:t>实施进度</w:t>
      </w:r>
      <w:r>
        <w:rPr>
          <w:sz w:val="24"/>
          <w:szCs w:val="24"/>
        </w:rPr>
        <w:tab/>
      </w:r>
      <w:r>
        <w:rPr>
          <w:sz w:val="24"/>
          <w:szCs w:val="24"/>
        </w:rPr>
        <w:fldChar w:fldCharType="begin"/>
      </w:r>
      <w:r>
        <w:rPr>
          <w:sz w:val="24"/>
          <w:szCs w:val="24"/>
        </w:rPr>
        <w:instrText xml:space="preserve"> PAGEREF _Toc12602 \h </w:instrText>
      </w:r>
      <w:r>
        <w:rPr>
          <w:sz w:val="24"/>
          <w:szCs w:val="24"/>
        </w:rPr>
        <w:fldChar w:fldCharType="separate"/>
      </w:r>
      <w:r>
        <w:rPr>
          <w:sz w:val="24"/>
          <w:szCs w:val="24"/>
        </w:rPr>
        <w:t>47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_Toc22443 </w:instrText>
      </w:r>
      <w:r>
        <w:rPr>
          <w:sz w:val="24"/>
          <w:szCs w:val="24"/>
        </w:rPr>
        <w:fldChar w:fldCharType="separate"/>
      </w:r>
      <w:r>
        <w:rPr>
          <w:sz w:val="24"/>
          <w:szCs w:val="24"/>
        </w:rPr>
        <w:t>1.1</w:t>
      </w:r>
      <w:r>
        <w:rPr>
          <w:rFonts w:hint="eastAsia"/>
          <w:sz w:val="24"/>
          <w:szCs w:val="24"/>
        </w:rPr>
        <w:t>.近期建设规划</w:t>
      </w:r>
      <w:r>
        <w:rPr>
          <w:sz w:val="24"/>
          <w:szCs w:val="24"/>
        </w:rPr>
        <w:tab/>
      </w:r>
      <w:r>
        <w:rPr>
          <w:sz w:val="24"/>
          <w:szCs w:val="24"/>
        </w:rPr>
        <w:fldChar w:fldCharType="begin"/>
      </w:r>
      <w:r>
        <w:rPr>
          <w:sz w:val="24"/>
          <w:szCs w:val="24"/>
        </w:rPr>
        <w:instrText xml:space="preserve"> PAGEREF _Toc22443 \h </w:instrText>
      </w:r>
      <w:r>
        <w:rPr>
          <w:sz w:val="24"/>
          <w:szCs w:val="24"/>
        </w:rPr>
        <w:fldChar w:fldCharType="separate"/>
      </w:r>
      <w:r>
        <w:rPr>
          <w:sz w:val="24"/>
          <w:szCs w:val="24"/>
        </w:rPr>
        <w:t>47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_Toc21126 </w:instrText>
      </w:r>
      <w:r>
        <w:rPr>
          <w:sz w:val="24"/>
          <w:szCs w:val="24"/>
        </w:rPr>
        <w:fldChar w:fldCharType="separate"/>
      </w:r>
      <w:r>
        <w:rPr>
          <w:sz w:val="24"/>
          <w:szCs w:val="24"/>
        </w:rPr>
        <w:t>1.2</w:t>
      </w:r>
      <w:r>
        <w:rPr>
          <w:rFonts w:hint="eastAsia"/>
          <w:sz w:val="24"/>
          <w:szCs w:val="24"/>
        </w:rPr>
        <w:t>.远期建设规划</w:t>
      </w:r>
      <w:r>
        <w:rPr>
          <w:sz w:val="24"/>
          <w:szCs w:val="24"/>
        </w:rPr>
        <w:tab/>
      </w:r>
      <w:r>
        <w:rPr>
          <w:sz w:val="24"/>
          <w:szCs w:val="24"/>
        </w:rPr>
        <w:fldChar w:fldCharType="begin"/>
      </w:r>
      <w:r>
        <w:rPr>
          <w:sz w:val="24"/>
          <w:szCs w:val="24"/>
        </w:rPr>
        <w:instrText xml:space="preserve"> PAGEREF _Toc21126 \h </w:instrText>
      </w:r>
      <w:r>
        <w:rPr>
          <w:sz w:val="24"/>
          <w:szCs w:val="24"/>
        </w:rPr>
        <w:fldChar w:fldCharType="separate"/>
      </w:r>
      <w:r>
        <w:rPr>
          <w:sz w:val="24"/>
          <w:szCs w:val="24"/>
        </w:rPr>
        <w:t>47</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_Toc20318 </w:instrText>
      </w:r>
      <w:r>
        <w:rPr>
          <w:sz w:val="24"/>
          <w:szCs w:val="24"/>
        </w:rPr>
        <w:fldChar w:fldCharType="separate"/>
      </w:r>
      <w:r>
        <w:rPr>
          <w:rFonts w:hint="eastAsia"/>
          <w:sz w:val="24"/>
          <w:szCs w:val="24"/>
        </w:rPr>
        <w:t>二</w:t>
      </w:r>
      <w:r>
        <w:rPr>
          <w:sz w:val="24"/>
          <w:szCs w:val="24"/>
        </w:rPr>
        <w:t>、</w:t>
      </w:r>
      <w:r>
        <w:rPr>
          <w:rFonts w:hint="eastAsia"/>
          <w:sz w:val="24"/>
          <w:szCs w:val="24"/>
        </w:rPr>
        <w:t>投资估算</w:t>
      </w:r>
      <w:r>
        <w:rPr>
          <w:sz w:val="24"/>
          <w:szCs w:val="24"/>
        </w:rPr>
        <w:tab/>
      </w:r>
      <w:r>
        <w:rPr>
          <w:sz w:val="24"/>
          <w:szCs w:val="24"/>
        </w:rPr>
        <w:fldChar w:fldCharType="begin"/>
      </w:r>
      <w:r>
        <w:rPr>
          <w:sz w:val="24"/>
          <w:szCs w:val="24"/>
        </w:rPr>
        <w:instrText xml:space="preserve"> PAGEREF _Toc20318 \h </w:instrText>
      </w:r>
      <w:r>
        <w:rPr>
          <w:sz w:val="24"/>
          <w:szCs w:val="24"/>
        </w:rPr>
        <w:fldChar w:fldCharType="separate"/>
      </w:r>
      <w:r>
        <w:rPr>
          <w:sz w:val="24"/>
          <w:szCs w:val="24"/>
        </w:rPr>
        <w:t>48</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_Toc10445 </w:instrText>
      </w:r>
      <w:r>
        <w:rPr>
          <w:sz w:val="24"/>
          <w:szCs w:val="24"/>
        </w:rPr>
        <w:fldChar w:fldCharType="separate"/>
      </w:r>
      <w:r>
        <w:rPr>
          <w:sz w:val="24"/>
          <w:szCs w:val="24"/>
        </w:rPr>
        <w:t>2.1估算内容</w:t>
      </w:r>
      <w:r>
        <w:rPr>
          <w:sz w:val="24"/>
          <w:szCs w:val="24"/>
        </w:rPr>
        <w:tab/>
      </w:r>
      <w:r>
        <w:rPr>
          <w:sz w:val="24"/>
          <w:szCs w:val="24"/>
        </w:rPr>
        <w:fldChar w:fldCharType="begin"/>
      </w:r>
      <w:r>
        <w:rPr>
          <w:sz w:val="24"/>
          <w:szCs w:val="24"/>
        </w:rPr>
        <w:instrText xml:space="preserve"> PAGEREF _Toc10445 \h </w:instrText>
      </w:r>
      <w:r>
        <w:rPr>
          <w:sz w:val="24"/>
          <w:szCs w:val="24"/>
        </w:rPr>
        <w:fldChar w:fldCharType="separate"/>
      </w:r>
      <w:r>
        <w:rPr>
          <w:sz w:val="24"/>
          <w:szCs w:val="24"/>
        </w:rPr>
        <w:t>48</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_Toc9226 </w:instrText>
      </w:r>
      <w:r>
        <w:rPr>
          <w:sz w:val="24"/>
          <w:szCs w:val="24"/>
        </w:rPr>
        <w:fldChar w:fldCharType="separate"/>
      </w:r>
      <w:r>
        <w:rPr>
          <w:sz w:val="24"/>
          <w:szCs w:val="24"/>
        </w:rPr>
        <w:t>2.2编制依据</w:t>
      </w:r>
      <w:r>
        <w:rPr>
          <w:sz w:val="24"/>
          <w:szCs w:val="24"/>
        </w:rPr>
        <w:tab/>
      </w:r>
      <w:r>
        <w:rPr>
          <w:sz w:val="24"/>
          <w:szCs w:val="24"/>
        </w:rPr>
        <w:fldChar w:fldCharType="begin"/>
      </w:r>
      <w:r>
        <w:rPr>
          <w:sz w:val="24"/>
          <w:szCs w:val="24"/>
        </w:rPr>
        <w:instrText xml:space="preserve"> PAGEREF _Toc9226 \h </w:instrText>
      </w:r>
      <w:r>
        <w:rPr>
          <w:sz w:val="24"/>
          <w:szCs w:val="24"/>
        </w:rPr>
        <w:fldChar w:fldCharType="separate"/>
      </w:r>
      <w:r>
        <w:rPr>
          <w:sz w:val="24"/>
          <w:szCs w:val="24"/>
        </w:rPr>
        <w:t>48</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_Toc30051 </w:instrText>
      </w:r>
      <w:r>
        <w:rPr>
          <w:sz w:val="24"/>
          <w:szCs w:val="24"/>
        </w:rPr>
        <w:fldChar w:fldCharType="separate"/>
      </w:r>
      <w:r>
        <w:rPr>
          <w:rFonts w:hint="eastAsia"/>
          <w:sz w:val="24"/>
          <w:szCs w:val="24"/>
        </w:rPr>
        <w:t>三</w:t>
      </w:r>
      <w:r>
        <w:rPr>
          <w:sz w:val="24"/>
          <w:szCs w:val="24"/>
        </w:rPr>
        <w:t>、规划实施</w:t>
      </w:r>
      <w:r>
        <w:rPr>
          <w:rFonts w:hint="eastAsia"/>
          <w:sz w:val="24"/>
          <w:szCs w:val="24"/>
        </w:rPr>
        <w:t>的</w:t>
      </w:r>
      <w:r>
        <w:rPr>
          <w:sz w:val="24"/>
          <w:szCs w:val="24"/>
        </w:rPr>
        <w:t>保障</w:t>
      </w:r>
      <w:r>
        <w:rPr>
          <w:sz w:val="24"/>
          <w:szCs w:val="24"/>
        </w:rPr>
        <w:tab/>
      </w:r>
      <w:r>
        <w:rPr>
          <w:sz w:val="24"/>
          <w:szCs w:val="24"/>
        </w:rPr>
        <w:fldChar w:fldCharType="begin"/>
      </w:r>
      <w:r>
        <w:rPr>
          <w:sz w:val="24"/>
          <w:szCs w:val="24"/>
        </w:rPr>
        <w:instrText xml:space="preserve"> PAGEREF _Toc30051 \h </w:instrText>
      </w:r>
      <w:r>
        <w:rPr>
          <w:sz w:val="24"/>
          <w:szCs w:val="24"/>
        </w:rPr>
        <w:fldChar w:fldCharType="separate"/>
      </w:r>
      <w:r>
        <w:rPr>
          <w:sz w:val="24"/>
          <w:szCs w:val="24"/>
        </w:rPr>
        <w:t>49</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_Toc27417 </w:instrText>
      </w:r>
      <w:r>
        <w:rPr>
          <w:sz w:val="24"/>
          <w:szCs w:val="24"/>
        </w:rPr>
        <w:fldChar w:fldCharType="separate"/>
      </w:r>
      <w:r>
        <w:rPr>
          <w:sz w:val="24"/>
          <w:szCs w:val="24"/>
        </w:rPr>
        <w:t>3.1</w:t>
      </w:r>
      <w:r>
        <w:rPr>
          <w:rFonts w:hint="eastAsia"/>
          <w:sz w:val="24"/>
          <w:szCs w:val="24"/>
        </w:rPr>
        <w:t>政策</w:t>
      </w:r>
      <w:r>
        <w:rPr>
          <w:sz w:val="24"/>
          <w:szCs w:val="24"/>
        </w:rPr>
        <w:t>保障</w:t>
      </w:r>
      <w:r>
        <w:rPr>
          <w:sz w:val="24"/>
          <w:szCs w:val="24"/>
        </w:rPr>
        <w:tab/>
      </w:r>
      <w:r>
        <w:rPr>
          <w:sz w:val="24"/>
          <w:szCs w:val="24"/>
        </w:rPr>
        <w:fldChar w:fldCharType="begin"/>
      </w:r>
      <w:r>
        <w:rPr>
          <w:sz w:val="24"/>
          <w:szCs w:val="24"/>
        </w:rPr>
        <w:instrText xml:space="preserve"> PAGEREF _Toc27417 \h </w:instrText>
      </w:r>
      <w:r>
        <w:rPr>
          <w:sz w:val="24"/>
          <w:szCs w:val="24"/>
        </w:rPr>
        <w:fldChar w:fldCharType="separate"/>
      </w:r>
      <w:r>
        <w:rPr>
          <w:sz w:val="24"/>
          <w:szCs w:val="24"/>
        </w:rPr>
        <w:t>49</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_Toc26146 </w:instrText>
      </w:r>
      <w:r>
        <w:rPr>
          <w:sz w:val="24"/>
          <w:szCs w:val="24"/>
        </w:rPr>
        <w:fldChar w:fldCharType="separate"/>
      </w:r>
      <w:r>
        <w:rPr>
          <w:sz w:val="24"/>
          <w:szCs w:val="24"/>
        </w:rPr>
        <w:t>3.2资金保障</w:t>
      </w:r>
      <w:r>
        <w:rPr>
          <w:sz w:val="24"/>
          <w:szCs w:val="24"/>
        </w:rPr>
        <w:tab/>
      </w:r>
      <w:r>
        <w:rPr>
          <w:sz w:val="24"/>
          <w:szCs w:val="24"/>
        </w:rPr>
        <w:fldChar w:fldCharType="begin"/>
      </w:r>
      <w:r>
        <w:rPr>
          <w:sz w:val="24"/>
          <w:szCs w:val="24"/>
        </w:rPr>
        <w:instrText xml:space="preserve"> PAGEREF _Toc26146 \h </w:instrText>
      </w:r>
      <w:r>
        <w:rPr>
          <w:sz w:val="24"/>
          <w:szCs w:val="24"/>
        </w:rPr>
        <w:fldChar w:fldCharType="separate"/>
      </w:r>
      <w:r>
        <w:rPr>
          <w:sz w:val="24"/>
          <w:szCs w:val="24"/>
        </w:rPr>
        <w:t>49</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_Toc19003 </w:instrText>
      </w:r>
      <w:r>
        <w:rPr>
          <w:sz w:val="24"/>
          <w:szCs w:val="24"/>
        </w:rPr>
        <w:fldChar w:fldCharType="separate"/>
      </w:r>
      <w:r>
        <w:rPr>
          <w:sz w:val="24"/>
          <w:szCs w:val="24"/>
        </w:rPr>
        <w:t>3.3技术保障</w:t>
      </w:r>
      <w:r>
        <w:rPr>
          <w:sz w:val="24"/>
          <w:szCs w:val="24"/>
        </w:rPr>
        <w:tab/>
      </w:r>
      <w:r>
        <w:rPr>
          <w:sz w:val="24"/>
          <w:szCs w:val="24"/>
        </w:rPr>
        <w:fldChar w:fldCharType="begin"/>
      </w:r>
      <w:r>
        <w:rPr>
          <w:sz w:val="24"/>
          <w:szCs w:val="24"/>
        </w:rPr>
        <w:instrText xml:space="preserve"> PAGEREF _Toc19003 \h </w:instrText>
      </w:r>
      <w:r>
        <w:rPr>
          <w:sz w:val="24"/>
          <w:szCs w:val="24"/>
        </w:rPr>
        <w:fldChar w:fldCharType="separate"/>
      </w:r>
      <w:r>
        <w:rPr>
          <w:sz w:val="24"/>
          <w:szCs w:val="24"/>
        </w:rPr>
        <w:t>50</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_Toc2932 </w:instrText>
      </w:r>
      <w:r>
        <w:rPr>
          <w:sz w:val="24"/>
          <w:szCs w:val="24"/>
        </w:rPr>
        <w:fldChar w:fldCharType="separate"/>
      </w:r>
      <w:r>
        <w:rPr>
          <w:sz w:val="24"/>
          <w:szCs w:val="24"/>
        </w:rPr>
        <w:t>3.4组织管理</w:t>
      </w:r>
      <w:r>
        <w:rPr>
          <w:sz w:val="24"/>
          <w:szCs w:val="24"/>
        </w:rPr>
        <w:tab/>
      </w:r>
      <w:r>
        <w:rPr>
          <w:sz w:val="24"/>
          <w:szCs w:val="24"/>
        </w:rPr>
        <w:fldChar w:fldCharType="begin"/>
      </w:r>
      <w:r>
        <w:rPr>
          <w:sz w:val="24"/>
          <w:szCs w:val="24"/>
        </w:rPr>
        <w:instrText xml:space="preserve"> PAGEREF _Toc2932 \h </w:instrText>
      </w:r>
      <w:r>
        <w:rPr>
          <w:sz w:val="24"/>
          <w:szCs w:val="24"/>
        </w:rPr>
        <w:fldChar w:fldCharType="separate"/>
      </w:r>
      <w:r>
        <w:rPr>
          <w:sz w:val="24"/>
          <w:szCs w:val="24"/>
        </w:rPr>
        <w:t>50</w:t>
      </w:r>
      <w:r>
        <w:rPr>
          <w:sz w:val="24"/>
          <w:szCs w:val="24"/>
        </w:rPr>
        <w:fldChar w:fldCharType="end"/>
      </w:r>
      <w:r>
        <w:rPr>
          <w:color w:val="auto"/>
          <w:sz w:val="24"/>
          <w:szCs w:val="24"/>
        </w:rPr>
        <w:fldChar w:fldCharType="end"/>
      </w:r>
    </w:p>
    <w:p>
      <w:pPr>
        <w:pStyle w:val="31"/>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_Toc25967 </w:instrText>
      </w:r>
      <w:r>
        <w:rPr>
          <w:sz w:val="24"/>
          <w:szCs w:val="24"/>
        </w:rPr>
        <w:fldChar w:fldCharType="separate"/>
      </w:r>
      <w:r>
        <w:rPr>
          <w:rFonts w:hint="eastAsia"/>
          <w:sz w:val="24"/>
          <w:szCs w:val="24"/>
        </w:rPr>
        <w:t>四</w:t>
      </w:r>
      <w:r>
        <w:rPr>
          <w:sz w:val="24"/>
          <w:szCs w:val="24"/>
        </w:rPr>
        <w:t>、</w:t>
      </w:r>
      <w:r>
        <w:rPr>
          <w:rFonts w:hint="eastAsia"/>
          <w:sz w:val="24"/>
          <w:szCs w:val="24"/>
        </w:rPr>
        <w:t>远景展望</w:t>
      </w:r>
      <w:r>
        <w:rPr>
          <w:sz w:val="24"/>
          <w:szCs w:val="24"/>
        </w:rPr>
        <w:tab/>
      </w:r>
      <w:r>
        <w:rPr>
          <w:sz w:val="24"/>
          <w:szCs w:val="24"/>
        </w:rPr>
        <w:fldChar w:fldCharType="begin"/>
      </w:r>
      <w:r>
        <w:rPr>
          <w:sz w:val="24"/>
          <w:szCs w:val="24"/>
        </w:rPr>
        <w:instrText xml:space="preserve"> PAGEREF _Toc25967 \h </w:instrText>
      </w:r>
      <w:r>
        <w:rPr>
          <w:sz w:val="24"/>
          <w:szCs w:val="24"/>
        </w:rPr>
        <w:fldChar w:fldCharType="separate"/>
      </w:r>
      <w:r>
        <w:rPr>
          <w:sz w:val="24"/>
          <w:szCs w:val="24"/>
        </w:rPr>
        <w:t>50</w:t>
      </w:r>
      <w:r>
        <w:rPr>
          <w:sz w:val="24"/>
          <w:szCs w:val="24"/>
        </w:rPr>
        <w:fldChar w:fldCharType="end"/>
      </w:r>
      <w:r>
        <w:rPr>
          <w:color w:val="auto"/>
          <w:sz w:val="24"/>
          <w:szCs w:val="24"/>
        </w:rPr>
        <w:fldChar w:fldCharType="end"/>
      </w:r>
    </w:p>
    <w:p>
      <w:pPr>
        <w:pStyle w:val="27"/>
        <w:keepNext w:val="0"/>
        <w:keepLines w:val="0"/>
        <w:pageBreakBefore w:val="0"/>
        <w:widowControl w:val="0"/>
        <w:tabs>
          <w:tab w:val="right" w:leader="dot" w:pos="8794"/>
        </w:tabs>
        <w:kinsoku/>
        <w:wordWrap/>
        <w:overflowPunct/>
        <w:topLinePunct w:val="0"/>
        <w:autoSpaceDE/>
        <w:autoSpaceDN/>
        <w:bidi w:val="0"/>
        <w:adjustRightInd/>
        <w:snapToGrid/>
        <w:spacing w:line="360" w:lineRule="auto"/>
        <w:textAlignment w:val="auto"/>
        <w:rPr>
          <w:sz w:val="24"/>
          <w:szCs w:val="24"/>
        </w:rPr>
      </w:pPr>
      <w:r>
        <w:rPr>
          <w:color w:val="auto"/>
          <w:sz w:val="24"/>
          <w:szCs w:val="24"/>
        </w:rPr>
        <w:fldChar w:fldCharType="begin"/>
      </w:r>
      <w:r>
        <w:rPr>
          <w:sz w:val="24"/>
          <w:szCs w:val="24"/>
        </w:rPr>
        <w:instrText xml:space="preserve"> HYPERLINK \l _Toc3072 </w:instrText>
      </w:r>
      <w:r>
        <w:rPr>
          <w:sz w:val="24"/>
          <w:szCs w:val="24"/>
        </w:rPr>
        <w:fldChar w:fldCharType="separate"/>
      </w:r>
      <w:r>
        <w:rPr>
          <w:sz w:val="24"/>
          <w:szCs w:val="24"/>
        </w:rPr>
        <w:t>第</w:t>
      </w:r>
      <w:r>
        <w:rPr>
          <w:rFonts w:hint="eastAsia"/>
          <w:sz w:val="24"/>
          <w:szCs w:val="24"/>
        </w:rPr>
        <w:t>八</w:t>
      </w:r>
      <w:r>
        <w:rPr>
          <w:sz w:val="24"/>
          <w:szCs w:val="24"/>
        </w:rPr>
        <w:t xml:space="preserve">章 </w:t>
      </w:r>
      <w:r>
        <w:rPr>
          <w:rFonts w:hint="eastAsia"/>
          <w:sz w:val="24"/>
          <w:szCs w:val="24"/>
        </w:rPr>
        <w:t>规划结论</w:t>
      </w:r>
      <w:r>
        <w:rPr>
          <w:sz w:val="24"/>
          <w:szCs w:val="24"/>
        </w:rPr>
        <w:tab/>
      </w:r>
      <w:r>
        <w:rPr>
          <w:sz w:val="24"/>
          <w:szCs w:val="24"/>
        </w:rPr>
        <w:fldChar w:fldCharType="begin"/>
      </w:r>
      <w:r>
        <w:rPr>
          <w:sz w:val="24"/>
          <w:szCs w:val="24"/>
        </w:rPr>
        <w:instrText xml:space="preserve"> PAGEREF _Toc3072 \h </w:instrText>
      </w:r>
      <w:r>
        <w:rPr>
          <w:sz w:val="24"/>
          <w:szCs w:val="24"/>
        </w:rPr>
        <w:fldChar w:fldCharType="separate"/>
      </w:r>
      <w:r>
        <w:rPr>
          <w:sz w:val="24"/>
          <w:szCs w:val="24"/>
        </w:rPr>
        <w:t>52</w:t>
      </w:r>
      <w:r>
        <w:rPr>
          <w:sz w:val="24"/>
          <w:szCs w:val="24"/>
        </w:rPr>
        <w:fldChar w:fldCharType="end"/>
      </w:r>
      <w:r>
        <w:rPr>
          <w:color w:val="auto"/>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color w:val="auto"/>
          <w:sz w:val="24"/>
          <w:szCs w:val="24"/>
        </w:rPr>
        <w:fldChar w:fldCharType="end"/>
      </w:r>
    </w:p>
    <w:p>
      <w:pPr>
        <w:rPr>
          <w:color w:val="auto"/>
        </w:rPr>
      </w:pPr>
      <w:r>
        <w:rPr>
          <w:color w:val="auto"/>
        </w:rPr>
        <w:br w:type="page"/>
      </w:r>
    </w:p>
    <w:p>
      <w:pPr>
        <w:spacing w:line="360" w:lineRule="auto"/>
        <w:jc w:val="center"/>
        <w:rPr>
          <w:b/>
          <w:color w:val="auto"/>
          <w:sz w:val="30"/>
          <w:szCs w:val="32"/>
        </w:rPr>
      </w:pPr>
      <w:r>
        <w:rPr>
          <w:b/>
          <w:color w:val="auto"/>
          <w:sz w:val="30"/>
          <w:szCs w:val="32"/>
        </w:rPr>
        <w:t>前</w:t>
      </w:r>
      <w:r>
        <w:rPr>
          <w:rFonts w:hint="eastAsia"/>
          <w:b/>
          <w:color w:val="auto"/>
          <w:sz w:val="30"/>
          <w:szCs w:val="32"/>
        </w:rPr>
        <w:t xml:space="preserve">  </w:t>
      </w:r>
      <w:r>
        <w:rPr>
          <w:b/>
          <w:color w:val="auto"/>
          <w:sz w:val="30"/>
          <w:szCs w:val="32"/>
        </w:rPr>
        <w:t>言</w:t>
      </w:r>
    </w:p>
    <w:p>
      <w:pPr>
        <w:spacing w:line="360" w:lineRule="auto"/>
        <w:ind w:firstLine="560" w:firstLineChars="200"/>
        <w:rPr>
          <w:color w:val="auto"/>
          <w:sz w:val="28"/>
          <w:szCs w:val="28"/>
        </w:rPr>
      </w:pPr>
      <w:r>
        <w:rPr>
          <w:rFonts w:hint="eastAsia"/>
          <w:color w:val="auto"/>
          <w:sz w:val="28"/>
          <w:szCs w:val="28"/>
        </w:rPr>
        <w:t>抚顺，别称“煤都”，辽宁省辖地级市，是国务院批复确定的中国重要的能源、原材料工业基地，辽宁重要的工业基地和沈阳经济区副中心城市，位于辽宁东部，东与吉林省接壤，西接沈阳，北与铁岭毗邻，南与本溪相望。抚顺市下辖4个区、3个县，总面积11271.03平方千米。截至2021年末，全市市区总人口</w:t>
      </w:r>
      <w:r>
        <w:rPr>
          <w:color w:val="auto"/>
          <w:sz w:val="28"/>
          <w:szCs w:val="28"/>
        </w:rPr>
        <w:t>144.1万人</w:t>
      </w:r>
      <w:r>
        <w:rPr>
          <w:rFonts w:hint="eastAsia"/>
          <w:color w:val="auto"/>
          <w:sz w:val="28"/>
          <w:szCs w:val="28"/>
        </w:rPr>
        <w:t>。</w:t>
      </w:r>
    </w:p>
    <w:p>
      <w:pPr>
        <w:spacing w:line="360" w:lineRule="auto"/>
        <w:ind w:firstLine="560" w:firstLineChars="200"/>
        <w:rPr>
          <w:color w:val="auto"/>
          <w:sz w:val="28"/>
          <w:szCs w:val="28"/>
        </w:rPr>
      </w:pPr>
      <w:r>
        <w:rPr>
          <w:color w:val="auto"/>
          <w:sz w:val="28"/>
          <w:szCs w:val="28"/>
        </w:rPr>
        <w:t>近年来</w:t>
      </w:r>
      <w:r>
        <w:rPr>
          <w:rFonts w:hint="eastAsia"/>
          <w:color w:val="auto"/>
          <w:sz w:val="28"/>
          <w:szCs w:val="28"/>
        </w:rPr>
        <w:t>，抚顺</w:t>
      </w:r>
      <w:r>
        <w:rPr>
          <w:color w:val="auto"/>
          <w:sz w:val="28"/>
          <w:szCs w:val="28"/>
        </w:rPr>
        <w:t>市</w:t>
      </w:r>
      <w:r>
        <w:rPr>
          <w:rFonts w:hint="eastAsia"/>
          <w:color w:val="auto"/>
          <w:sz w:val="28"/>
          <w:szCs w:val="28"/>
        </w:rPr>
        <w:t>城市</w:t>
      </w:r>
      <w:r>
        <w:rPr>
          <w:color w:val="auto"/>
          <w:sz w:val="28"/>
          <w:szCs w:val="28"/>
        </w:rPr>
        <w:t>的建设处于一个快速发展时期，随着城市建设框架的不断扩大，</w:t>
      </w:r>
      <w:r>
        <w:rPr>
          <w:rFonts w:hint="eastAsia"/>
          <w:color w:val="auto"/>
          <w:sz w:val="28"/>
          <w:szCs w:val="28"/>
        </w:rPr>
        <w:t>城市建筑总量的增加，城市供热刚性需求加大，为促进抚顺市供热行业科学有序发展，提升城市供热运行管理水平，提高城市居民冬季供热质量，改善城区环境空气质量，降低能源消耗，抚顺</w:t>
      </w:r>
      <w:r>
        <w:rPr>
          <w:color w:val="auto"/>
          <w:sz w:val="28"/>
          <w:szCs w:val="28"/>
        </w:rPr>
        <w:t>市</w:t>
      </w:r>
      <w:r>
        <w:rPr>
          <w:rFonts w:hint="eastAsia"/>
          <w:color w:val="auto"/>
          <w:sz w:val="28"/>
          <w:szCs w:val="28"/>
        </w:rPr>
        <w:t>供热主管部门</w:t>
      </w:r>
      <w:r>
        <w:rPr>
          <w:color w:val="auto"/>
          <w:sz w:val="28"/>
          <w:szCs w:val="28"/>
        </w:rPr>
        <w:t>提出编</w:t>
      </w:r>
      <w:r>
        <w:rPr>
          <w:rFonts w:hint="eastAsia"/>
          <w:color w:val="auto"/>
          <w:sz w:val="28"/>
          <w:szCs w:val="28"/>
        </w:rPr>
        <w:t>制《</w:t>
      </w:r>
      <w:r>
        <w:rPr>
          <w:rFonts w:hint="eastAsia"/>
          <w:color w:val="auto"/>
          <w:sz w:val="28"/>
          <w:szCs w:val="28"/>
          <w:lang w:eastAsia="zh-CN"/>
        </w:rPr>
        <w:t>抚顺市城市供热专项规划（202</w:t>
      </w:r>
      <w:r>
        <w:rPr>
          <w:rFonts w:hint="eastAsia"/>
          <w:color w:val="auto"/>
          <w:sz w:val="28"/>
          <w:szCs w:val="28"/>
          <w:lang w:val="en-US" w:eastAsia="zh-CN"/>
        </w:rPr>
        <w:t>1</w:t>
      </w:r>
      <w:r>
        <w:rPr>
          <w:rFonts w:hint="eastAsia"/>
          <w:color w:val="auto"/>
          <w:sz w:val="28"/>
          <w:szCs w:val="28"/>
          <w:lang w:eastAsia="zh-CN"/>
        </w:rPr>
        <w:t>-2035年）</w:t>
      </w:r>
      <w:r>
        <w:rPr>
          <w:rFonts w:hint="eastAsia"/>
          <w:color w:val="auto"/>
          <w:sz w:val="28"/>
          <w:szCs w:val="28"/>
        </w:rPr>
        <w:t>》</w:t>
      </w:r>
      <w:r>
        <w:rPr>
          <w:color w:val="auto"/>
          <w:sz w:val="28"/>
          <w:szCs w:val="28"/>
        </w:rPr>
        <w:t>的</w:t>
      </w:r>
      <w:r>
        <w:rPr>
          <w:rFonts w:hint="eastAsia"/>
          <w:color w:val="auto"/>
          <w:sz w:val="28"/>
          <w:szCs w:val="28"/>
        </w:rPr>
        <w:t>设想</w:t>
      </w:r>
      <w:r>
        <w:rPr>
          <w:color w:val="auto"/>
          <w:sz w:val="28"/>
          <w:szCs w:val="28"/>
        </w:rPr>
        <w:t>，</w:t>
      </w:r>
      <w:r>
        <w:rPr>
          <w:rFonts w:hint="eastAsia"/>
          <w:color w:val="auto"/>
          <w:sz w:val="28"/>
          <w:szCs w:val="28"/>
        </w:rPr>
        <w:t>通过合理分区、优化布局，形成热电联产</w:t>
      </w:r>
      <w:r>
        <w:rPr>
          <w:color w:val="auto"/>
          <w:sz w:val="28"/>
          <w:szCs w:val="28"/>
        </w:rPr>
        <w:t>供热为主导，以</w:t>
      </w:r>
      <w:r>
        <w:rPr>
          <w:rFonts w:hint="eastAsia"/>
          <w:color w:val="auto"/>
          <w:sz w:val="28"/>
          <w:szCs w:val="28"/>
        </w:rPr>
        <w:t>工业余热利用、污水源热泵、</w:t>
      </w:r>
      <w:r>
        <w:rPr>
          <w:color w:val="auto"/>
          <w:sz w:val="28"/>
          <w:szCs w:val="28"/>
        </w:rPr>
        <w:t>天然气</w:t>
      </w:r>
      <w:r>
        <w:rPr>
          <w:rFonts w:hint="eastAsia"/>
          <w:color w:val="auto"/>
          <w:sz w:val="28"/>
          <w:szCs w:val="28"/>
        </w:rPr>
        <w:t>利用</w:t>
      </w:r>
      <w:r>
        <w:rPr>
          <w:color w:val="auto"/>
          <w:sz w:val="28"/>
          <w:szCs w:val="28"/>
        </w:rPr>
        <w:t>等清洁能源供热为补充</w:t>
      </w:r>
      <w:r>
        <w:rPr>
          <w:rFonts w:hint="eastAsia"/>
          <w:color w:val="auto"/>
          <w:sz w:val="28"/>
          <w:szCs w:val="28"/>
        </w:rPr>
        <w:t>，城区内供热主干网互联互通、供热监测远传全覆盖</w:t>
      </w:r>
      <w:r>
        <w:rPr>
          <w:color w:val="auto"/>
          <w:sz w:val="28"/>
          <w:szCs w:val="28"/>
        </w:rPr>
        <w:t>的城市</w:t>
      </w:r>
      <w:r>
        <w:rPr>
          <w:rFonts w:hint="eastAsia"/>
          <w:color w:val="auto"/>
          <w:sz w:val="28"/>
          <w:szCs w:val="28"/>
        </w:rPr>
        <w:t>智慧</w:t>
      </w:r>
      <w:r>
        <w:rPr>
          <w:color w:val="auto"/>
          <w:sz w:val="28"/>
          <w:szCs w:val="28"/>
        </w:rPr>
        <w:t>供热体系，</w:t>
      </w:r>
      <w:r>
        <w:rPr>
          <w:rFonts w:hint="eastAsia"/>
          <w:color w:val="auto"/>
          <w:sz w:val="28"/>
          <w:szCs w:val="28"/>
        </w:rPr>
        <w:t>确保城市供热安全、可靠，</w:t>
      </w:r>
      <w:r>
        <w:rPr>
          <w:color w:val="auto"/>
          <w:sz w:val="28"/>
          <w:szCs w:val="28"/>
        </w:rPr>
        <w:t>以适应城市</w:t>
      </w:r>
      <w:r>
        <w:rPr>
          <w:rFonts w:hint="eastAsia"/>
          <w:color w:val="auto"/>
          <w:sz w:val="28"/>
          <w:szCs w:val="28"/>
        </w:rPr>
        <w:t>可持续发展</w:t>
      </w:r>
      <w:r>
        <w:rPr>
          <w:color w:val="auto"/>
          <w:sz w:val="28"/>
          <w:szCs w:val="28"/>
        </w:rPr>
        <w:t>的需要。受</w:t>
      </w:r>
      <w:r>
        <w:rPr>
          <w:rFonts w:hint="eastAsia"/>
          <w:color w:val="auto"/>
          <w:sz w:val="28"/>
          <w:szCs w:val="28"/>
        </w:rPr>
        <w:t>抚顺</w:t>
      </w:r>
      <w:r>
        <w:rPr>
          <w:color w:val="auto"/>
          <w:sz w:val="28"/>
          <w:szCs w:val="28"/>
        </w:rPr>
        <w:t>市</w:t>
      </w:r>
      <w:r>
        <w:rPr>
          <w:rFonts w:hint="eastAsia"/>
          <w:color w:val="auto"/>
          <w:sz w:val="28"/>
          <w:szCs w:val="28"/>
        </w:rPr>
        <w:t>住建局的</w:t>
      </w:r>
      <w:r>
        <w:rPr>
          <w:color w:val="auto"/>
          <w:sz w:val="28"/>
          <w:szCs w:val="28"/>
        </w:rPr>
        <w:t>委托，</w:t>
      </w:r>
      <w:r>
        <w:rPr>
          <w:rFonts w:hint="eastAsia"/>
          <w:color w:val="auto"/>
          <w:sz w:val="28"/>
          <w:szCs w:val="28"/>
        </w:rPr>
        <w:t>我</w:t>
      </w:r>
      <w:r>
        <w:rPr>
          <w:color w:val="auto"/>
          <w:sz w:val="28"/>
          <w:szCs w:val="28"/>
        </w:rPr>
        <w:t>院从2022年11月开始收集和整理</w:t>
      </w:r>
      <w:r>
        <w:rPr>
          <w:rFonts w:hint="eastAsia"/>
          <w:color w:val="auto"/>
          <w:sz w:val="28"/>
          <w:szCs w:val="28"/>
        </w:rPr>
        <w:t>抚顺市</w:t>
      </w:r>
      <w:r>
        <w:rPr>
          <w:color w:val="auto"/>
          <w:sz w:val="28"/>
          <w:szCs w:val="28"/>
        </w:rPr>
        <w:t>城</w:t>
      </w:r>
      <w:r>
        <w:rPr>
          <w:rFonts w:hint="eastAsia"/>
          <w:color w:val="auto"/>
          <w:sz w:val="28"/>
          <w:szCs w:val="28"/>
        </w:rPr>
        <w:t>区</w:t>
      </w:r>
      <w:r>
        <w:rPr>
          <w:color w:val="auto"/>
          <w:sz w:val="28"/>
          <w:szCs w:val="28"/>
        </w:rPr>
        <w:t>集中供热工程基础资料</w:t>
      </w:r>
      <w:r>
        <w:rPr>
          <w:rFonts w:hint="eastAsia"/>
          <w:color w:val="auto"/>
          <w:sz w:val="28"/>
          <w:szCs w:val="28"/>
        </w:rPr>
        <w:t>，结合《抚顺市国土空间总体规划（2021-2025年）》（过程版），历经半年多的时间，编制完成《</w:t>
      </w:r>
      <w:r>
        <w:rPr>
          <w:rFonts w:hint="eastAsia"/>
          <w:color w:val="auto"/>
          <w:sz w:val="28"/>
          <w:szCs w:val="28"/>
          <w:lang w:eastAsia="zh-CN"/>
        </w:rPr>
        <w:t>抚顺市城市供热专项规划（2022-2035年）</w:t>
      </w:r>
      <w:r>
        <w:rPr>
          <w:rFonts w:hint="eastAsia"/>
          <w:color w:val="auto"/>
          <w:sz w:val="28"/>
          <w:szCs w:val="28"/>
        </w:rPr>
        <w:t>》</w:t>
      </w:r>
      <w:r>
        <w:rPr>
          <w:color w:val="auto"/>
          <w:sz w:val="28"/>
          <w:szCs w:val="28"/>
        </w:rPr>
        <w:t>。</w:t>
      </w:r>
    </w:p>
    <w:p>
      <w:pPr>
        <w:spacing w:line="360" w:lineRule="auto"/>
        <w:ind w:firstLine="560" w:firstLineChars="200"/>
        <w:rPr>
          <w:color w:val="auto"/>
          <w:sz w:val="28"/>
          <w:szCs w:val="28"/>
        </w:rPr>
      </w:pPr>
      <w:r>
        <w:rPr>
          <w:rFonts w:hint="eastAsia"/>
          <w:color w:val="auto"/>
          <w:sz w:val="28"/>
          <w:szCs w:val="28"/>
        </w:rPr>
        <w:t>根据国家制定的“碳达峰、碳中和”目标以及《热电联产管理办法》、《抚顺市清洁取暖建设规划（2022-2024年）》等能源、行业发展政策性文件，同时结合抚顺市供热现状情况，秉着 “宜气则气、宜电则电、宜煤则煤”的原则，提出抚顺市供热热源以达到超低排放指标的大型燃煤热电联产为主，其它清洁能源作为补充的多能互补供热模式，实施“上大压小”热源整合策略，最终形成“一网多源，多能互补”的供热格局。</w:t>
      </w:r>
    </w:p>
    <w:p>
      <w:pPr>
        <w:spacing w:line="360" w:lineRule="auto"/>
        <w:ind w:firstLine="618" w:firstLineChars="221"/>
        <w:rPr>
          <w:color w:val="auto"/>
          <w:sz w:val="28"/>
          <w:szCs w:val="28"/>
        </w:rPr>
      </w:pPr>
      <w:r>
        <w:rPr>
          <w:rFonts w:hint="eastAsia"/>
          <w:color w:val="auto"/>
          <w:sz w:val="28"/>
          <w:szCs w:val="28"/>
        </w:rPr>
        <w:t>本期规划在编制过程中，得到了抚顺市住建局、抚顺市自然资源局、抚顺市发改委、抚顺市城建中心、抚顺市热力有限公司、抚矿中机热力有限责任公司、辽宁东方发电有限公司、抚顺抚电能源分公司、抚顺市新东热电供暖有限公司、辽宁省华顺热力集团抚顺新北方供热有限公司等相关单位的大力支持与帮助，在此一并表示感谢！</w:t>
      </w:r>
      <w:r>
        <w:rPr>
          <w:color w:val="auto"/>
          <w:sz w:val="28"/>
          <w:szCs w:val="28"/>
        </w:rPr>
        <w:br w:type="page"/>
      </w:r>
    </w:p>
    <w:p>
      <w:pPr>
        <w:pStyle w:val="59"/>
        <w:numPr>
          <w:ilvl w:val="0"/>
          <w:numId w:val="2"/>
        </w:numPr>
        <w:spacing w:after="240" w:afterLines="100" w:line="360" w:lineRule="auto"/>
        <w:ind w:firstLineChars="0"/>
        <w:jc w:val="center"/>
        <w:outlineLvl w:val="0"/>
        <w:rPr>
          <w:b/>
          <w:color w:val="auto"/>
          <w:sz w:val="30"/>
          <w:szCs w:val="32"/>
        </w:rPr>
      </w:pPr>
      <w:bookmarkStart w:id="0" w:name="_Toc25875"/>
      <w:r>
        <w:rPr>
          <w:rFonts w:hint="eastAsia"/>
          <w:b/>
          <w:color w:val="auto"/>
          <w:sz w:val="30"/>
          <w:szCs w:val="32"/>
        </w:rPr>
        <w:t>总 则</w:t>
      </w:r>
      <w:bookmarkEnd w:id="0"/>
    </w:p>
    <w:p>
      <w:pPr>
        <w:pStyle w:val="19"/>
        <w:spacing w:line="360" w:lineRule="auto"/>
        <w:ind w:firstLine="562" w:firstLineChars="200"/>
        <w:outlineLvl w:val="1"/>
        <w:rPr>
          <w:rFonts w:ascii="Times New Roman" w:hAnsi="Times New Roman" w:cs="Times New Roman"/>
          <w:b/>
          <w:color w:val="auto"/>
          <w:sz w:val="28"/>
          <w:szCs w:val="28"/>
        </w:rPr>
      </w:pPr>
      <w:bookmarkStart w:id="1" w:name="_Toc19894"/>
      <w:r>
        <w:rPr>
          <w:rFonts w:hint="eastAsia" w:ascii="Times New Roman" w:hAnsi="Times New Roman" w:cs="Times New Roman"/>
          <w:b/>
          <w:color w:val="auto"/>
          <w:sz w:val="28"/>
          <w:szCs w:val="28"/>
        </w:rPr>
        <w:t>一、规划编制的目的</w:t>
      </w:r>
      <w:r>
        <w:rPr>
          <w:rFonts w:ascii="Times New Roman" w:hAnsi="Times New Roman" w:cs="Times New Roman"/>
          <w:b/>
          <w:color w:val="auto"/>
          <w:sz w:val="28"/>
          <w:szCs w:val="28"/>
        </w:rPr>
        <w:t>、指导思想与规划原则</w:t>
      </w:r>
      <w:bookmarkEnd w:id="1"/>
    </w:p>
    <w:p>
      <w:pPr>
        <w:pStyle w:val="19"/>
        <w:spacing w:line="360" w:lineRule="auto"/>
        <w:ind w:firstLine="562" w:firstLineChars="200"/>
        <w:outlineLvl w:val="1"/>
        <w:rPr>
          <w:rFonts w:ascii="Times New Roman" w:hAnsi="Times New Roman" w:cs="Times New Roman"/>
          <w:b/>
          <w:color w:val="auto"/>
          <w:sz w:val="28"/>
          <w:szCs w:val="28"/>
        </w:rPr>
      </w:pPr>
      <w:bookmarkStart w:id="2" w:name="_Toc21063"/>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w:t>
      </w:r>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编制目的</w:t>
      </w:r>
      <w:bookmarkEnd w:id="2"/>
    </w:p>
    <w:p>
      <w:pPr>
        <w:widowControl/>
        <w:spacing w:line="360" w:lineRule="auto"/>
        <w:ind w:firstLine="560" w:firstLineChars="200"/>
        <w:jc w:val="left"/>
        <w:rPr>
          <w:color w:val="auto"/>
          <w:sz w:val="28"/>
          <w:szCs w:val="28"/>
        </w:rPr>
      </w:pPr>
      <w:r>
        <w:rPr>
          <w:rFonts w:hint="eastAsia"/>
          <w:color w:val="auto"/>
          <w:sz w:val="28"/>
          <w:szCs w:val="28"/>
        </w:rPr>
        <w:t>城市供热是城市基础设施的重要组成部分，也是绿色发展的重点领域之一。为完善城市供热基础设施建设，实现城市供热稳定可靠，优化本区域的供热结构，减少城市环境污染，为本地区提供良好的基础环境。以生态资源环境条件为前提，运用节能环保等领域的先进技术，提高能源利用效率，保护环境，实现清洁采暖，最终实现绿色、低碳、高效、智慧的城市供热系统。</w:t>
      </w:r>
    </w:p>
    <w:p>
      <w:pPr>
        <w:pStyle w:val="19"/>
        <w:spacing w:line="360" w:lineRule="auto"/>
        <w:ind w:firstLine="562" w:firstLineChars="200"/>
        <w:outlineLvl w:val="1"/>
        <w:rPr>
          <w:rFonts w:ascii="Times New Roman" w:hAnsi="Times New Roman" w:cs="Times New Roman"/>
          <w:b/>
          <w:color w:val="auto"/>
          <w:sz w:val="28"/>
          <w:szCs w:val="28"/>
        </w:rPr>
      </w:pPr>
      <w:bookmarkStart w:id="3" w:name="_Toc26267"/>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w:t>
      </w:r>
      <w:r>
        <w:rPr>
          <w:rFonts w:ascii="Times New Roman" w:hAnsi="Times New Roman" w:cs="Times New Roman"/>
          <w:b/>
          <w:color w:val="auto"/>
          <w:sz w:val="28"/>
          <w:szCs w:val="28"/>
        </w:rPr>
        <w:t>2</w:t>
      </w:r>
      <w:r>
        <w:rPr>
          <w:rFonts w:hint="eastAsia" w:ascii="Times New Roman" w:hAnsi="Times New Roman" w:cs="Times New Roman"/>
          <w:b/>
          <w:color w:val="auto"/>
          <w:sz w:val="28"/>
          <w:szCs w:val="28"/>
        </w:rPr>
        <w:t>指导思想</w:t>
      </w:r>
      <w:bookmarkEnd w:id="3"/>
    </w:p>
    <w:p>
      <w:pPr>
        <w:widowControl/>
        <w:spacing w:before="120" w:beforeLines="50" w:after="120" w:afterLines="50" w:line="360" w:lineRule="auto"/>
        <w:ind w:firstLine="560" w:firstLineChars="200"/>
        <w:jc w:val="left"/>
        <w:rPr>
          <w:color w:val="auto"/>
          <w:sz w:val="28"/>
          <w:szCs w:val="28"/>
        </w:rPr>
      </w:pPr>
      <w:r>
        <w:rPr>
          <w:rFonts w:hint="eastAsia"/>
          <w:color w:val="auto"/>
          <w:sz w:val="28"/>
          <w:szCs w:val="28"/>
        </w:rPr>
        <w:t>以习近平新时代中国特色社会主义思想为指导，全面贯彻党的二十大和二十届历次全会精神和习近平总书记在东北地区调研特别是在抚顺市考察时的</w:t>
      </w:r>
      <w:r>
        <w:rPr>
          <w:rFonts w:hint="eastAsia"/>
          <w:color w:val="auto"/>
          <w:sz w:val="28"/>
          <w:szCs w:val="28"/>
          <w:lang w:eastAsia="zh-CN"/>
        </w:rPr>
        <w:t>重要</w:t>
      </w:r>
      <w:r>
        <w:rPr>
          <w:rFonts w:hint="eastAsia"/>
          <w:color w:val="auto"/>
          <w:sz w:val="28"/>
          <w:szCs w:val="28"/>
        </w:rPr>
        <w:t>讲话精神，落实习近平总书记在中央财经领导小组第14次会议上的重要指示，牢固树立创新、协调、绿色、开放、共享的发展理念，以“四个革命一个合作”能源安全新战略为指引，把握“2030年碳达峰、2060年碳中和”目标机遇，按照省委、省政府决策部署和市委、市政府在《抚顺市国民经济和社会发展第十四个五年和2035年远景目标纲要》中提出的建设“两大基地”、发展“六大产业”、推进“三个融合”、建设“五个抚顺”的总体思路，充分发挥抚顺市得天独厚的资源禀赋、区位要素、产业基础等优势，加强地区能源资源勘探开发，支持煤炭精细化开采和储煤基地建设，推动成品油储备和天然气储气能力建设，推进城市热力管网、城镇燃气管网的建设覆盖。加快形成油、气和新能源协调发展的能源供应、应急储备体系，提高能源安全保障水平。具体指导思想如下：</w:t>
      </w:r>
      <w:r>
        <w:rPr>
          <w:color w:val="auto"/>
          <w:sz w:val="28"/>
          <w:szCs w:val="28"/>
        </w:rPr>
        <w:t>根据</w:t>
      </w:r>
      <w:r>
        <w:rPr>
          <w:rFonts w:hint="eastAsia"/>
          <w:color w:val="auto"/>
          <w:sz w:val="28"/>
          <w:szCs w:val="28"/>
        </w:rPr>
        <w:t>抚顺市</w:t>
      </w:r>
      <w:r>
        <w:rPr>
          <w:color w:val="auto"/>
          <w:sz w:val="28"/>
          <w:szCs w:val="28"/>
        </w:rPr>
        <w:t>总体规划和</w:t>
      </w:r>
      <w:r>
        <w:rPr>
          <w:rFonts w:hint="eastAsia"/>
          <w:color w:val="auto"/>
          <w:sz w:val="28"/>
          <w:szCs w:val="28"/>
        </w:rPr>
        <w:t>中心城区</w:t>
      </w:r>
      <w:r>
        <w:rPr>
          <w:color w:val="auto"/>
          <w:sz w:val="28"/>
          <w:szCs w:val="28"/>
        </w:rPr>
        <w:t>供热现状，依据国家《大气污染防治行动计划》的要求，供热规划要有科学性、前瞻性和开创性，热源规划要科学选址、合理布局，明确定位我市未来供热发展方向是以大型热电联产和大型集中热源为主，以</w:t>
      </w:r>
      <w:r>
        <w:rPr>
          <w:rFonts w:hint="eastAsia"/>
          <w:color w:val="auto"/>
          <w:sz w:val="28"/>
          <w:szCs w:val="28"/>
        </w:rPr>
        <w:t>工业</w:t>
      </w:r>
      <w:r>
        <w:rPr>
          <w:color w:val="auto"/>
          <w:sz w:val="28"/>
          <w:szCs w:val="28"/>
        </w:rPr>
        <w:t>余热和清洁能源供热为辅的总体思路。</w:t>
      </w:r>
    </w:p>
    <w:p>
      <w:pPr>
        <w:widowControl/>
        <w:spacing w:before="120" w:beforeLines="50" w:after="120" w:afterLines="50" w:line="360" w:lineRule="auto"/>
        <w:ind w:firstLine="560" w:firstLineChars="200"/>
        <w:jc w:val="left"/>
        <w:rPr>
          <w:color w:val="auto"/>
          <w:sz w:val="28"/>
          <w:szCs w:val="28"/>
        </w:rPr>
      </w:pPr>
      <w:r>
        <w:rPr>
          <w:rFonts w:hint="eastAsia"/>
          <w:color w:val="auto"/>
          <w:sz w:val="28"/>
          <w:szCs w:val="28"/>
        </w:rPr>
        <w:t>中心城区</w:t>
      </w:r>
      <w:r>
        <w:rPr>
          <w:color w:val="auto"/>
          <w:sz w:val="28"/>
          <w:szCs w:val="28"/>
        </w:rPr>
        <w:t>以外的区县独立供热区域须制定完善本区域的供热规划；全面实施“拆小并大”，</w:t>
      </w:r>
      <w:r>
        <w:rPr>
          <w:rFonts w:hint="eastAsia"/>
          <w:color w:val="auto"/>
          <w:sz w:val="28"/>
          <w:szCs w:val="28"/>
        </w:rPr>
        <w:t>积极</w:t>
      </w:r>
      <w:r>
        <w:rPr>
          <w:color w:val="auto"/>
          <w:sz w:val="28"/>
          <w:szCs w:val="28"/>
        </w:rPr>
        <w:t>开发利用工业余热资源，鼓励应用地源热泵、电热蓄能、天然气及太阳能等清洁能源在</w:t>
      </w:r>
      <w:r>
        <w:rPr>
          <w:rFonts w:hint="eastAsia"/>
          <w:color w:val="auto"/>
          <w:sz w:val="28"/>
          <w:szCs w:val="28"/>
          <w:lang w:eastAsia="zh-CN"/>
        </w:rPr>
        <w:t>生</w:t>
      </w:r>
      <w:r>
        <w:rPr>
          <w:color w:val="auto"/>
          <w:sz w:val="28"/>
          <w:szCs w:val="28"/>
        </w:rPr>
        <w:t>产和民用采暖领域的应用。</w:t>
      </w:r>
    </w:p>
    <w:p>
      <w:pPr>
        <w:pStyle w:val="19"/>
        <w:spacing w:line="360" w:lineRule="auto"/>
        <w:ind w:firstLine="562" w:firstLineChars="200"/>
        <w:outlineLvl w:val="1"/>
        <w:rPr>
          <w:rFonts w:ascii="Times New Roman" w:hAnsi="Times New Roman" w:cs="Times New Roman"/>
          <w:b/>
          <w:color w:val="auto"/>
          <w:sz w:val="28"/>
          <w:szCs w:val="28"/>
        </w:rPr>
      </w:pPr>
      <w:bookmarkStart w:id="4" w:name="_Toc27451"/>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w:t>
      </w:r>
      <w:r>
        <w:rPr>
          <w:rFonts w:ascii="Times New Roman" w:hAnsi="Times New Roman" w:cs="Times New Roman"/>
          <w:b/>
          <w:color w:val="auto"/>
          <w:sz w:val="28"/>
          <w:szCs w:val="28"/>
        </w:rPr>
        <w:t>3</w:t>
      </w:r>
      <w:r>
        <w:rPr>
          <w:rFonts w:hint="eastAsia" w:ascii="Times New Roman" w:hAnsi="Times New Roman" w:cs="Times New Roman"/>
          <w:b/>
          <w:color w:val="auto"/>
          <w:sz w:val="28"/>
          <w:szCs w:val="28"/>
        </w:rPr>
        <w:t>编制原则</w:t>
      </w:r>
      <w:bookmarkEnd w:id="4"/>
    </w:p>
    <w:p>
      <w:pPr>
        <w:spacing w:line="360" w:lineRule="auto"/>
        <w:ind w:firstLine="560" w:firstLineChars="200"/>
        <w:rPr>
          <w:color w:val="auto"/>
          <w:sz w:val="28"/>
          <w:szCs w:val="28"/>
        </w:rPr>
      </w:pPr>
      <w:r>
        <w:rPr>
          <w:rFonts w:hint="eastAsia"/>
          <w:color w:val="auto"/>
          <w:sz w:val="28"/>
          <w:szCs w:val="28"/>
        </w:rPr>
        <w:t>在《抚顺市国土空间总体规划</w:t>
      </w:r>
      <w:r>
        <w:rPr>
          <w:color w:val="auto"/>
          <w:sz w:val="28"/>
          <w:szCs w:val="28"/>
        </w:rPr>
        <w:t>（</w:t>
      </w:r>
      <w:r>
        <w:rPr>
          <w:rFonts w:hint="eastAsia"/>
          <w:color w:val="auto"/>
          <w:sz w:val="28"/>
          <w:szCs w:val="28"/>
        </w:rPr>
        <w:t>2021</w:t>
      </w:r>
      <w:r>
        <w:rPr>
          <w:color w:val="auto"/>
          <w:sz w:val="28"/>
          <w:szCs w:val="28"/>
        </w:rPr>
        <w:t>-2035</w:t>
      </w:r>
      <w:r>
        <w:rPr>
          <w:rFonts w:hint="eastAsia"/>
          <w:color w:val="auto"/>
          <w:sz w:val="28"/>
          <w:szCs w:val="28"/>
        </w:rPr>
        <w:t>年</w:t>
      </w:r>
      <w:r>
        <w:rPr>
          <w:color w:val="auto"/>
          <w:sz w:val="28"/>
          <w:szCs w:val="28"/>
        </w:rPr>
        <w:t>）</w:t>
      </w:r>
      <w:r>
        <w:rPr>
          <w:rFonts w:hint="eastAsia"/>
          <w:color w:val="auto"/>
          <w:sz w:val="28"/>
          <w:szCs w:val="28"/>
        </w:rPr>
        <w:t>》（过程版）的原则指导下，</w:t>
      </w:r>
      <w:r>
        <w:rPr>
          <w:color w:val="auto"/>
          <w:sz w:val="28"/>
          <w:szCs w:val="28"/>
        </w:rPr>
        <w:t>以《</w:t>
      </w:r>
      <w:r>
        <w:rPr>
          <w:rFonts w:hint="eastAsia"/>
          <w:color w:val="auto"/>
          <w:sz w:val="28"/>
          <w:szCs w:val="28"/>
        </w:rPr>
        <w:t>抚顺市城市</w:t>
      </w:r>
      <w:r>
        <w:rPr>
          <w:color w:val="auto"/>
          <w:sz w:val="28"/>
          <w:szCs w:val="28"/>
        </w:rPr>
        <w:t>供热条例》</w:t>
      </w:r>
      <w:r>
        <w:rPr>
          <w:rFonts w:hint="eastAsia"/>
          <w:color w:val="auto"/>
          <w:sz w:val="28"/>
          <w:szCs w:val="28"/>
        </w:rPr>
        <w:t>和</w:t>
      </w:r>
      <w:r>
        <w:rPr>
          <w:color w:val="auto"/>
          <w:sz w:val="28"/>
          <w:szCs w:val="28"/>
        </w:rPr>
        <w:t>相关</w:t>
      </w:r>
      <w:r>
        <w:rPr>
          <w:rFonts w:hint="eastAsia"/>
          <w:color w:val="auto"/>
          <w:sz w:val="28"/>
          <w:szCs w:val="28"/>
        </w:rPr>
        <w:t>规划</w:t>
      </w:r>
      <w:r>
        <w:rPr>
          <w:color w:val="auto"/>
          <w:sz w:val="28"/>
          <w:szCs w:val="28"/>
        </w:rPr>
        <w:t>为基础，以《中华人民共和国</w:t>
      </w:r>
      <w:r>
        <w:rPr>
          <w:rFonts w:hint="eastAsia"/>
          <w:color w:val="auto"/>
          <w:sz w:val="28"/>
          <w:szCs w:val="28"/>
        </w:rPr>
        <w:t>节约能源</w:t>
      </w:r>
      <w:r>
        <w:rPr>
          <w:color w:val="auto"/>
          <w:sz w:val="28"/>
          <w:szCs w:val="28"/>
        </w:rPr>
        <w:t>法》、《中华人民共和国大气污染防治法》、《</w:t>
      </w:r>
      <w:r>
        <w:rPr>
          <w:rFonts w:hint="eastAsia"/>
          <w:color w:val="auto"/>
          <w:sz w:val="28"/>
          <w:szCs w:val="28"/>
        </w:rPr>
        <w:t>抚顺市大气</w:t>
      </w:r>
      <w:r>
        <w:rPr>
          <w:color w:val="auto"/>
          <w:sz w:val="28"/>
          <w:szCs w:val="28"/>
        </w:rPr>
        <w:t>污染防治</w:t>
      </w:r>
      <w:r>
        <w:rPr>
          <w:rFonts w:hint="eastAsia"/>
          <w:color w:val="auto"/>
          <w:sz w:val="28"/>
          <w:szCs w:val="28"/>
        </w:rPr>
        <w:t>行动</w:t>
      </w:r>
      <w:r>
        <w:rPr>
          <w:color w:val="auto"/>
          <w:sz w:val="28"/>
          <w:szCs w:val="28"/>
        </w:rPr>
        <w:t>计划实施方案》和国家建筑节能有关政策条例为依据，认真贯彻落实国家《大气污染防治行动计划》和《辽宁省人民政府关于蓝天工程的实施意见》(辽政发〔2012〕36号)精神，以提高供热质量、节能减排、改善生态环境、提高人民生活水平为目标，以发展热电联产、集中供热为重点，坚持“统一规划、统一政策、归口管理、区域管理”的方针，促进</w:t>
      </w:r>
      <w:r>
        <w:rPr>
          <w:rFonts w:hint="eastAsia"/>
          <w:color w:val="auto"/>
          <w:sz w:val="28"/>
          <w:szCs w:val="28"/>
        </w:rPr>
        <w:t>抚顺</w:t>
      </w:r>
      <w:r>
        <w:rPr>
          <w:color w:val="auto"/>
          <w:sz w:val="28"/>
          <w:szCs w:val="28"/>
        </w:rPr>
        <w:t>市供热事业的发展。</w:t>
      </w:r>
      <w:r>
        <w:rPr>
          <w:rFonts w:hint="eastAsia"/>
          <w:color w:val="auto"/>
          <w:sz w:val="28"/>
          <w:szCs w:val="28"/>
        </w:rPr>
        <w:t>根据各供热区热负荷发展情况，确保热源建设与城市发展同步并适当超前的原则。抚顺市的供热规划坚持以热电联产为主、以工业余热利用、污水源热泵、天然气利用等清洁能源供热为辅的集中供热，具体原则如下：</w:t>
      </w:r>
    </w:p>
    <w:p>
      <w:pPr>
        <w:spacing w:line="360" w:lineRule="auto"/>
        <w:ind w:firstLine="560" w:firstLineChars="200"/>
        <w:rPr>
          <w:color w:val="auto"/>
          <w:sz w:val="28"/>
          <w:szCs w:val="28"/>
        </w:rPr>
      </w:pPr>
      <w:r>
        <w:rPr>
          <w:rFonts w:hint="eastAsia"/>
          <w:color w:val="auto"/>
          <w:sz w:val="28"/>
          <w:szCs w:val="28"/>
        </w:rPr>
        <w:t>（1）严格遵循国家有关政策和法规，坚持社会效益和经济效益并举的方针，保障供热系统安全可靠，最大限度实现节能减排目标，提高抚顺地区集中供热普及率，提高城市供热管理水平。</w:t>
      </w:r>
    </w:p>
    <w:p>
      <w:pPr>
        <w:spacing w:line="360" w:lineRule="auto"/>
        <w:ind w:firstLine="560" w:firstLineChars="200"/>
        <w:rPr>
          <w:color w:val="auto"/>
          <w:sz w:val="28"/>
          <w:szCs w:val="28"/>
        </w:rPr>
      </w:pPr>
      <w:r>
        <w:rPr>
          <w:rFonts w:hint="eastAsia"/>
          <w:color w:val="auto"/>
          <w:sz w:val="28"/>
          <w:szCs w:val="28"/>
        </w:rPr>
        <w:t>（2）根据规划期的热负荷需求量，贯彻“上大压小，节能减排”的指导原则，确定热电联产集中供热为主、以工业余热利用、污水源热泵、天然气利用等清洁能源供热为辅的原则，满足抚顺地区的民用采暖热负荷的需求。实现“一网多源”的供热格局，以多能源、多热源联合供热适度超前，以提高供热保障能力和热效率。</w:t>
      </w:r>
    </w:p>
    <w:p>
      <w:pPr>
        <w:spacing w:line="360" w:lineRule="auto"/>
        <w:ind w:firstLine="560" w:firstLineChars="200"/>
        <w:rPr>
          <w:color w:val="auto"/>
          <w:sz w:val="28"/>
          <w:szCs w:val="28"/>
        </w:rPr>
      </w:pPr>
      <w:r>
        <w:rPr>
          <w:rFonts w:hint="eastAsia"/>
          <w:color w:val="auto"/>
          <w:sz w:val="28"/>
          <w:szCs w:val="28"/>
        </w:rPr>
        <w:t>（3）根据规划期末的热负荷需求量确定热源建设规模，逐步取代小火电机组及单台容量小于58</w:t>
      </w:r>
      <w:r>
        <w:rPr>
          <w:color w:val="auto"/>
          <w:sz w:val="28"/>
          <w:szCs w:val="28"/>
        </w:rPr>
        <w:t>MW</w:t>
      </w:r>
      <w:r>
        <w:rPr>
          <w:rFonts w:hint="eastAsia"/>
          <w:color w:val="auto"/>
          <w:sz w:val="28"/>
          <w:szCs w:val="28"/>
        </w:rPr>
        <w:t>（＜</w:t>
      </w:r>
      <w:r>
        <w:rPr>
          <w:color w:val="auto"/>
          <w:sz w:val="28"/>
          <w:szCs w:val="28"/>
        </w:rPr>
        <w:t>75</w:t>
      </w:r>
      <w:r>
        <w:rPr>
          <w:rFonts w:hint="eastAsia"/>
          <w:color w:val="auto"/>
          <w:sz w:val="28"/>
          <w:szCs w:val="28"/>
        </w:rPr>
        <w:t>t/h</w:t>
      </w:r>
      <w:r>
        <w:rPr>
          <w:color w:val="auto"/>
          <w:sz w:val="28"/>
          <w:szCs w:val="28"/>
        </w:rPr>
        <w:t>）</w:t>
      </w:r>
      <w:r>
        <w:rPr>
          <w:rFonts w:hint="eastAsia"/>
          <w:color w:val="auto"/>
          <w:sz w:val="28"/>
          <w:szCs w:val="28"/>
        </w:rPr>
        <w:t>的中、小型锅炉。适度规划发展以大、中型燃煤锅炉（单台锅炉容量≥58MW）为辅的集中供热，作为热电联产供热的补充。</w:t>
      </w:r>
    </w:p>
    <w:p>
      <w:pPr>
        <w:spacing w:line="360" w:lineRule="auto"/>
        <w:ind w:firstLine="560" w:firstLineChars="200"/>
        <w:rPr>
          <w:color w:val="auto"/>
          <w:sz w:val="28"/>
          <w:szCs w:val="28"/>
        </w:rPr>
      </w:pPr>
      <w:r>
        <w:rPr>
          <w:rFonts w:hint="eastAsia"/>
          <w:color w:val="auto"/>
          <w:sz w:val="28"/>
          <w:szCs w:val="28"/>
        </w:rPr>
        <w:t>（</w:t>
      </w:r>
      <w:r>
        <w:rPr>
          <w:color w:val="auto"/>
          <w:sz w:val="28"/>
          <w:szCs w:val="28"/>
        </w:rPr>
        <w:t>4</w:t>
      </w:r>
      <w:r>
        <w:rPr>
          <w:rFonts w:hint="eastAsia"/>
          <w:color w:val="auto"/>
          <w:sz w:val="28"/>
          <w:szCs w:val="28"/>
        </w:rPr>
        <w:t>）近期</w:t>
      </w:r>
      <w:r>
        <w:rPr>
          <w:color w:val="auto"/>
          <w:sz w:val="28"/>
          <w:szCs w:val="28"/>
        </w:rPr>
        <w:t>将具备改造条件的建成区内自行供热的</w:t>
      </w:r>
      <w:r>
        <w:rPr>
          <w:rFonts w:hint="eastAsia"/>
          <w:color w:val="auto"/>
          <w:sz w:val="28"/>
          <w:szCs w:val="28"/>
        </w:rPr>
        <w:t>工业</w:t>
      </w:r>
      <w:r>
        <w:rPr>
          <w:color w:val="auto"/>
          <w:sz w:val="28"/>
          <w:szCs w:val="28"/>
        </w:rPr>
        <w:t>企业和公建项目，改用天然气等清洁燃料</w:t>
      </w:r>
      <w:r>
        <w:rPr>
          <w:rFonts w:hint="eastAsia"/>
          <w:color w:val="auto"/>
          <w:sz w:val="28"/>
          <w:szCs w:val="28"/>
        </w:rPr>
        <w:t>。</w:t>
      </w:r>
    </w:p>
    <w:p>
      <w:pPr>
        <w:spacing w:line="360" w:lineRule="auto"/>
        <w:ind w:firstLine="560" w:firstLineChars="200"/>
        <w:rPr>
          <w:color w:val="auto"/>
          <w:sz w:val="28"/>
          <w:szCs w:val="28"/>
        </w:rPr>
      </w:pPr>
      <w:r>
        <w:rPr>
          <w:rFonts w:hint="eastAsia"/>
          <w:color w:val="auto"/>
          <w:sz w:val="28"/>
          <w:szCs w:val="28"/>
        </w:rPr>
        <w:t>（</w:t>
      </w:r>
      <w:r>
        <w:rPr>
          <w:color w:val="auto"/>
          <w:sz w:val="28"/>
          <w:szCs w:val="28"/>
        </w:rPr>
        <w:t>5</w:t>
      </w:r>
      <w:r>
        <w:rPr>
          <w:rFonts w:hint="eastAsia"/>
          <w:color w:val="auto"/>
          <w:sz w:val="28"/>
          <w:szCs w:val="28"/>
        </w:rPr>
        <w:t>）积极推广清洁供暖技术、构建低碳绿色可持续发展的原则。在大型热网供热范围以外的城区地带和有条件的区域积极推广采用水源热泵技术、燃气供暖、工业余热等清洁能源供热方式，兼顾推广采用可再生能源、太阳能利用等。</w:t>
      </w:r>
    </w:p>
    <w:p>
      <w:pPr>
        <w:spacing w:line="360" w:lineRule="auto"/>
        <w:ind w:firstLine="560" w:firstLineChars="200"/>
        <w:rPr>
          <w:color w:val="auto"/>
          <w:sz w:val="28"/>
          <w:szCs w:val="28"/>
        </w:rPr>
      </w:pPr>
      <w:r>
        <w:rPr>
          <w:rFonts w:hint="eastAsia"/>
          <w:color w:val="auto"/>
          <w:sz w:val="28"/>
          <w:szCs w:val="28"/>
        </w:rPr>
        <w:t>（</w:t>
      </w:r>
      <w:r>
        <w:rPr>
          <w:color w:val="auto"/>
          <w:sz w:val="28"/>
          <w:szCs w:val="28"/>
        </w:rPr>
        <w:t>6</w:t>
      </w:r>
      <w:r>
        <w:rPr>
          <w:rFonts w:hint="eastAsia"/>
          <w:color w:val="auto"/>
          <w:sz w:val="28"/>
          <w:szCs w:val="28"/>
        </w:rPr>
        <w:t>）</w:t>
      </w:r>
      <w:r>
        <w:rPr>
          <w:color w:val="auto"/>
          <w:sz w:val="28"/>
          <w:szCs w:val="28"/>
        </w:rPr>
        <w:t>大力推广热计量收费，对非节能建筑逐步改造为节能建筑，</w:t>
      </w:r>
      <w:r>
        <w:rPr>
          <w:rFonts w:hint="eastAsia"/>
          <w:color w:val="auto"/>
          <w:sz w:val="28"/>
          <w:szCs w:val="28"/>
        </w:rPr>
        <w:t>推进供热节能技术的应用，加强供热系统节能及热计量改造，节约能源、减少污染，改善环境质量</w:t>
      </w:r>
    </w:p>
    <w:p>
      <w:pPr>
        <w:pStyle w:val="48"/>
        <w:spacing w:line="360" w:lineRule="auto"/>
        <w:ind w:firstLine="560"/>
        <w:rPr>
          <w:b/>
          <w:color w:val="auto"/>
          <w:sz w:val="28"/>
          <w:szCs w:val="28"/>
        </w:rPr>
      </w:pPr>
      <w:r>
        <w:rPr>
          <w:rFonts w:hint="eastAsia"/>
          <w:color w:val="auto"/>
          <w:sz w:val="28"/>
          <w:szCs w:val="28"/>
        </w:rPr>
        <w:t>（</w:t>
      </w:r>
      <w:r>
        <w:rPr>
          <w:color w:val="auto"/>
          <w:sz w:val="28"/>
          <w:szCs w:val="28"/>
        </w:rPr>
        <w:t>7</w:t>
      </w:r>
      <w:r>
        <w:rPr>
          <w:rFonts w:hint="eastAsia"/>
          <w:color w:val="auto"/>
          <w:sz w:val="28"/>
          <w:szCs w:val="28"/>
        </w:rPr>
        <w:t>）坚持遵循近远期相结合、分步实施的原则。落实近期到2025年规划的供热分区热平衡计算和项目协调布局，与远期203</w:t>
      </w:r>
      <w:r>
        <w:rPr>
          <w:rFonts w:hint="eastAsia"/>
          <w:color w:val="auto"/>
          <w:sz w:val="28"/>
          <w:szCs w:val="28"/>
          <w:lang w:val="en-US" w:eastAsia="zh-CN"/>
        </w:rPr>
        <w:t>5</w:t>
      </w:r>
      <w:r>
        <w:rPr>
          <w:rFonts w:hint="eastAsia"/>
          <w:color w:val="auto"/>
          <w:sz w:val="28"/>
          <w:szCs w:val="28"/>
        </w:rPr>
        <w:t>年规划发展目标相协调，为未来供热领域的新技术、新模式预留接口。</w:t>
      </w:r>
    </w:p>
    <w:p>
      <w:pPr>
        <w:pStyle w:val="19"/>
        <w:spacing w:line="360" w:lineRule="auto"/>
        <w:ind w:firstLine="562" w:firstLineChars="200"/>
        <w:outlineLvl w:val="1"/>
        <w:rPr>
          <w:rFonts w:ascii="Times New Roman" w:hAnsi="Times New Roman" w:cs="Times New Roman"/>
          <w:b/>
          <w:color w:val="auto"/>
          <w:sz w:val="28"/>
          <w:szCs w:val="28"/>
        </w:rPr>
      </w:pPr>
      <w:bookmarkStart w:id="5" w:name="_Toc24946"/>
      <w:r>
        <w:rPr>
          <w:rFonts w:hint="eastAsia" w:ascii="Times New Roman" w:hAnsi="Times New Roman" w:cs="Times New Roman"/>
          <w:b/>
          <w:color w:val="auto"/>
          <w:sz w:val="28"/>
          <w:szCs w:val="28"/>
        </w:rPr>
        <w:t>二、规划</w:t>
      </w:r>
      <w:r>
        <w:rPr>
          <w:rFonts w:ascii="Times New Roman" w:hAnsi="Times New Roman" w:cs="Times New Roman"/>
          <w:b/>
          <w:color w:val="auto"/>
          <w:sz w:val="28"/>
          <w:szCs w:val="28"/>
        </w:rPr>
        <w:t>依据、</w:t>
      </w:r>
      <w:r>
        <w:rPr>
          <w:rFonts w:hint="eastAsia" w:ascii="Times New Roman" w:hAnsi="Times New Roman" w:cs="Times New Roman"/>
          <w:b/>
          <w:color w:val="auto"/>
          <w:sz w:val="28"/>
          <w:szCs w:val="28"/>
        </w:rPr>
        <w:t>规划范围与</w:t>
      </w:r>
      <w:r>
        <w:rPr>
          <w:rFonts w:ascii="Times New Roman" w:hAnsi="Times New Roman" w:cs="Times New Roman"/>
          <w:b/>
          <w:color w:val="auto"/>
          <w:sz w:val="28"/>
          <w:szCs w:val="28"/>
        </w:rPr>
        <w:t>期限</w:t>
      </w:r>
      <w:bookmarkEnd w:id="5"/>
    </w:p>
    <w:p>
      <w:pPr>
        <w:pStyle w:val="19"/>
        <w:spacing w:line="360" w:lineRule="auto"/>
        <w:ind w:firstLine="562" w:firstLineChars="200"/>
        <w:outlineLvl w:val="1"/>
        <w:rPr>
          <w:rFonts w:ascii="Times New Roman" w:hAnsi="Times New Roman" w:cs="Times New Roman"/>
          <w:b/>
          <w:color w:val="auto"/>
          <w:sz w:val="28"/>
          <w:szCs w:val="28"/>
        </w:rPr>
      </w:pPr>
      <w:bookmarkStart w:id="6" w:name="_Toc22454"/>
      <w:r>
        <w:rPr>
          <w:rFonts w:ascii="Times New Roman" w:hAnsi="Times New Roman" w:cs="Times New Roman"/>
          <w:b/>
          <w:color w:val="auto"/>
          <w:sz w:val="28"/>
          <w:szCs w:val="28"/>
        </w:rPr>
        <w:t>2.1</w:t>
      </w:r>
      <w:r>
        <w:rPr>
          <w:rFonts w:hint="eastAsia" w:ascii="Times New Roman" w:hAnsi="Times New Roman" w:cs="Times New Roman"/>
          <w:b/>
          <w:color w:val="auto"/>
          <w:sz w:val="28"/>
          <w:szCs w:val="28"/>
        </w:rPr>
        <w:t>规划依据</w:t>
      </w:r>
      <w:bookmarkEnd w:id="6"/>
    </w:p>
    <w:p>
      <w:pPr>
        <w:pStyle w:val="48"/>
        <w:spacing w:line="360" w:lineRule="auto"/>
        <w:ind w:firstLine="560"/>
        <w:rPr>
          <w:color w:val="auto"/>
          <w:sz w:val="28"/>
          <w:szCs w:val="28"/>
        </w:rPr>
      </w:pPr>
      <w:r>
        <w:rPr>
          <w:color w:val="auto"/>
          <w:sz w:val="28"/>
          <w:szCs w:val="28"/>
        </w:rPr>
        <w:t>2.1</w:t>
      </w:r>
      <w:r>
        <w:rPr>
          <w:rFonts w:hint="eastAsia"/>
          <w:color w:val="auto"/>
          <w:sz w:val="28"/>
          <w:szCs w:val="28"/>
        </w:rPr>
        <w:t>.1规划所遵循的相关法规</w:t>
      </w:r>
    </w:p>
    <w:p>
      <w:pPr>
        <w:pStyle w:val="48"/>
        <w:spacing w:line="360" w:lineRule="auto"/>
        <w:ind w:firstLine="560"/>
        <w:rPr>
          <w:color w:val="auto"/>
          <w:sz w:val="28"/>
          <w:szCs w:val="28"/>
        </w:rPr>
      </w:pPr>
      <w:r>
        <w:rPr>
          <w:rFonts w:hint="eastAsia"/>
          <w:color w:val="auto"/>
          <w:sz w:val="28"/>
          <w:szCs w:val="28"/>
        </w:rPr>
        <w:t>（《中华人民共和国城乡规划法》（2008年1月1日施行，2019年第二次修正）</w:t>
      </w:r>
    </w:p>
    <w:p>
      <w:pPr>
        <w:pStyle w:val="48"/>
        <w:spacing w:line="360" w:lineRule="auto"/>
        <w:ind w:firstLine="560"/>
        <w:rPr>
          <w:color w:val="auto"/>
          <w:sz w:val="28"/>
          <w:szCs w:val="28"/>
        </w:rPr>
      </w:pPr>
      <w:r>
        <w:rPr>
          <w:rFonts w:hint="eastAsia"/>
          <w:color w:val="auto"/>
          <w:sz w:val="28"/>
          <w:szCs w:val="28"/>
        </w:rPr>
        <w:t>《中华人民共和国安全生产法》（2021年9月1日施行）</w:t>
      </w:r>
    </w:p>
    <w:p>
      <w:pPr>
        <w:pStyle w:val="48"/>
        <w:spacing w:line="360" w:lineRule="auto"/>
        <w:ind w:firstLine="560"/>
        <w:rPr>
          <w:color w:val="auto"/>
          <w:sz w:val="28"/>
          <w:szCs w:val="28"/>
        </w:rPr>
      </w:pPr>
      <w:r>
        <w:rPr>
          <w:rFonts w:hint="eastAsia"/>
          <w:color w:val="auto"/>
          <w:sz w:val="28"/>
          <w:szCs w:val="28"/>
        </w:rPr>
        <w:t>《中华人民共和国消防法》（2021年4月29日施行）</w:t>
      </w:r>
    </w:p>
    <w:p>
      <w:pPr>
        <w:pStyle w:val="48"/>
        <w:spacing w:line="360" w:lineRule="auto"/>
        <w:ind w:firstLine="560"/>
        <w:rPr>
          <w:color w:val="auto"/>
          <w:sz w:val="28"/>
          <w:szCs w:val="28"/>
        </w:rPr>
      </w:pPr>
      <w:r>
        <w:rPr>
          <w:rFonts w:hint="eastAsia"/>
          <w:color w:val="auto"/>
          <w:sz w:val="28"/>
          <w:szCs w:val="28"/>
        </w:rPr>
        <w:t>《中华人民共和国节约能源法》（2008年4月1日施行，2018年10月修正）；</w:t>
      </w:r>
    </w:p>
    <w:p>
      <w:pPr>
        <w:pStyle w:val="48"/>
        <w:spacing w:line="360" w:lineRule="auto"/>
        <w:ind w:firstLine="560"/>
        <w:rPr>
          <w:color w:val="auto"/>
          <w:sz w:val="28"/>
          <w:szCs w:val="28"/>
        </w:rPr>
      </w:pPr>
      <w:r>
        <w:rPr>
          <w:rFonts w:hint="eastAsia"/>
          <w:color w:val="auto"/>
          <w:sz w:val="28"/>
          <w:szCs w:val="28"/>
        </w:rPr>
        <w:t>《中华人民共和国清洁生产促进法》（2003年1月1日施行，2012年2月修正）</w:t>
      </w:r>
    </w:p>
    <w:p>
      <w:pPr>
        <w:pStyle w:val="48"/>
        <w:spacing w:line="360" w:lineRule="auto"/>
        <w:ind w:firstLine="560"/>
        <w:rPr>
          <w:color w:val="auto"/>
          <w:sz w:val="28"/>
          <w:szCs w:val="28"/>
        </w:rPr>
      </w:pPr>
      <w:r>
        <w:rPr>
          <w:rFonts w:hint="eastAsia"/>
          <w:color w:val="auto"/>
          <w:sz w:val="28"/>
          <w:szCs w:val="28"/>
        </w:rPr>
        <w:t>《中华人民共和国职业病防治法》（2002年5月1日施行，2018年12月第四次修正）</w:t>
      </w:r>
    </w:p>
    <w:p>
      <w:pPr>
        <w:pStyle w:val="48"/>
        <w:spacing w:line="360" w:lineRule="auto"/>
        <w:ind w:firstLine="560"/>
        <w:rPr>
          <w:color w:val="auto"/>
          <w:sz w:val="28"/>
          <w:szCs w:val="28"/>
        </w:rPr>
      </w:pPr>
      <w:r>
        <w:rPr>
          <w:rFonts w:hint="eastAsia"/>
          <w:color w:val="auto"/>
          <w:sz w:val="28"/>
          <w:szCs w:val="28"/>
        </w:rPr>
        <w:t>《中华人民共和国水土保持法》（2011年3月1日施行）</w:t>
      </w:r>
    </w:p>
    <w:p>
      <w:pPr>
        <w:pStyle w:val="48"/>
        <w:spacing w:line="360" w:lineRule="auto"/>
        <w:ind w:firstLine="560"/>
        <w:rPr>
          <w:color w:val="auto"/>
          <w:sz w:val="28"/>
          <w:szCs w:val="28"/>
        </w:rPr>
      </w:pPr>
      <w:r>
        <w:rPr>
          <w:rFonts w:hint="eastAsia"/>
          <w:color w:val="auto"/>
          <w:sz w:val="28"/>
          <w:szCs w:val="28"/>
        </w:rPr>
        <w:t>《中华人民共和国固体废物污染环境防治法》（2020年9月1日施行）</w:t>
      </w:r>
    </w:p>
    <w:p>
      <w:pPr>
        <w:pStyle w:val="48"/>
        <w:spacing w:line="360" w:lineRule="auto"/>
        <w:ind w:firstLine="560"/>
        <w:rPr>
          <w:color w:val="auto"/>
          <w:sz w:val="28"/>
          <w:szCs w:val="28"/>
        </w:rPr>
      </w:pPr>
      <w:r>
        <w:rPr>
          <w:rFonts w:hint="eastAsia"/>
          <w:color w:val="auto"/>
          <w:sz w:val="28"/>
          <w:szCs w:val="28"/>
        </w:rPr>
        <w:t>《中华人民共和国水污染防治法》（2008年6月1日施行，2017年修正）</w:t>
      </w:r>
    </w:p>
    <w:p>
      <w:pPr>
        <w:pStyle w:val="48"/>
        <w:spacing w:line="360" w:lineRule="auto"/>
        <w:ind w:firstLine="560"/>
        <w:rPr>
          <w:color w:val="auto"/>
          <w:sz w:val="28"/>
          <w:szCs w:val="28"/>
        </w:rPr>
      </w:pPr>
      <w:r>
        <w:rPr>
          <w:rFonts w:hint="eastAsia"/>
          <w:color w:val="auto"/>
          <w:sz w:val="28"/>
          <w:szCs w:val="28"/>
        </w:rPr>
        <w:t>《中华人民共和国环境保护法》（2015年）；</w:t>
      </w:r>
    </w:p>
    <w:p>
      <w:pPr>
        <w:pStyle w:val="48"/>
        <w:spacing w:line="360" w:lineRule="auto"/>
        <w:ind w:firstLine="560"/>
        <w:rPr>
          <w:color w:val="auto"/>
          <w:sz w:val="28"/>
          <w:szCs w:val="28"/>
        </w:rPr>
      </w:pPr>
      <w:r>
        <w:rPr>
          <w:rFonts w:hint="eastAsia"/>
          <w:color w:val="auto"/>
          <w:sz w:val="28"/>
          <w:szCs w:val="28"/>
        </w:rPr>
        <w:t>《中华人民</w:t>
      </w:r>
      <w:r>
        <w:rPr>
          <w:color w:val="auto"/>
          <w:sz w:val="28"/>
          <w:szCs w:val="28"/>
        </w:rPr>
        <w:t>共和国大气污染防治法</w:t>
      </w:r>
      <w:r>
        <w:rPr>
          <w:rFonts w:hint="eastAsia"/>
          <w:color w:val="auto"/>
          <w:sz w:val="28"/>
          <w:szCs w:val="28"/>
        </w:rPr>
        <w:t>》（2016年1月1日施行，2018年10月修正）</w:t>
      </w:r>
    </w:p>
    <w:p>
      <w:pPr>
        <w:pStyle w:val="48"/>
        <w:spacing w:line="360" w:lineRule="auto"/>
        <w:ind w:firstLine="560"/>
        <w:rPr>
          <w:color w:val="auto"/>
          <w:sz w:val="28"/>
          <w:szCs w:val="28"/>
        </w:rPr>
      </w:pPr>
      <w:r>
        <w:rPr>
          <w:rFonts w:hint="eastAsia"/>
          <w:color w:val="auto"/>
          <w:sz w:val="28"/>
          <w:szCs w:val="28"/>
        </w:rPr>
        <w:t>《中华人民共和国噪声污染防治法》（</w:t>
      </w:r>
      <w:r>
        <w:rPr>
          <w:color w:val="auto"/>
          <w:sz w:val="28"/>
          <w:szCs w:val="28"/>
        </w:rPr>
        <w:t>2021</w:t>
      </w:r>
      <w:r>
        <w:rPr>
          <w:rFonts w:hint="eastAsia"/>
          <w:color w:val="auto"/>
          <w:sz w:val="28"/>
          <w:szCs w:val="28"/>
        </w:rPr>
        <w:t>年</w:t>
      </w:r>
      <w:r>
        <w:rPr>
          <w:color w:val="auto"/>
          <w:sz w:val="28"/>
          <w:szCs w:val="28"/>
        </w:rPr>
        <w:t>12</w:t>
      </w:r>
      <w:r>
        <w:rPr>
          <w:rFonts w:hint="eastAsia"/>
          <w:color w:val="auto"/>
          <w:sz w:val="28"/>
          <w:szCs w:val="28"/>
        </w:rPr>
        <w:t>月</w:t>
      </w:r>
      <w:r>
        <w:rPr>
          <w:color w:val="auto"/>
          <w:sz w:val="28"/>
          <w:szCs w:val="28"/>
        </w:rPr>
        <w:t>24</w:t>
      </w:r>
      <w:r>
        <w:rPr>
          <w:rFonts w:hint="eastAsia"/>
          <w:color w:val="auto"/>
          <w:sz w:val="28"/>
          <w:szCs w:val="28"/>
        </w:rPr>
        <w:t>日修订）</w:t>
      </w:r>
    </w:p>
    <w:p>
      <w:pPr>
        <w:pStyle w:val="48"/>
        <w:spacing w:line="360" w:lineRule="auto"/>
        <w:ind w:firstLine="560"/>
        <w:rPr>
          <w:color w:val="auto"/>
          <w:sz w:val="28"/>
          <w:szCs w:val="28"/>
        </w:rPr>
      </w:pPr>
      <w:r>
        <w:rPr>
          <w:rFonts w:hint="eastAsia"/>
          <w:color w:val="auto"/>
          <w:sz w:val="28"/>
          <w:szCs w:val="28"/>
        </w:rPr>
        <w:t>《建设项目环境保护设计规定》（2017年10月1日施行）</w:t>
      </w:r>
    </w:p>
    <w:p>
      <w:pPr>
        <w:pStyle w:val="48"/>
        <w:spacing w:line="360" w:lineRule="auto"/>
        <w:ind w:firstLine="560"/>
        <w:rPr>
          <w:color w:val="auto"/>
          <w:sz w:val="28"/>
          <w:szCs w:val="28"/>
        </w:rPr>
      </w:pPr>
      <w:r>
        <w:rPr>
          <w:rFonts w:hint="eastAsia"/>
          <w:color w:val="auto"/>
          <w:sz w:val="28"/>
          <w:szCs w:val="28"/>
        </w:rPr>
        <w:t>《建设项目环境保护管理条例》（2017年10月1日施行）</w:t>
      </w:r>
    </w:p>
    <w:p>
      <w:pPr>
        <w:pStyle w:val="48"/>
        <w:spacing w:line="360" w:lineRule="auto"/>
        <w:ind w:firstLine="560"/>
        <w:rPr>
          <w:color w:val="auto"/>
          <w:sz w:val="28"/>
          <w:szCs w:val="28"/>
        </w:rPr>
      </w:pPr>
      <w:r>
        <w:rPr>
          <w:rFonts w:hint="eastAsia"/>
          <w:color w:val="auto"/>
          <w:sz w:val="28"/>
          <w:szCs w:val="28"/>
        </w:rPr>
        <w:t>《建设工程安全生产管理条例》（2004年2月1日施行）</w:t>
      </w:r>
    </w:p>
    <w:p>
      <w:pPr>
        <w:pStyle w:val="48"/>
        <w:spacing w:line="360" w:lineRule="auto"/>
        <w:ind w:firstLine="560"/>
        <w:rPr>
          <w:color w:val="auto"/>
          <w:sz w:val="28"/>
          <w:szCs w:val="28"/>
        </w:rPr>
      </w:pPr>
      <w:r>
        <w:rPr>
          <w:rFonts w:hint="eastAsia"/>
          <w:color w:val="auto"/>
          <w:sz w:val="28"/>
          <w:szCs w:val="28"/>
        </w:rPr>
        <w:t>《建设工程消防设计审查验收管理暂行规定》（2020年6月1日施行）</w:t>
      </w:r>
    </w:p>
    <w:p>
      <w:pPr>
        <w:pStyle w:val="48"/>
        <w:spacing w:line="360" w:lineRule="auto"/>
        <w:ind w:firstLine="560"/>
        <w:rPr>
          <w:color w:val="auto"/>
          <w:sz w:val="28"/>
          <w:szCs w:val="28"/>
        </w:rPr>
      </w:pPr>
      <w:r>
        <w:rPr>
          <w:rFonts w:hint="eastAsia"/>
          <w:color w:val="auto"/>
          <w:sz w:val="28"/>
          <w:szCs w:val="28"/>
        </w:rPr>
        <w:t>《城市规划编制办法实施细则》（2006年4月1日施行）</w:t>
      </w:r>
    </w:p>
    <w:p>
      <w:pPr>
        <w:pStyle w:val="48"/>
        <w:spacing w:line="360" w:lineRule="auto"/>
        <w:ind w:firstLine="560"/>
        <w:rPr>
          <w:color w:val="auto"/>
          <w:sz w:val="28"/>
          <w:szCs w:val="28"/>
        </w:rPr>
      </w:pPr>
      <w:r>
        <w:rPr>
          <w:rFonts w:hint="eastAsia"/>
          <w:color w:val="auto"/>
          <w:sz w:val="28"/>
          <w:szCs w:val="28"/>
        </w:rPr>
        <w:t>《关于发展热电联产的规定》（2016）1268号；</w:t>
      </w:r>
    </w:p>
    <w:p>
      <w:pPr>
        <w:pStyle w:val="48"/>
        <w:spacing w:line="360" w:lineRule="auto"/>
        <w:ind w:firstLine="560"/>
        <w:rPr>
          <w:color w:val="auto"/>
          <w:sz w:val="28"/>
          <w:szCs w:val="28"/>
        </w:rPr>
      </w:pPr>
      <w:r>
        <w:rPr>
          <w:rFonts w:hint="eastAsia"/>
          <w:color w:val="auto"/>
          <w:sz w:val="28"/>
          <w:szCs w:val="28"/>
        </w:rPr>
        <w:t>《抚顺市</w:t>
      </w:r>
      <w:r>
        <w:rPr>
          <w:color w:val="auto"/>
          <w:sz w:val="28"/>
          <w:szCs w:val="28"/>
        </w:rPr>
        <w:t>城市供热条例</w:t>
      </w:r>
      <w:r>
        <w:rPr>
          <w:rFonts w:hint="eastAsia"/>
          <w:color w:val="auto"/>
          <w:sz w:val="28"/>
          <w:szCs w:val="28"/>
        </w:rPr>
        <w:t>》（2014年）</w:t>
      </w:r>
    </w:p>
    <w:p>
      <w:pPr>
        <w:pStyle w:val="48"/>
        <w:spacing w:line="360" w:lineRule="auto"/>
        <w:ind w:firstLine="560"/>
        <w:rPr>
          <w:color w:val="auto"/>
          <w:sz w:val="28"/>
          <w:szCs w:val="28"/>
        </w:rPr>
      </w:pPr>
      <w:r>
        <w:rPr>
          <w:color w:val="auto"/>
          <w:sz w:val="28"/>
          <w:szCs w:val="28"/>
        </w:rPr>
        <w:t>2.1</w:t>
      </w:r>
      <w:r>
        <w:rPr>
          <w:rFonts w:hint="eastAsia"/>
          <w:color w:val="auto"/>
          <w:sz w:val="28"/>
          <w:szCs w:val="28"/>
        </w:rPr>
        <w:t>.2规划所遵循的相关标准</w:t>
      </w:r>
    </w:p>
    <w:p>
      <w:pPr>
        <w:pStyle w:val="48"/>
        <w:spacing w:line="360" w:lineRule="auto"/>
        <w:ind w:firstLine="560"/>
        <w:rPr>
          <w:color w:val="auto"/>
          <w:sz w:val="28"/>
          <w:szCs w:val="28"/>
        </w:rPr>
      </w:pPr>
      <w:r>
        <w:rPr>
          <w:rFonts w:hint="eastAsia"/>
          <w:color w:val="auto"/>
          <w:sz w:val="28"/>
          <w:szCs w:val="28"/>
        </w:rPr>
        <w:t>《建筑设计防火规范》（2018版）GB50016-2014；</w:t>
      </w:r>
    </w:p>
    <w:p>
      <w:pPr>
        <w:pStyle w:val="48"/>
        <w:spacing w:line="360" w:lineRule="auto"/>
        <w:ind w:firstLine="560"/>
        <w:rPr>
          <w:color w:val="auto"/>
          <w:sz w:val="28"/>
          <w:szCs w:val="28"/>
        </w:rPr>
      </w:pPr>
      <w:r>
        <w:rPr>
          <w:rFonts w:hint="eastAsia"/>
          <w:color w:val="auto"/>
          <w:sz w:val="28"/>
          <w:szCs w:val="28"/>
        </w:rPr>
        <w:t>《供热工程</w:t>
      </w:r>
      <w:r>
        <w:rPr>
          <w:color w:val="auto"/>
          <w:sz w:val="28"/>
          <w:szCs w:val="28"/>
        </w:rPr>
        <w:t>项目规范</w:t>
      </w:r>
      <w:r>
        <w:rPr>
          <w:rFonts w:hint="eastAsia"/>
          <w:color w:val="auto"/>
          <w:sz w:val="28"/>
          <w:szCs w:val="28"/>
        </w:rPr>
        <w:t>》（</w:t>
      </w:r>
      <w:r>
        <w:rPr>
          <w:color w:val="auto"/>
          <w:sz w:val="28"/>
          <w:szCs w:val="28"/>
        </w:rPr>
        <w:t>GB55010-2021</w:t>
      </w:r>
      <w:r>
        <w:rPr>
          <w:rFonts w:hint="eastAsia"/>
          <w:color w:val="auto"/>
          <w:sz w:val="28"/>
          <w:szCs w:val="28"/>
        </w:rPr>
        <w:t>）；</w:t>
      </w:r>
    </w:p>
    <w:p>
      <w:pPr>
        <w:pStyle w:val="48"/>
        <w:spacing w:line="360" w:lineRule="auto"/>
        <w:ind w:firstLine="560"/>
        <w:rPr>
          <w:color w:val="auto"/>
          <w:sz w:val="28"/>
          <w:szCs w:val="28"/>
        </w:rPr>
      </w:pPr>
      <w:r>
        <w:rPr>
          <w:rFonts w:hint="eastAsia"/>
          <w:color w:val="auto"/>
          <w:sz w:val="28"/>
          <w:szCs w:val="28"/>
        </w:rPr>
        <w:t>《城市供热规划规范》（GB/T5</w:t>
      </w:r>
      <w:r>
        <w:rPr>
          <w:color w:val="auto"/>
          <w:sz w:val="28"/>
          <w:szCs w:val="28"/>
        </w:rPr>
        <w:t>1074</w:t>
      </w:r>
      <w:r>
        <w:rPr>
          <w:rFonts w:hint="eastAsia"/>
          <w:color w:val="auto"/>
          <w:sz w:val="28"/>
          <w:szCs w:val="28"/>
        </w:rPr>
        <w:t>-2015）；</w:t>
      </w:r>
    </w:p>
    <w:p>
      <w:pPr>
        <w:pStyle w:val="48"/>
        <w:spacing w:line="360" w:lineRule="auto"/>
        <w:ind w:firstLine="560"/>
        <w:rPr>
          <w:color w:val="auto"/>
          <w:sz w:val="28"/>
          <w:szCs w:val="28"/>
        </w:rPr>
      </w:pPr>
      <w:r>
        <w:rPr>
          <w:rFonts w:hint="eastAsia"/>
          <w:color w:val="auto"/>
          <w:sz w:val="28"/>
          <w:szCs w:val="28"/>
        </w:rPr>
        <w:t>《城市规划与建设强制性标准实施手册》；</w:t>
      </w:r>
    </w:p>
    <w:p>
      <w:pPr>
        <w:pStyle w:val="48"/>
        <w:spacing w:line="360" w:lineRule="auto"/>
        <w:ind w:firstLine="560"/>
        <w:rPr>
          <w:color w:val="auto"/>
          <w:sz w:val="28"/>
          <w:szCs w:val="28"/>
        </w:rPr>
      </w:pPr>
      <w:r>
        <w:rPr>
          <w:rFonts w:hint="eastAsia"/>
          <w:color w:val="auto"/>
          <w:sz w:val="28"/>
          <w:szCs w:val="28"/>
        </w:rPr>
        <w:t>《严寒和寒冷地区居住建筑节能设计标准》（JGJ26-2010）；</w:t>
      </w:r>
    </w:p>
    <w:p>
      <w:pPr>
        <w:pStyle w:val="48"/>
        <w:spacing w:line="360" w:lineRule="auto"/>
        <w:ind w:firstLine="560"/>
        <w:rPr>
          <w:color w:val="auto"/>
          <w:sz w:val="28"/>
          <w:szCs w:val="28"/>
        </w:rPr>
      </w:pPr>
      <w:r>
        <w:rPr>
          <w:rFonts w:hint="eastAsia"/>
          <w:color w:val="auto"/>
          <w:sz w:val="28"/>
          <w:szCs w:val="28"/>
        </w:rPr>
        <w:t>《民用建筑供暖通风与空气调节设计规范》（GB50736-2012）；</w:t>
      </w:r>
    </w:p>
    <w:p>
      <w:pPr>
        <w:pStyle w:val="48"/>
        <w:spacing w:line="360" w:lineRule="auto"/>
        <w:ind w:firstLine="560"/>
        <w:rPr>
          <w:color w:val="auto"/>
          <w:sz w:val="28"/>
          <w:szCs w:val="28"/>
        </w:rPr>
      </w:pPr>
      <w:r>
        <w:rPr>
          <w:rFonts w:hint="eastAsia"/>
          <w:color w:val="auto"/>
          <w:sz w:val="28"/>
          <w:szCs w:val="28"/>
        </w:rPr>
        <w:t>《工业</w:t>
      </w:r>
      <w:r>
        <w:rPr>
          <w:color w:val="auto"/>
          <w:sz w:val="28"/>
          <w:szCs w:val="28"/>
        </w:rPr>
        <w:t>建筑供暖</w:t>
      </w:r>
      <w:r>
        <w:rPr>
          <w:rFonts w:hint="eastAsia"/>
          <w:color w:val="auto"/>
          <w:sz w:val="28"/>
          <w:szCs w:val="28"/>
        </w:rPr>
        <w:t>通风</w:t>
      </w:r>
      <w:r>
        <w:rPr>
          <w:color w:val="auto"/>
          <w:sz w:val="28"/>
          <w:szCs w:val="28"/>
        </w:rPr>
        <w:t>与空气调节设计</w:t>
      </w:r>
      <w:r>
        <w:rPr>
          <w:rFonts w:hint="eastAsia"/>
          <w:color w:val="auto"/>
          <w:sz w:val="28"/>
          <w:szCs w:val="28"/>
        </w:rPr>
        <w:t>规范》（GB50019-2015）；</w:t>
      </w:r>
    </w:p>
    <w:p>
      <w:pPr>
        <w:pStyle w:val="48"/>
        <w:spacing w:line="360" w:lineRule="auto"/>
        <w:ind w:firstLine="560"/>
        <w:rPr>
          <w:color w:val="auto"/>
          <w:sz w:val="28"/>
          <w:szCs w:val="28"/>
        </w:rPr>
      </w:pPr>
      <w:r>
        <w:rPr>
          <w:rFonts w:hint="eastAsia"/>
          <w:color w:val="auto"/>
          <w:sz w:val="28"/>
          <w:szCs w:val="28"/>
        </w:rPr>
        <w:t>《锅炉房设计标准》（GB50041-20</w:t>
      </w:r>
      <w:r>
        <w:rPr>
          <w:color w:val="auto"/>
          <w:sz w:val="28"/>
          <w:szCs w:val="28"/>
        </w:rPr>
        <w:t>20</w:t>
      </w:r>
      <w:r>
        <w:rPr>
          <w:rFonts w:hint="eastAsia"/>
          <w:color w:val="auto"/>
          <w:sz w:val="28"/>
          <w:szCs w:val="28"/>
        </w:rPr>
        <w:t>）；</w:t>
      </w:r>
    </w:p>
    <w:p>
      <w:pPr>
        <w:pStyle w:val="48"/>
        <w:spacing w:line="360" w:lineRule="auto"/>
        <w:ind w:firstLine="560"/>
        <w:rPr>
          <w:color w:val="auto"/>
          <w:sz w:val="28"/>
          <w:szCs w:val="28"/>
        </w:rPr>
      </w:pPr>
      <w:r>
        <w:rPr>
          <w:rFonts w:hint="eastAsia"/>
          <w:color w:val="auto"/>
          <w:sz w:val="28"/>
          <w:szCs w:val="28"/>
        </w:rPr>
        <w:t>《城镇供热管网设计标准》（CJJ34-20</w:t>
      </w:r>
      <w:r>
        <w:rPr>
          <w:color w:val="auto"/>
          <w:sz w:val="28"/>
          <w:szCs w:val="28"/>
        </w:rPr>
        <w:t>22</w:t>
      </w:r>
      <w:r>
        <w:rPr>
          <w:rFonts w:hint="eastAsia"/>
          <w:color w:val="auto"/>
          <w:sz w:val="28"/>
          <w:szCs w:val="28"/>
        </w:rPr>
        <w:t>）；</w:t>
      </w:r>
    </w:p>
    <w:p>
      <w:pPr>
        <w:pStyle w:val="48"/>
        <w:spacing w:line="360" w:lineRule="auto"/>
        <w:ind w:firstLine="560"/>
        <w:rPr>
          <w:color w:val="auto"/>
          <w:sz w:val="28"/>
          <w:szCs w:val="28"/>
        </w:rPr>
      </w:pPr>
      <w:r>
        <w:rPr>
          <w:rFonts w:hint="eastAsia"/>
          <w:color w:val="auto"/>
          <w:sz w:val="28"/>
          <w:szCs w:val="28"/>
        </w:rPr>
        <w:t>《城镇</w:t>
      </w:r>
      <w:r>
        <w:rPr>
          <w:color w:val="auto"/>
          <w:sz w:val="28"/>
          <w:szCs w:val="28"/>
        </w:rPr>
        <w:t>供热直埋热水</w:t>
      </w:r>
      <w:r>
        <w:rPr>
          <w:rFonts w:hint="eastAsia"/>
          <w:color w:val="auto"/>
          <w:sz w:val="28"/>
          <w:szCs w:val="28"/>
        </w:rPr>
        <w:t>管道</w:t>
      </w:r>
      <w:r>
        <w:rPr>
          <w:color w:val="auto"/>
          <w:sz w:val="28"/>
          <w:szCs w:val="28"/>
        </w:rPr>
        <w:t>技术规程</w:t>
      </w:r>
      <w:r>
        <w:rPr>
          <w:rFonts w:hint="eastAsia"/>
          <w:color w:val="auto"/>
          <w:sz w:val="28"/>
          <w:szCs w:val="28"/>
        </w:rPr>
        <w:t>》CJJ/T</w:t>
      </w:r>
      <w:r>
        <w:rPr>
          <w:color w:val="auto"/>
          <w:sz w:val="28"/>
          <w:szCs w:val="28"/>
        </w:rPr>
        <w:t>81-2013</w:t>
      </w:r>
      <w:r>
        <w:rPr>
          <w:rFonts w:hint="eastAsia"/>
          <w:color w:val="auto"/>
          <w:sz w:val="28"/>
          <w:szCs w:val="28"/>
        </w:rPr>
        <w:t>；</w:t>
      </w:r>
    </w:p>
    <w:p>
      <w:pPr>
        <w:pStyle w:val="48"/>
        <w:spacing w:line="360" w:lineRule="auto"/>
        <w:ind w:firstLine="560"/>
        <w:rPr>
          <w:color w:val="auto"/>
          <w:sz w:val="28"/>
          <w:szCs w:val="28"/>
        </w:rPr>
      </w:pPr>
      <w:r>
        <w:rPr>
          <w:rFonts w:hint="eastAsia"/>
          <w:color w:val="auto"/>
          <w:sz w:val="28"/>
          <w:szCs w:val="28"/>
        </w:rPr>
        <w:t>《城镇</w:t>
      </w:r>
      <w:r>
        <w:rPr>
          <w:color w:val="auto"/>
          <w:sz w:val="28"/>
          <w:szCs w:val="28"/>
        </w:rPr>
        <w:t>供热管网</w:t>
      </w:r>
      <w:r>
        <w:rPr>
          <w:rFonts w:hint="eastAsia"/>
          <w:color w:val="auto"/>
          <w:sz w:val="28"/>
          <w:szCs w:val="28"/>
        </w:rPr>
        <w:t>工程</w:t>
      </w:r>
      <w:r>
        <w:rPr>
          <w:color w:val="auto"/>
          <w:sz w:val="28"/>
          <w:szCs w:val="28"/>
        </w:rPr>
        <w:t>施工及验收规范</w:t>
      </w:r>
      <w:r>
        <w:rPr>
          <w:rFonts w:hint="eastAsia"/>
          <w:color w:val="auto"/>
          <w:sz w:val="28"/>
          <w:szCs w:val="28"/>
        </w:rPr>
        <w:t>》CJJ</w:t>
      </w:r>
      <w:r>
        <w:rPr>
          <w:color w:val="auto"/>
          <w:sz w:val="28"/>
          <w:szCs w:val="28"/>
        </w:rPr>
        <w:t>28-2014</w:t>
      </w:r>
      <w:r>
        <w:rPr>
          <w:rFonts w:hint="eastAsia"/>
          <w:color w:val="auto"/>
          <w:sz w:val="28"/>
          <w:szCs w:val="28"/>
        </w:rPr>
        <w:t>；</w:t>
      </w:r>
    </w:p>
    <w:p>
      <w:pPr>
        <w:pStyle w:val="48"/>
        <w:spacing w:line="360" w:lineRule="auto"/>
        <w:ind w:firstLine="560"/>
        <w:rPr>
          <w:color w:val="auto"/>
          <w:sz w:val="28"/>
          <w:szCs w:val="28"/>
        </w:rPr>
      </w:pPr>
      <w:r>
        <w:rPr>
          <w:rFonts w:hint="eastAsia"/>
          <w:color w:val="auto"/>
          <w:sz w:val="28"/>
          <w:szCs w:val="28"/>
        </w:rPr>
        <w:t>《城镇供热服务》（GB/T33833-2017）</w:t>
      </w:r>
    </w:p>
    <w:p>
      <w:pPr>
        <w:pStyle w:val="48"/>
        <w:spacing w:line="360" w:lineRule="auto"/>
        <w:ind w:firstLine="560"/>
        <w:rPr>
          <w:color w:val="auto"/>
          <w:sz w:val="28"/>
          <w:szCs w:val="28"/>
        </w:rPr>
      </w:pPr>
      <w:r>
        <w:rPr>
          <w:rFonts w:hint="eastAsia"/>
          <w:color w:val="auto"/>
          <w:sz w:val="28"/>
          <w:szCs w:val="28"/>
        </w:rPr>
        <w:t>《城市市政基础设施规划手册》；</w:t>
      </w:r>
    </w:p>
    <w:p>
      <w:pPr>
        <w:pStyle w:val="48"/>
        <w:spacing w:line="360" w:lineRule="auto"/>
        <w:ind w:firstLine="560"/>
        <w:rPr>
          <w:color w:val="auto"/>
          <w:sz w:val="28"/>
          <w:szCs w:val="28"/>
        </w:rPr>
      </w:pPr>
      <w:r>
        <w:rPr>
          <w:rFonts w:hint="eastAsia"/>
          <w:color w:val="auto"/>
          <w:sz w:val="28"/>
          <w:szCs w:val="28"/>
        </w:rPr>
        <w:t>《锅炉</w:t>
      </w:r>
      <w:r>
        <w:rPr>
          <w:color w:val="auto"/>
          <w:sz w:val="28"/>
          <w:szCs w:val="28"/>
        </w:rPr>
        <w:t>大气污染物排放标准</w:t>
      </w:r>
      <w:r>
        <w:rPr>
          <w:rFonts w:hint="eastAsia"/>
          <w:color w:val="auto"/>
          <w:sz w:val="28"/>
          <w:szCs w:val="28"/>
        </w:rPr>
        <w:t>》（GB</w:t>
      </w:r>
      <w:r>
        <w:rPr>
          <w:color w:val="auto"/>
          <w:sz w:val="28"/>
          <w:szCs w:val="28"/>
        </w:rPr>
        <w:t>13271-2014</w:t>
      </w:r>
      <w:r>
        <w:rPr>
          <w:rFonts w:hint="eastAsia"/>
          <w:color w:val="auto"/>
          <w:sz w:val="28"/>
          <w:szCs w:val="28"/>
        </w:rPr>
        <w:t>）；</w:t>
      </w:r>
    </w:p>
    <w:p>
      <w:pPr>
        <w:pStyle w:val="48"/>
        <w:spacing w:line="360" w:lineRule="auto"/>
        <w:ind w:firstLine="560"/>
        <w:rPr>
          <w:color w:val="auto"/>
          <w:sz w:val="28"/>
          <w:szCs w:val="28"/>
        </w:rPr>
      </w:pPr>
      <w:r>
        <w:rPr>
          <w:rFonts w:hint="eastAsia"/>
          <w:color w:val="auto"/>
          <w:sz w:val="28"/>
          <w:szCs w:val="28"/>
        </w:rPr>
        <w:t>《环境空气</w:t>
      </w:r>
      <w:r>
        <w:rPr>
          <w:color w:val="auto"/>
          <w:sz w:val="28"/>
          <w:szCs w:val="28"/>
        </w:rPr>
        <w:t>质量标准</w:t>
      </w:r>
      <w:r>
        <w:rPr>
          <w:rFonts w:hint="eastAsia"/>
          <w:color w:val="auto"/>
          <w:sz w:val="28"/>
          <w:szCs w:val="28"/>
        </w:rPr>
        <w:t>》GB3095-2012；</w:t>
      </w:r>
    </w:p>
    <w:p>
      <w:pPr>
        <w:pStyle w:val="48"/>
        <w:spacing w:line="360" w:lineRule="auto"/>
        <w:ind w:firstLine="560"/>
        <w:rPr>
          <w:color w:val="auto"/>
          <w:sz w:val="28"/>
          <w:szCs w:val="28"/>
        </w:rPr>
      </w:pPr>
      <w:r>
        <w:rPr>
          <w:rFonts w:hint="eastAsia"/>
          <w:color w:val="auto"/>
          <w:sz w:val="28"/>
          <w:szCs w:val="28"/>
        </w:rPr>
        <w:t>《城镇供热系统节能技术规范》（CJJ/T185-2012）</w:t>
      </w:r>
    </w:p>
    <w:p>
      <w:pPr>
        <w:pStyle w:val="48"/>
        <w:spacing w:line="360" w:lineRule="auto"/>
        <w:ind w:firstLine="560"/>
        <w:rPr>
          <w:color w:val="auto"/>
          <w:sz w:val="28"/>
          <w:szCs w:val="28"/>
        </w:rPr>
      </w:pPr>
      <w:r>
        <w:rPr>
          <w:rFonts w:hint="eastAsia"/>
          <w:color w:val="auto"/>
          <w:sz w:val="28"/>
          <w:szCs w:val="28"/>
        </w:rPr>
        <w:t>《城镇供热系统安全运行技术规程》（CJJ/T88-2000）</w:t>
      </w:r>
    </w:p>
    <w:p>
      <w:pPr>
        <w:pStyle w:val="48"/>
        <w:spacing w:line="360" w:lineRule="auto"/>
        <w:ind w:firstLine="560"/>
        <w:rPr>
          <w:color w:val="auto"/>
          <w:sz w:val="28"/>
          <w:szCs w:val="28"/>
        </w:rPr>
      </w:pPr>
      <w:r>
        <w:rPr>
          <w:rFonts w:hint="eastAsia"/>
          <w:color w:val="auto"/>
          <w:sz w:val="28"/>
          <w:szCs w:val="28"/>
        </w:rPr>
        <w:t>《城镇供热检测与调控系统技术规范》（CJJ/T</w:t>
      </w:r>
      <w:r>
        <w:rPr>
          <w:color w:val="auto"/>
          <w:sz w:val="28"/>
          <w:szCs w:val="28"/>
        </w:rPr>
        <w:t>241</w:t>
      </w:r>
      <w:r>
        <w:rPr>
          <w:rFonts w:hint="eastAsia"/>
          <w:color w:val="auto"/>
          <w:sz w:val="28"/>
          <w:szCs w:val="28"/>
        </w:rPr>
        <w:t>-20</w:t>
      </w:r>
      <w:r>
        <w:rPr>
          <w:color w:val="auto"/>
          <w:sz w:val="28"/>
          <w:szCs w:val="28"/>
        </w:rPr>
        <w:t>16</w:t>
      </w:r>
      <w:r>
        <w:rPr>
          <w:rFonts w:hint="eastAsia"/>
          <w:color w:val="auto"/>
          <w:sz w:val="28"/>
          <w:szCs w:val="28"/>
        </w:rPr>
        <w:t>）</w:t>
      </w:r>
    </w:p>
    <w:p>
      <w:pPr>
        <w:pStyle w:val="48"/>
        <w:spacing w:line="360" w:lineRule="auto"/>
        <w:ind w:firstLine="560"/>
        <w:rPr>
          <w:color w:val="auto"/>
          <w:sz w:val="28"/>
          <w:szCs w:val="28"/>
        </w:rPr>
      </w:pPr>
      <w:r>
        <w:rPr>
          <w:rFonts w:hint="eastAsia"/>
          <w:color w:val="auto"/>
          <w:sz w:val="28"/>
          <w:szCs w:val="28"/>
        </w:rPr>
        <w:t>《高密度聚乙烯外护管聚氨酯泡沫塑料预制直埋保温管及管件》(GB/T 29047-2012)</w:t>
      </w:r>
    </w:p>
    <w:p>
      <w:pPr>
        <w:pStyle w:val="48"/>
        <w:spacing w:line="360" w:lineRule="auto"/>
        <w:ind w:firstLine="560"/>
        <w:rPr>
          <w:color w:val="auto"/>
          <w:sz w:val="28"/>
          <w:szCs w:val="28"/>
        </w:rPr>
      </w:pPr>
      <w:r>
        <w:rPr>
          <w:rFonts w:hint="eastAsia"/>
          <w:color w:val="auto"/>
          <w:sz w:val="28"/>
          <w:szCs w:val="28"/>
        </w:rPr>
        <w:t>《建筑节能</w:t>
      </w:r>
      <w:r>
        <w:rPr>
          <w:color w:val="auto"/>
          <w:sz w:val="28"/>
          <w:szCs w:val="28"/>
        </w:rPr>
        <w:t>与可再生能源利用通用规范</w:t>
      </w:r>
      <w:r>
        <w:rPr>
          <w:rFonts w:hint="eastAsia"/>
          <w:color w:val="auto"/>
          <w:sz w:val="28"/>
          <w:szCs w:val="28"/>
        </w:rPr>
        <w:t>》（GB55015-2021）</w:t>
      </w:r>
    </w:p>
    <w:p>
      <w:pPr>
        <w:pStyle w:val="48"/>
        <w:spacing w:line="360" w:lineRule="auto"/>
        <w:ind w:firstLine="560"/>
        <w:rPr>
          <w:color w:val="auto"/>
          <w:sz w:val="28"/>
          <w:szCs w:val="28"/>
        </w:rPr>
      </w:pPr>
      <w:r>
        <w:rPr>
          <w:rFonts w:hint="eastAsia"/>
          <w:color w:val="auto"/>
          <w:sz w:val="28"/>
          <w:szCs w:val="28"/>
        </w:rPr>
        <w:t>《城镇供热直埋管道接头</w:t>
      </w:r>
      <w:r>
        <w:rPr>
          <w:color w:val="auto"/>
          <w:sz w:val="28"/>
          <w:szCs w:val="28"/>
        </w:rPr>
        <w:t>保温技术条件</w:t>
      </w:r>
      <w:r>
        <w:rPr>
          <w:rFonts w:hint="eastAsia"/>
          <w:color w:val="auto"/>
          <w:sz w:val="28"/>
          <w:szCs w:val="28"/>
        </w:rPr>
        <w:t>》（GB/T38585-2020）</w:t>
      </w:r>
    </w:p>
    <w:p>
      <w:pPr>
        <w:pStyle w:val="48"/>
        <w:spacing w:line="360" w:lineRule="auto"/>
        <w:ind w:firstLine="560"/>
        <w:rPr>
          <w:color w:val="auto"/>
          <w:sz w:val="28"/>
          <w:szCs w:val="28"/>
        </w:rPr>
      </w:pPr>
      <w:r>
        <w:rPr>
          <w:rFonts w:hint="eastAsia"/>
          <w:color w:val="auto"/>
          <w:sz w:val="28"/>
          <w:szCs w:val="28"/>
        </w:rPr>
        <w:t>《保温管道</w:t>
      </w:r>
      <w:r>
        <w:rPr>
          <w:color w:val="auto"/>
          <w:sz w:val="28"/>
          <w:szCs w:val="28"/>
        </w:rPr>
        <w:t>用电热熔套（</w:t>
      </w:r>
      <w:r>
        <w:rPr>
          <w:rFonts w:hint="eastAsia"/>
          <w:color w:val="auto"/>
          <w:sz w:val="28"/>
          <w:szCs w:val="28"/>
        </w:rPr>
        <w:t>带</w:t>
      </w:r>
      <w:r>
        <w:rPr>
          <w:color w:val="auto"/>
          <w:sz w:val="28"/>
          <w:szCs w:val="28"/>
        </w:rPr>
        <w:t>）</w:t>
      </w:r>
      <w:r>
        <w:rPr>
          <w:rFonts w:hint="eastAsia"/>
          <w:color w:val="auto"/>
          <w:sz w:val="28"/>
          <w:szCs w:val="28"/>
        </w:rPr>
        <w:t>》（GB/T</w:t>
      </w:r>
      <w:r>
        <w:rPr>
          <w:color w:val="auto"/>
          <w:sz w:val="28"/>
          <w:szCs w:val="28"/>
        </w:rPr>
        <w:t>40068</w:t>
      </w:r>
      <w:r>
        <w:rPr>
          <w:rFonts w:hint="eastAsia"/>
          <w:color w:val="auto"/>
          <w:sz w:val="28"/>
          <w:szCs w:val="28"/>
        </w:rPr>
        <w:t>-2021）</w:t>
      </w:r>
    </w:p>
    <w:p>
      <w:pPr>
        <w:pStyle w:val="48"/>
        <w:spacing w:line="360" w:lineRule="auto"/>
        <w:ind w:firstLine="560"/>
        <w:rPr>
          <w:color w:val="auto"/>
          <w:sz w:val="28"/>
          <w:szCs w:val="28"/>
        </w:rPr>
      </w:pPr>
      <w:r>
        <w:rPr>
          <w:rFonts w:hint="eastAsia"/>
          <w:color w:val="auto"/>
          <w:sz w:val="28"/>
          <w:szCs w:val="28"/>
        </w:rPr>
        <w:t>《热水</w:t>
      </w:r>
      <w:r>
        <w:rPr>
          <w:color w:val="auto"/>
          <w:sz w:val="28"/>
          <w:szCs w:val="28"/>
        </w:rPr>
        <w:t>热力网热力站设备技术条件</w:t>
      </w:r>
      <w:r>
        <w:rPr>
          <w:rFonts w:hint="eastAsia"/>
          <w:color w:val="auto"/>
          <w:sz w:val="28"/>
          <w:szCs w:val="28"/>
        </w:rPr>
        <w:t>》（GB/T385</w:t>
      </w:r>
      <w:r>
        <w:rPr>
          <w:color w:val="auto"/>
          <w:sz w:val="28"/>
          <w:szCs w:val="28"/>
        </w:rPr>
        <w:t>36</w:t>
      </w:r>
      <w:r>
        <w:rPr>
          <w:rFonts w:hint="eastAsia"/>
          <w:color w:val="auto"/>
          <w:sz w:val="28"/>
          <w:szCs w:val="28"/>
        </w:rPr>
        <w:t>-2020）</w:t>
      </w:r>
    </w:p>
    <w:p>
      <w:pPr>
        <w:pStyle w:val="48"/>
        <w:spacing w:line="360" w:lineRule="auto"/>
        <w:ind w:firstLine="700" w:firstLineChars="250"/>
        <w:rPr>
          <w:color w:val="auto"/>
          <w:sz w:val="28"/>
          <w:szCs w:val="28"/>
        </w:rPr>
      </w:pPr>
      <w:r>
        <w:rPr>
          <w:rFonts w:hint="eastAsia"/>
          <w:color w:val="auto"/>
          <w:sz w:val="28"/>
          <w:szCs w:val="28"/>
        </w:rPr>
        <w:t>城市供热现状等基础资料。</w:t>
      </w:r>
    </w:p>
    <w:p>
      <w:pPr>
        <w:pStyle w:val="48"/>
        <w:spacing w:line="360" w:lineRule="auto"/>
        <w:ind w:firstLine="560"/>
        <w:rPr>
          <w:color w:val="auto"/>
          <w:sz w:val="28"/>
          <w:szCs w:val="28"/>
        </w:rPr>
      </w:pPr>
      <w:r>
        <w:rPr>
          <w:color w:val="auto"/>
          <w:sz w:val="28"/>
          <w:szCs w:val="28"/>
        </w:rPr>
        <w:t>2.1</w:t>
      </w:r>
      <w:r>
        <w:rPr>
          <w:rFonts w:hint="eastAsia"/>
          <w:color w:val="auto"/>
          <w:sz w:val="28"/>
          <w:szCs w:val="28"/>
        </w:rPr>
        <w:t>.3相关规划</w:t>
      </w:r>
    </w:p>
    <w:p>
      <w:pPr>
        <w:pStyle w:val="48"/>
        <w:spacing w:line="360" w:lineRule="auto"/>
        <w:ind w:firstLine="560"/>
        <w:rPr>
          <w:color w:val="auto"/>
          <w:sz w:val="28"/>
          <w:szCs w:val="28"/>
        </w:rPr>
      </w:pPr>
      <w:r>
        <w:rPr>
          <w:rFonts w:hint="eastAsia"/>
          <w:color w:val="auto"/>
          <w:sz w:val="28"/>
          <w:szCs w:val="28"/>
        </w:rPr>
        <w:t>《抚顺市国土空间总体规划》（2021-2035年）（过程版）</w:t>
      </w:r>
    </w:p>
    <w:p>
      <w:pPr>
        <w:pStyle w:val="48"/>
        <w:spacing w:line="360" w:lineRule="auto"/>
        <w:ind w:firstLine="560"/>
        <w:rPr>
          <w:color w:val="auto"/>
          <w:sz w:val="28"/>
          <w:szCs w:val="28"/>
        </w:rPr>
      </w:pPr>
      <w:r>
        <w:rPr>
          <w:rFonts w:hint="eastAsia"/>
          <w:color w:val="auto"/>
          <w:sz w:val="28"/>
          <w:szCs w:val="28"/>
        </w:rPr>
        <w:t>《抚顺市人口发展规划》（2016-2030年）抚政发〔2019〕1号</w:t>
      </w:r>
    </w:p>
    <w:p>
      <w:pPr>
        <w:pStyle w:val="48"/>
        <w:spacing w:line="360" w:lineRule="auto"/>
        <w:ind w:firstLine="560"/>
        <w:rPr>
          <w:color w:val="auto"/>
          <w:sz w:val="28"/>
          <w:szCs w:val="28"/>
        </w:rPr>
      </w:pPr>
      <w:r>
        <w:rPr>
          <w:rFonts w:hint="eastAsia"/>
          <w:color w:val="auto"/>
          <w:sz w:val="28"/>
          <w:szCs w:val="28"/>
        </w:rPr>
        <w:t>《辽宁省“十四五”能源发展规划》辽宁省人民政府2022年</w:t>
      </w:r>
    </w:p>
    <w:p>
      <w:pPr>
        <w:pStyle w:val="48"/>
        <w:spacing w:line="360" w:lineRule="auto"/>
        <w:ind w:firstLine="560"/>
        <w:rPr>
          <w:color w:val="auto"/>
          <w:sz w:val="28"/>
          <w:szCs w:val="28"/>
        </w:rPr>
      </w:pPr>
      <w:r>
        <w:rPr>
          <w:rFonts w:hint="eastAsia"/>
          <w:color w:val="auto"/>
          <w:sz w:val="28"/>
          <w:szCs w:val="28"/>
        </w:rPr>
        <w:t>《抚顺市国民经济和社会发展第十四个五年规划和2035年远景目标纲要》抚政发〔2021〕6号</w:t>
      </w:r>
    </w:p>
    <w:p>
      <w:pPr>
        <w:pStyle w:val="48"/>
        <w:spacing w:line="360" w:lineRule="auto"/>
        <w:ind w:firstLine="560"/>
        <w:rPr>
          <w:color w:val="auto"/>
          <w:sz w:val="28"/>
          <w:szCs w:val="28"/>
        </w:rPr>
      </w:pPr>
      <w:r>
        <w:rPr>
          <w:rFonts w:hint="eastAsia"/>
          <w:color w:val="auto"/>
          <w:sz w:val="28"/>
          <w:szCs w:val="28"/>
        </w:rPr>
        <w:t>《抚顺市住房和城乡建设事业发展“十四五”规划》</w:t>
      </w:r>
    </w:p>
    <w:p>
      <w:pPr>
        <w:pStyle w:val="48"/>
        <w:spacing w:line="360" w:lineRule="auto"/>
        <w:ind w:firstLine="560"/>
        <w:rPr>
          <w:color w:val="auto"/>
          <w:sz w:val="28"/>
          <w:szCs w:val="28"/>
        </w:rPr>
      </w:pPr>
      <w:r>
        <w:rPr>
          <w:rFonts w:hint="eastAsia"/>
          <w:color w:val="auto"/>
          <w:sz w:val="28"/>
          <w:szCs w:val="28"/>
        </w:rPr>
        <w:t>《抚顺市城市热电发展“十四五”规划》</w:t>
      </w:r>
    </w:p>
    <w:p>
      <w:pPr>
        <w:pStyle w:val="48"/>
        <w:spacing w:line="360" w:lineRule="auto"/>
        <w:ind w:firstLine="560"/>
        <w:rPr>
          <w:color w:val="auto"/>
          <w:sz w:val="28"/>
          <w:szCs w:val="28"/>
        </w:rPr>
      </w:pPr>
      <w:r>
        <w:rPr>
          <w:rFonts w:hint="eastAsia"/>
          <w:color w:val="auto"/>
          <w:sz w:val="28"/>
          <w:szCs w:val="28"/>
        </w:rPr>
        <w:t>《抚顺市中心城区热电发展规划》（2021-2035年）</w:t>
      </w:r>
    </w:p>
    <w:p>
      <w:pPr>
        <w:pStyle w:val="48"/>
        <w:spacing w:line="360" w:lineRule="auto"/>
        <w:ind w:firstLine="560"/>
        <w:rPr>
          <w:color w:val="auto"/>
          <w:sz w:val="28"/>
          <w:szCs w:val="28"/>
        </w:rPr>
      </w:pPr>
      <w:r>
        <w:rPr>
          <w:rFonts w:hint="eastAsia"/>
          <w:color w:val="auto"/>
          <w:sz w:val="28"/>
          <w:szCs w:val="28"/>
        </w:rPr>
        <w:t>《抚顺市清洁取暖建设规划（2022-2024年）》</w:t>
      </w:r>
    </w:p>
    <w:p>
      <w:pPr>
        <w:pStyle w:val="48"/>
        <w:spacing w:line="360" w:lineRule="auto"/>
        <w:ind w:firstLine="560"/>
        <w:rPr>
          <w:color w:val="auto"/>
          <w:sz w:val="28"/>
          <w:szCs w:val="28"/>
        </w:rPr>
      </w:pPr>
      <w:r>
        <w:rPr>
          <w:rFonts w:hint="eastAsia"/>
          <w:color w:val="auto"/>
          <w:sz w:val="28"/>
          <w:szCs w:val="28"/>
        </w:rPr>
        <w:t>《抚顺高新区化工园区总体规划（2018-2030年）》</w:t>
      </w:r>
    </w:p>
    <w:p>
      <w:pPr>
        <w:pStyle w:val="48"/>
        <w:spacing w:line="360" w:lineRule="auto"/>
        <w:ind w:firstLine="560"/>
        <w:rPr>
          <w:color w:val="auto"/>
          <w:sz w:val="28"/>
          <w:szCs w:val="28"/>
        </w:rPr>
      </w:pPr>
      <w:r>
        <w:rPr>
          <w:rFonts w:hint="eastAsia"/>
          <w:color w:val="auto"/>
          <w:sz w:val="28"/>
          <w:szCs w:val="28"/>
        </w:rPr>
        <w:t>《抚顺市高端精细化工产业“十四五”发展规划》</w:t>
      </w:r>
    </w:p>
    <w:p>
      <w:pPr>
        <w:pStyle w:val="19"/>
        <w:spacing w:line="360" w:lineRule="auto"/>
        <w:ind w:firstLine="562" w:firstLineChars="200"/>
        <w:outlineLvl w:val="1"/>
        <w:rPr>
          <w:rFonts w:ascii="Times New Roman" w:hAnsi="Times New Roman" w:cs="Times New Roman"/>
          <w:b/>
          <w:color w:val="auto"/>
          <w:sz w:val="28"/>
          <w:szCs w:val="28"/>
        </w:rPr>
      </w:pPr>
      <w:bookmarkStart w:id="7" w:name="_Toc31390"/>
      <w:r>
        <w:rPr>
          <w:rFonts w:ascii="Times New Roman" w:hAnsi="Times New Roman" w:cs="Times New Roman"/>
          <w:b/>
          <w:color w:val="auto"/>
          <w:sz w:val="28"/>
          <w:szCs w:val="28"/>
        </w:rPr>
        <w:t>2.2</w:t>
      </w:r>
      <w:r>
        <w:rPr>
          <w:rFonts w:hint="eastAsia" w:ascii="Times New Roman" w:hAnsi="Times New Roman" w:cs="Times New Roman"/>
          <w:b/>
          <w:color w:val="auto"/>
          <w:sz w:val="28"/>
          <w:szCs w:val="28"/>
        </w:rPr>
        <w:t>规划范围</w:t>
      </w:r>
      <w:bookmarkEnd w:id="7"/>
    </w:p>
    <w:p>
      <w:pPr>
        <w:spacing w:line="360" w:lineRule="auto"/>
        <w:ind w:firstLine="560" w:firstLineChars="200"/>
        <w:rPr>
          <w:rFonts w:hint="eastAsia"/>
          <w:color w:val="auto"/>
          <w:sz w:val="28"/>
          <w:szCs w:val="28"/>
        </w:rPr>
      </w:pPr>
      <w:r>
        <w:rPr>
          <w:rFonts w:hint="eastAsia"/>
          <w:color w:val="auto"/>
          <w:sz w:val="28"/>
          <w:szCs w:val="28"/>
        </w:rPr>
        <w:t>按照建设部有关文件和规划编制文件深度要求，本次《抚顺市城市供热专项规划（2021-2035年）》的规划范围主要对抚顺市中心城区进行详细规划论述，即东洲区、顺城区、新抚区、望花区，不包含沈抚改革创新示范区（原抚顺经济开发区）。中心城区外的所有城镇范围，均需以本规划中的指导思想、规划原则等篇章为指导。</w:t>
      </w:r>
    </w:p>
    <w:p>
      <w:pPr>
        <w:spacing w:line="360" w:lineRule="auto"/>
        <w:ind w:firstLine="560" w:firstLineChars="200"/>
        <w:rPr>
          <w:color w:val="auto"/>
          <w:sz w:val="28"/>
          <w:szCs w:val="28"/>
        </w:rPr>
      </w:pPr>
      <w:r>
        <w:rPr>
          <w:rFonts w:hint="eastAsia"/>
          <w:color w:val="auto"/>
          <w:sz w:val="28"/>
          <w:szCs w:val="28"/>
        </w:rPr>
        <w:t>抚顺市中心</w:t>
      </w:r>
      <w:r>
        <w:rPr>
          <w:color w:val="auto"/>
          <w:sz w:val="28"/>
          <w:szCs w:val="28"/>
        </w:rPr>
        <w:t>城</w:t>
      </w:r>
      <w:r>
        <w:rPr>
          <w:rFonts w:hint="eastAsia"/>
          <w:color w:val="auto"/>
          <w:sz w:val="28"/>
          <w:szCs w:val="28"/>
        </w:rPr>
        <w:t>区具体地域范围是：东起辽宁发电厂东侧，西至沈抚改革创新示范区与抚顺市区交界，南至南外环公路，北至高山路。</w:t>
      </w:r>
    </w:p>
    <w:p>
      <w:pPr>
        <w:pStyle w:val="19"/>
        <w:spacing w:line="360" w:lineRule="auto"/>
        <w:ind w:firstLine="562" w:firstLineChars="200"/>
        <w:outlineLvl w:val="1"/>
        <w:rPr>
          <w:rFonts w:ascii="Times New Roman" w:hAnsi="Times New Roman" w:cs="Times New Roman"/>
          <w:b/>
          <w:color w:val="auto"/>
          <w:sz w:val="28"/>
          <w:szCs w:val="28"/>
        </w:rPr>
      </w:pPr>
      <w:bookmarkStart w:id="8" w:name="_Toc3964"/>
      <w:r>
        <w:rPr>
          <w:rFonts w:ascii="Times New Roman" w:hAnsi="Times New Roman" w:cs="Times New Roman"/>
          <w:b/>
          <w:color w:val="auto"/>
          <w:sz w:val="28"/>
          <w:szCs w:val="28"/>
        </w:rPr>
        <w:t>2.3</w:t>
      </w:r>
      <w:r>
        <w:rPr>
          <w:rFonts w:hint="eastAsia" w:ascii="Times New Roman" w:hAnsi="Times New Roman" w:cs="Times New Roman"/>
          <w:b/>
          <w:color w:val="auto"/>
          <w:sz w:val="28"/>
          <w:szCs w:val="28"/>
        </w:rPr>
        <w:t>规划期限</w:t>
      </w:r>
      <w:bookmarkEnd w:id="8"/>
    </w:p>
    <w:p>
      <w:pPr>
        <w:spacing w:line="360" w:lineRule="auto"/>
        <w:ind w:firstLine="560" w:firstLineChars="200"/>
        <w:rPr>
          <w:color w:val="auto"/>
          <w:sz w:val="28"/>
          <w:szCs w:val="28"/>
        </w:rPr>
      </w:pPr>
      <w:r>
        <w:rPr>
          <w:rFonts w:hint="eastAsia"/>
          <w:color w:val="auto"/>
          <w:sz w:val="28"/>
          <w:szCs w:val="28"/>
        </w:rPr>
        <w:t>规划</w:t>
      </w:r>
      <w:r>
        <w:rPr>
          <w:color w:val="auto"/>
          <w:sz w:val="28"/>
          <w:szCs w:val="28"/>
        </w:rPr>
        <w:t>期限为</w:t>
      </w:r>
      <w:r>
        <w:rPr>
          <w:rFonts w:hint="eastAsia"/>
          <w:color w:val="auto"/>
          <w:sz w:val="28"/>
          <w:szCs w:val="28"/>
        </w:rPr>
        <w:t>202</w:t>
      </w:r>
      <w:r>
        <w:rPr>
          <w:rFonts w:hint="eastAsia"/>
          <w:color w:val="auto"/>
          <w:sz w:val="28"/>
          <w:szCs w:val="28"/>
          <w:lang w:val="en-US" w:eastAsia="zh-CN"/>
        </w:rPr>
        <w:t>1</w:t>
      </w:r>
      <w:r>
        <w:rPr>
          <w:color w:val="auto"/>
          <w:sz w:val="28"/>
          <w:szCs w:val="28"/>
        </w:rPr>
        <w:t>-</w:t>
      </w:r>
      <w:r>
        <w:rPr>
          <w:rFonts w:hint="eastAsia"/>
          <w:color w:val="auto"/>
          <w:sz w:val="28"/>
          <w:szCs w:val="28"/>
        </w:rPr>
        <w:t>203</w:t>
      </w:r>
      <w:r>
        <w:rPr>
          <w:rFonts w:hint="eastAsia"/>
          <w:color w:val="auto"/>
          <w:sz w:val="28"/>
          <w:szCs w:val="28"/>
          <w:lang w:val="en-US" w:eastAsia="zh-CN"/>
        </w:rPr>
        <w:t>5</w:t>
      </w:r>
      <w:r>
        <w:rPr>
          <w:rFonts w:hint="eastAsia"/>
          <w:color w:val="auto"/>
          <w:sz w:val="28"/>
          <w:szCs w:val="28"/>
        </w:rPr>
        <w:t>年，本次抚顺市城市供热规划分为近期和远期两个规划期限。</w:t>
      </w:r>
    </w:p>
    <w:p>
      <w:pPr>
        <w:spacing w:line="360" w:lineRule="auto"/>
        <w:ind w:firstLine="560" w:firstLineChars="200"/>
        <w:rPr>
          <w:color w:val="auto"/>
          <w:sz w:val="28"/>
          <w:szCs w:val="28"/>
        </w:rPr>
      </w:pPr>
      <w:r>
        <w:rPr>
          <w:rFonts w:hint="eastAsia"/>
          <w:color w:val="auto"/>
          <w:sz w:val="28"/>
          <w:szCs w:val="28"/>
        </w:rPr>
        <w:t>以2021年为基准年</w:t>
      </w:r>
      <w:r>
        <w:rPr>
          <w:rFonts w:hint="eastAsia"/>
          <w:color w:val="auto"/>
          <w:sz w:val="28"/>
          <w:szCs w:val="28"/>
          <w:lang w:eastAsia="zh-CN"/>
        </w:rPr>
        <w:t>，</w:t>
      </w:r>
      <w:r>
        <w:rPr>
          <w:color w:val="auto"/>
          <w:sz w:val="28"/>
          <w:szCs w:val="28"/>
        </w:rPr>
        <w:t>近期为</w:t>
      </w:r>
      <w:r>
        <w:rPr>
          <w:rFonts w:hint="eastAsia"/>
          <w:color w:val="auto"/>
          <w:sz w:val="28"/>
          <w:szCs w:val="28"/>
        </w:rPr>
        <w:t>20</w:t>
      </w:r>
      <w:r>
        <w:rPr>
          <w:color w:val="auto"/>
          <w:sz w:val="28"/>
          <w:szCs w:val="28"/>
        </w:rPr>
        <w:t>2</w:t>
      </w:r>
      <w:r>
        <w:rPr>
          <w:rFonts w:hint="eastAsia"/>
          <w:color w:val="auto"/>
          <w:sz w:val="28"/>
          <w:szCs w:val="28"/>
          <w:lang w:val="en-US" w:eastAsia="zh-CN"/>
        </w:rPr>
        <w:t>2</w:t>
      </w:r>
      <w:r>
        <w:rPr>
          <w:rFonts w:hint="eastAsia"/>
          <w:color w:val="auto"/>
          <w:sz w:val="28"/>
          <w:szCs w:val="28"/>
          <w:lang w:eastAsia="zh-CN"/>
        </w:rPr>
        <w:t>年</w:t>
      </w:r>
      <w:r>
        <w:rPr>
          <w:color w:val="auto"/>
          <w:sz w:val="28"/>
          <w:szCs w:val="28"/>
        </w:rPr>
        <w:t>2</w:t>
      </w:r>
      <w:r>
        <w:rPr>
          <w:rFonts w:hint="eastAsia"/>
          <w:color w:val="auto"/>
          <w:sz w:val="28"/>
          <w:szCs w:val="28"/>
        </w:rPr>
        <w:t>025年</w:t>
      </w:r>
      <w:r>
        <w:rPr>
          <w:color w:val="auto"/>
          <w:sz w:val="28"/>
          <w:szCs w:val="28"/>
        </w:rPr>
        <w:t>，远期为</w:t>
      </w:r>
      <w:r>
        <w:rPr>
          <w:rFonts w:hint="eastAsia"/>
          <w:color w:val="auto"/>
          <w:sz w:val="28"/>
          <w:szCs w:val="28"/>
        </w:rPr>
        <w:t>2026</w:t>
      </w:r>
      <w:r>
        <w:rPr>
          <w:rFonts w:hint="eastAsia"/>
          <w:color w:val="auto"/>
          <w:sz w:val="28"/>
          <w:szCs w:val="28"/>
          <w:lang w:eastAsia="zh-CN"/>
        </w:rPr>
        <w:t>年</w:t>
      </w:r>
      <w:r>
        <w:rPr>
          <w:color w:val="auto"/>
          <w:sz w:val="28"/>
          <w:szCs w:val="28"/>
        </w:rPr>
        <w:t>-</w:t>
      </w:r>
      <w:r>
        <w:rPr>
          <w:rFonts w:hint="eastAsia"/>
          <w:color w:val="auto"/>
          <w:sz w:val="28"/>
          <w:szCs w:val="28"/>
        </w:rPr>
        <w:t>203</w:t>
      </w:r>
      <w:r>
        <w:rPr>
          <w:rFonts w:hint="eastAsia"/>
          <w:color w:val="auto"/>
          <w:sz w:val="28"/>
          <w:szCs w:val="28"/>
          <w:lang w:val="en-US" w:eastAsia="zh-CN"/>
        </w:rPr>
        <w:t>5</w:t>
      </w:r>
      <w:r>
        <w:rPr>
          <w:rFonts w:hint="eastAsia"/>
          <w:color w:val="auto"/>
          <w:sz w:val="28"/>
          <w:szCs w:val="28"/>
        </w:rPr>
        <w:t>年。</w:t>
      </w:r>
    </w:p>
    <w:p>
      <w:pPr>
        <w:pStyle w:val="19"/>
        <w:spacing w:line="540" w:lineRule="exact"/>
        <w:ind w:firstLine="562" w:firstLineChars="200"/>
        <w:outlineLvl w:val="1"/>
        <w:rPr>
          <w:rFonts w:ascii="Times New Roman" w:hAnsi="Times New Roman" w:cs="Times New Roman"/>
          <w:b/>
          <w:color w:val="auto"/>
          <w:sz w:val="28"/>
          <w:szCs w:val="28"/>
        </w:rPr>
      </w:pPr>
      <w:bookmarkStart w:id="9" w:name="_Toc27670"/>
      <w:r>
        <w:rPr>
          <w:rFonts w:ascii="Times New Roman" w:hAnsi="Times New Roman" w:cs="Times New Roman"/>
          <w:b/>
          <w:color w:val="auto"/>
          <w:sz w:val="28"/>
          <w:szCs w:val="28"/>
        </w:rPr>
        <w:t>2.4</w:t>
      </w:r>
      <w:r>
        <w:rPr>
          <w:rFonts w:hint="eastAsia" w:ascii="Times New Roman" w:hAnsi="Times New Roman" w:cs="Times New Roman"/>
          <w:b/>
          <w:color w:val="auto"/>
          <w:sz w:val="28"/>
          <w:szCs w:val="28"/>
        </w:rPr>
        <w:t>规划内容</w:t>
      </w:r>
      <w:bookmarkEnd w:id="9"/>
    </w:p>
    <w:p>
      <w:pPr>
        <w:spacing w:line="540" w:lineRule="exact"/>
        <w:ind w:firstLine="560" w:firstLineChars="200"/>
        <w:rPr>
          <w:color w:val="auto"/>
          <w:sz w:val="28"/>
          <w:szCs w:val="28"/>
        </w:rPr>
      </w:pPr>
      <w:r>
        <w:rPr>
          <w:rFonts w:hint="eastAsia"/>
          <w:color w:val="auto"/>
          <w:sz w:val="28"/>
          <w:szCs w:val="28"/>
        </w:rPr>
        <w:t>（1）热负荷规划，落实现有建筑供暖面积，预测城市规划期内新增建筑面积及年度增长计划。</w:t>
      </w:r>
    </w:p>
    <w:p>
      <w:pPr>
        <w:spacing w:line="540" w:lineRule="exact"/>
        <w:ind w:firstLine="560" w:firstLineChars="200"/>
        <w:rPr>
          <w:color w:val="auto"/>
          <w:sz w:val="28"/>
          <w:szCs w:val="28"/>
        </w:rPr>
      </w:pPr>
      <w:r>
        <w:rPr>
          <w:rFonts w:hint="eastAsia"/>
          <w:color w:val="auto"/>
          <w:sz w:val="28"/>
          <w:szCs w:val="28"/>
        </w:rPr>
        <w:t>（2）依据现有热源厂的服务范围及供热能力，根据热负荷规划需求，规划新建热源和供热方式，明确热电厂、锅炉房的初步选址及分期建设规模，确定热电厂首站及大型热源厂锅炉房供热参数、供热系统型式以及运行调节方式。</w:t>
      </w:r>
    </w:p>
    <w:p>
      <w:pPr>
        <w:spacing w:line="540" w:lineRule="exact"/>
        <w:ind w:firstLine="560" w:firstLineChars="200"/>
        <w:rPr>
          <w:color w:val="auto"/>
          <w:sz w:val="28"/>
          <w:szCs w:val="28"/>
        </w:rPr>
      </w:pPr>
      <w:r>
        <w:rPr>
          <w:rFonts w:hint="eastAsia"/>
          <w:color w:val="auto"/>
          <w:sz w:val="28"/>
          <w:szCs w:val="28"/>
        </w:rPr>
        <w:t>（3）确定城市热力网布置原则及热力网形式，实现城区间热网互联互通，互为备用。</w:t>
      </w:r>
    </w:p>
    <w:p>
      <w:pPr>
        <w:spacing w:line="540" w:lineRule="exact"/>
        <w:ind w:firstLine="560" w:firstLineChars="200"/>
        <w:rPr>
          <w:rFonts w:hint="eastAsia"/>
          <w:color w:val="auto"/>
          <w:sz w:val="28"/>
          <w:szCs w:val="28"/>
        </w:rPr>
      </w:pPr>
      <w:r>
        <w:rPr>
          <w:rFonts w:hint="eastAsia"/>
          <w:color w:val="auto"/>
          <w:sz w:val="28"/>
          <w:szCs w:val="28"/>
        </w:rPr>
        <w:t>（4）规划供热工程分期实施方案，测算供热工程规划的工程建设内容及投资估算。</w:t>
      </w:r>
    </w:p>
    <w:p>
      <w:pPr>
        <w:spacing w:line="360" w:lineRule="auto"/>
        <w:ind w:firstLine="560" w:firstLineChars="200"/>
        <w:rPr>
          <w:rFonts w:hint="eastAsia"/>
          <w:color w:val="auto"/>
          <w:sz w:val="28"/>
          <w:szCs w:val="28"/>
          <w:lang w:eastAsia="zh-CN"/>
        </w:rPr>
      </w:pPr>
      <w:r>
        <w:rPr>
          <w:rFonts w:hint="eastAsia" w:eastAsia="宋体"/>
          <w:color w:val="auto"/>
          <w:sz w:val="28"/>
          <w:szCs w:val="28"/>
          <w:lang w:eastAsia="zh-CN"/>
        </w:rPr>
        <w:t>（</w:t>
      </w:r>
      <w:r>
        <w:rPr>
          <w:rFonts w:hint="eastAsia" w:ascii="Times New Roman" w:eastAsia="宋体"/>
          <w:color w:val="auto"/>
          <w:sz w:val="28"/>
          <w:szCs w:val="28"/>
          <w:lang w:val="en-US" w:eastAsia="zh-CN"/>
        </w:rPr>
        <w:t>5</w:t>
      </w:r>
      <w:r>
        <w:rPr>
          <w:rFonts w:hint="eastAsia" w:eastAsia="宋体"/>
          <w:color w:val="auto"/>
          <w:sz w:val="28"/>
          <w:szCs w:val="28"/>
          <w:lang w:eastAsia="zh-CN"/>
        </w:rPr>
        <w:t>）近期各供热企业实现供热信息化建设；远期推进产学研用协同创新，利用物联网、大数据、人工智能等先进技术，逐步推进建设智慧供热平台。</w:t>
      </w:r>
    </w:p>
    <w:p>
      <w:pPr>
        <w:spacing w:line="360" w:lineRule="auto"/>
        <w:ind w:firstLine="560" w:firstLineChars="200"/>
        <w:rPr>
          <w:rFonts w:hint="eastAsia"/>
          <w:color w:val="auto"/>
          <w:sz w:val="28"/>
          <w:szCs w:val="28"/>
          <w:lang w:eastAsia="zh-CN"/>
        </w:rPr>
      </w:pPr>
      <w:r>
        <w:rPr>
          <w:rFonts w:hint="eastAsia" w:eastAsia="宋体"/>
          <w:color w:val="auto"/>
          <w:sz w:val="28"/>
          <w:szCs w:val="28"/>
          <w:lang w:eastAsia="zh-CN"/>
        </w:rPr>
        <w:t>（</w:t>
      </w:r>
      <w:r>
        <w:rPr>
          <w:rFonts w:hint="eastAsia" w:ascii="Times New Roman" w:eastAsia="宋体"/>
          <w:color w:val="auto"/>
          <w:sz w:val="28"/>
          <w:szCs w:val="28"/>
          <w:lang w:val="en-US" w:eastAsia="zh-CN"/>
        </w:rPr>
        <w:t>6</w:t>
      </w:r>
      <w:r>
        <w:rPr>
          <w:rFonts w:hint="eastAsia" w:eastAsia="宋体"/>
          <w:color w:val="auto"/>
          <w:sz w:val="28"/>
          <w:szCs w:val="28"/>
          <w:lang w:eastAsia="zh-CN"/>
        </w:rPr>
        <w:t>）对供热管网难以覆盖的区域，可使用太阳能、空气源热泵等清洁能源。</w:t>
      </w:r>
    </w:p>
    <w:p>
      <w:pPr>
        <w:spacing w:line="360" w:lineRule="auto"/>
        <w:ind w:firstLine="560" w:firstLineChars="200"/>
        <w:rPr>
          <w:rFonts w:hint="eastAsia"/>
          <w:color w:val="auto"/>
          <w:sz w:val="28"/>
          <w:szCs w:val="28"/>
        </w:rPr>
      </w:pPr>
      <w:r>
        <w:rPr>
          <w:rFonts w:hint="eastAsia" w:eastAsia="宋体"/>
          <w:color w:val="auto"/>
          <w:sz w:val="28"/>
          <w:szCs w:val="28"/>
          <w:lang w:eastAsia="zh-CN"/>
        </w:rPr>
        <w:t>（</w:t>
      </w:r>
      <w:r>
        <w:rPr>
          <w:rFonts w:hint="eastAsia" w:ascii="Times New Roman" w:eastAsia="宋体"/>
          <w:color w:val="auto"/>
          <w:sz w:val="28"/>
          <w:szCs w:val="28"/>
          <w:lang w:val="en-US" w:eastAsia="zh-CN"/>
        </w:rPr>
        <w:t>7</w:t>
      </w:r>
      <w:r>
        <w:rPr>
          <w:rFonts w:hint="eastAsia" w:eastAsia="宋体"/>
          <w:color w:val="auto"/>
          <w:sz w:val="28"/>
          <w:szCs w:val="28"/>
          <w:lang w:eastAsia="zh-CN"/>
        </w:rPr>
        <w:t>）抚顺高新区正在按照国家安排，创建国家级高端化学品、精细化工、化工新材料基地，建成抚顺市最重要经济增长区域，拟规划新建公用热电联产项目，解决抚顺高新区没有市政公用热电厂的现状。近期规模为2×40MW 级别抽背式高温高压汽轮机组，配 3×280t/h 高温高压循环流化床锅炉。远期随着抚顺高新区工业规模的扩大，进行背压机组的扩建，扩建容量及机型以发展热负荷参数确定，最终规模为 2×40MW+2×50MW 级别背压机组。</w:t>
      </w:r>
    </w:p>
    <w:p>
      <w:pPr>
        <w:pStyle w:val="19"/>
        <w:spacing w:line="540" w:lineRule="exact"/>
        <w:outlineLvl w:val="1"/>
        <w:rPr>
          <w:rFonts w:ascii="Times New Roman" w:hAnsi="Times New Roman" w:cs="Times New Roman"/>
          <w:b/>
          <w:color w:val="auto"/>
          <w:sz w:val="28"/>
          <w:szCs w:val="28"/>
        </w:rPr>
      </w:pPr>
      <w:bookmarkStart w:id="10" w:name="_Toc2269"/>
      <w:r>
        <w:rPr>
          <w:rFonts w:hint="eastAsia" w:ascii="Times New Roman" w:hAnsi="Times New Roman" w:cs="Times New Roman"/>
          <w:b/>
          <w:color w:val="auto"/>
          <w:sz w:val="28"/>
          <w:szCs w:val="28"/>
        </w:rPr>
        <w:t>三、规划目标</w:t>
      </w:r>
      <w:bookmarkEnd w:id="10"/>
    </w:p>
    <w:p>
      <w:pPr>
        <w:spacing w:line="540" w:lineRule="exact"/>
        <w:ind w:firstLine="560" w:firstLineChars="200"/>
        <w:rPr>
          <w:color w:val="auto"/>
          <w:sz w:val="28"/>
          <w:szCs w:val="28"/>
        </w:rPr>
      </w:pPr>
      <w:r>
        <w:rPr>
          <w:rFonts w:hint="eastAsia"/>
          <w:color w:val="auto"/>
          <w:sz w:val="28"/>
          <w:szCs w:val="28"/>
        </w:rPr>
        <w:t>2025年前</w:t>
      </w:r>
      <w:r>
        <w:rPr>
          <w:color w:val="auto"/>
          <w:sz w:val="28"/>
          <w:szCs w:val="28"/>
        </w:rPr>
        <w:t>，</w:t>
      </w:r>
      <w:r>
        <w:rPr>
          <w:rFonts w:hint="eastAsia"/>
          <w:color w:val="auto"/>
          <w:sz w:val="28"/>
          <w:szCs w:val="28"/>
        </w:rPr>
        <w:t>抚顺市内三大热电联产发挥供热基础作用；保证现有工业余热全部利用；保留现有锅炉房作为备用热源；供采暖用热源实行联网供热，新建联网供热主干线，并完成对老旧主管网升级改造；各供热企业全面建成信息化热网；完成市内20%的既有建筑节能改造。</w:t>
      </w:r>
    </w:p>
    <w:p>
      <w:pPr>
        <w:spacing w:line="540" w:lineRule="exact"/>
        <w:ind w:firstLine="560" w:firstLineChars="200"/>
        <w:rPr>
          <w:color w:val="auto"/>
          <w:sz w:val="28"/>
          <w:szCs w:val="28"/>
        </w:rPr>
      </w:pPr>
      <w:r>
        <w:rPr>
          <w:rFonts w:hint="eastAsia"/>
          <w:color w:val="auto"/>
          <w:sz w:val="28"/>
          <w:szCs w:val="28"/>
        </w:rPr>
        <w:t>远期，继续深挖抚顺市内现有三大热电联产供热能力，提高热电厂供热效率；扩大包括工业余热在内的清洁能源和可再生能源供热比例；各供热企业逐步建成智慧热网；继续完成市内既有建筑节能改造。远期20</w:t>
      </w:r>
      <w:r>
        <w:rPr>
          <w:color w:val="auto"/>
          <w:sz w:val="28"/>
          <w:szCs w:val="28"/>
        </w:rPr>
        <w:t>35</w:t>
      </w:r>
      <w:r>
        <w:rPr>
          <w:rFonts w:hint="eastAsia"/>
          <w:color w:val="auto"/>
          <w:sz w:val="28"/>
          <w:szCs w:val="28"/>
        </w:rPr>
        <w:t>年</w:t>
      </w:r>
      <w:r>
        <w:rPr>
          <w:color w:val="auto"/>
          <w:sz w:val="28"/>
          <w:szCs w:val="28"/>
        </w:rPr>
        <w:t>之前</w:t>
      </w:r>
      <w:r>
        <w:rPr>
          <w:rFonts w:hint="eastAsia"/>
          <w:color w:val="auto"/>
          <w:sz w:val="28"/>
          <w:szCs w:val="28"/>
        </w:rPr>
        <w:t>抚顺城南热源厂关停。根据工业区规划蒸汽负荷继续在高新区公用热电厂内扩建背压机组。</w:t>
      </w:r>
    </w:p>
    <w:p>
      <w:pPr>
        <w:spacing w:line="540" w:lineRule="exact"/>
        <w:ind w:firstLine="560" w:firstLineChars="200"/>
        <w:rPr>
          <w:rFonts w:hint="eastAsia"/>
          <w:color w:val="auto"/>
          <w:sz w:val="28"/>
          <w:szCs w:val="28"/>
        </w:rPr>
      </w:pPr>
      <w:r>
        <w:rPr>
          <w:rFonts w:hint="eastAsia"/>
          <w:color w:val="auto"/>
          <w:sz w:val="28"/>
          <w:szCs w:val="28"/>
        </w:rPr>
        <w:t>规划期后中心城区冬季清洁供暖率可达到100%；采暖热指标由现状52w/㎡降低至40w/㎡；可节约标煤量35.6万吨、二氧化硫减排0.75万吨/年、烟尘减排0.75万吨/年。</w:t>
      </w:r>
    </w:p>
    <w:p>
      <w:pPr>
        <w:spacing w:line="540" w:lineRule="exact"/>
        <w:ind w:firstLine="560" w:firstLineChars="200"/>
        <w:rPr>
          <w:color w:val="auto"/>
          <w:sz w:val="28"/>
          <w:szCs w:val="28"/>
        </w:rPr>
      </w:pPr>
      <w:r>
        <w:rPr>
          <w:rFonts w:hint="eastAsia"/>
          <w:color w:val="auto"/>
          <w:sz w:val="28"/>
          <w:szCs w:val="28"/>
        </w:rPr>
        <w:t>通过对《抚顺市城市供热专项规划》（2021~2035年）的实施，热源侧用能结构明显优化，用户侧建筑能效明显提升，配套保障能力显著增强，促进清洁取暖的长效机制基本建立，污染排放大幅下降，空气质量得到改善，将为改善抚顺市大气环境、人居环境作出重要贡献。</w:t>
      </w:r>
      <w:r>
        <w:rPr>
          <w:color w:val="auto"/>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b/>
          <w:color w:val="auto"/>
          <w:sz w:val="30"/>
          <w:szCs w:val="32"/>
        </w:rPr>
      </w:pPr>
      <w:bookmarkStart w:id="11" w:name="_Toc20020"/>
      <w:r>
        <w:rPr>
          <w:b/>
          <w:color w:val="auto"/>
          <w:sz w:val="30"/>
          <w:szCs w:val="32"/>
        </w:rPr>
        <w:t>第</w:t>
      </w:r>
      <w:r>
        <w:rPr>
          <w:rFonts w:hint="eastAsia"/>
          <w:b/>
          <w:color w:val="auto"/>
          <w:sz w:val="30"/>
          <w:szCs w:val="32"/>
        </w:rPr>
        <w:t>二</w:t>
      </w:r>
      <w:r>
        <w:rPr>
          <w:b/>
          <w:color w:val="auto"/>
          <w:sz w:val="30"/>
          <w:szCs w:val="32"/>
        </w:rPr>
        <w:t xml:space="preserve">章 </w:t>
      </w:r>
      <w:r>
        <w:rPr>
          <w:rFonts w:hint="eastAsia"/>
          <w:b/>
          <w:color w:val="auto"/>
          <w:sz w:val="30"/>
          <w:szCs w:val="32"/>
        </w:rPr>
        <w:t xml:space="preserve"> </w:t>
      </w:r>
      <w:r>
        <w:rPr>
          <w:b/>
          <w:color w:val="auto"/>
          <w:sz w:val="30"/>
          <w:szCs w:val="32"/>
        </w:rPr>
        <w:t>热负荷</w:t>
      </w:r>
      <w:bookmarkEnd w:id="11"/>
    </w:p>
    <w:p>
      <w:pPr>
        <w:spacing w:line="360" w:lineRule="auto"/>
        <w:jc w:val="center"/>
        <w:rPr>
          <w:color w:val="auto"/>
          <w:sz w:val="32"/>
          <w:szCs w:val="32"/>
        </w:rPr>
      </w:pPr>
    </w:p>
    <w:p>
      <w:pPr>
        <w:pStyle w:val="19"/>
        <w:spacing w:line="360" w:lineRule="auto"/>
        <w:outlineLvl w:val="1"/>
        <w:rPr>
          <w:rFonts w:ascii="Times New Roman" w:hAnsi="Times New Roman" w:cs="Times New Roman"/>
          <w:b/>
          <w:color w:val="auto"/>
          <w:sz w:val="28"/>
          <w:szCs w:val="28"/>
        </w:rPr>
      </w:pPr>
      <w:bookmarkStart w:id="12" w:name="_Toc20696"/>
      <w:r>
        <w:rPr>
          <w:rFonts w:hint="eastAsia" w:ascii="Times New Roman" w:hAnsi="Times New Roman" w:cs="Times New Roman"/>
          <w:b/>
          <w:color w:val="auto"/>
          <w:sz w:val="28"/>
          <w:szCs w:val="28"/>
        </w:rPr>
        <w:t>一、热指标</w:t>
      </w:r>
      <w:bookmarkEnd w:id="12"/>
    </w:p>
    <w:p>
      <w:pPr>
        <w:spacing w:line="360" w:lineRule="auto"/>
        <w:ind w:firstLine="560" w:firstLineChars="200"/>
        <w:rPr>
          <w:color w:val="auto"/>
          <w:sz w:val="28"/>
          <w:szCs w:val="28"/>
        </w:rPr>
      </w:pPr>
      <w:r>
        <w:rPr>
          <w:rFonts w:hint="eastAsia"/>
          <w:color w:val="auto"/>
          <w:sz w:val="28"/>
          <w:szCs w:val="28"/>
        </w:rPr>
        <w:t>根据《民用建筑供暖通风与空气调节设计规范》及相关资料提供数据，抚顺市主要气象参数如下：</w:t>
      </w:r>
    </w:p>
    <w:p>
      <w:pPr>
        <w:spacing w:line="360" w:lineRule="auto"/>
        <w:ind w:firstLine="560" w:firstLineChars="200"/>
        <w:rPr>
          <w:color w:val="auto"/>
          <w:sz w:val="28"/>
          <w:szCs w:val="28"/>
        </w:rPr>
      </w:pPr>
      <w:r>
        <w:rPr>
          <w:rFonts w:hint="eastAsia"/>
          <w:color w:val="auto"/>
          <w:sz w:val="28"/>
          <w:szCs w:val="28"/>
        </w:rPr>
        <w:t>冬季采暖室外计算温度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-20℃</w:t>
      </w:r>
    </w:p>
    <w:p>
      <w:pPr>
        <w:spacing w:line="360" w:lineRule="auto"/>
        <w:ind w:firstLine="560" w:firstLineChars="200"/>
        <w:rPr>
          <w:color w:val="auto"/>
          <w:sz w:val="28"/>
          <w:szCs w:val="28"/>
        </w:rPr>
      </w:pPr>
      <w:r>
        <w:rPr>
          <w:rFonts w:hint="eastAsia"/>
          <w:color w:val="auto"/>
          <w:sz w:val="28"/>
          <w:szCs w:val="28"/>
        </w:rPr>
        <w:t>冬季通风室外计算温度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-13.5℃</w:t>
      </w:r>
    </w:p>
    <w:p>
      <w:pPr>
        <w:spacing w:line="360" w:lineRule="auto"/>
        <w:ind w:firstLine="560" w:firstLineChars="200"/>
        <w:rPr>
          <w:color w:val="auto"/>
          <w:sz w:val="28"/>
          <w:szCs w:val="28"/>
        </w:rPr>
      </w:pPr>
      <w:r>
        <w:rPr>
          <w:rFonts w:hint="eastAsia"/>
          <w:color w:val="auto"/>
          <w:sz w:val="28"/>
          <w:szCs w:val="28"/>
        </w:rPr>
        <w:t>冬季空调室外计算温度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-23.8℃</w:t>
      </w:r>
    </w:p>
    <w:p>
      <w:pPr>
        <w:spacing w:line="360" w:lineRule="auto"/>
        <w:ind w:firstLine="560" w:firstLineChars="200"/>
        <w:rPr>
          <w:color w:val="auto"/>
          <w:sz w:val="28"/>
          <w:szCs w:val="28"/>
        </w:rPr>
      </w:pPr>
      <w:r>
        <w:rPr>
          <w:rFonts w:hint="eastAsia"/>
          <w:color w:val="auto"/>
          <w:sz w:val="28"/>
          <w:szCs w:val="28"/>
        </w:rPr>
        <w:t>冬季采暖室内设计温度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16～24℃</w:t>
      </w:r>
    </w:p>
    <w:p>
      <w:pPr>
        <w:spacing w:line="360" w:lineRule="auto"/>
        <w:ind w:firstLine="560" w:firstLineChars="200"/>
        <w:rPr>
          <w:color w:val="auto"/>
          <w:sz w:val="28"/>
          <w:szCs w:val="28"/>
        </w:rPr>
      </w:pPr>
      <w:r>
        <w:rPr>
          <w:rFonts w:hint="eastAsia"/>
          <w:color w:val="auto"/>
          <w:sz w:val="28"/>
          <w:szCs w:val="28"/>
        </w:rPr>
        <w:t>极端最低温度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-35.9℃</w:t>
      </w:r>
    </w:p>
    <w:p>
      <w:pPr>
        <w:spacing w:line="360" w:lineRule="auto"/>
        <w:ind w:firstLine="560" w:firstLineChars="200"/>
        <w:rPr>
          <w:color w:val="auto"/>
          <w:sz w:val="28"/>
          <w:szCs w:val="28"/>
        </w:rPr>
      </w:pPr>
      <w:r>
        <w:rPr>
          <w:rFonts w:hint="eastAsia"/>
          <w:color w:val="auto"/>
          <w:sz w:val="28"/>
          <w:szCs w:val="28"/>
        </w:rPr>
        <w:t>日平均温度低于+5℃的天数</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161天</w:t>
      </w:r>
    </w:p>
    <w:p>
      <w:pPr>
        <w:spacing w:line="360" w:lineRule="auto"/>
        <w:ind w:firstLine="560" w:firstLineChars="200"/>
        <w:rPr>
          <w:color w:val="auto"/>
          <w:sz w:val="28"/>
          <w:szCs w:val="28"/>
        </w:rPr>
      </w:pPr>
      <w:r>
        <w:rPr>
          <w:rFonts w:hint="eastAsia"/>
          <w:color w:val="auto"/>
          <w:sz w:val="28"/>
          <w:szCs w:val="28"/>
        </w:rPr>
        <w:t>冬季空调室外计算相对湿度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68%</w:t>
      </w:r>
    </w:p>
    <w:p>
      <w:pPr>
        <w:spacing w:line="360" w:lineRule="auto"/>
        <w:ind w:firstLine="560" w:firstLineChars="200"/>
        <w:rPr>
          <w:color w:val="auto"/>
          <w:sz w:val="28"/>
          <w:szCs w:val="28"/>
        </w:rPr>
      </w:pPr>
      <w:r>
        <w:rPr>
          <w:rFonts w:hint="eastAsia"/>
          <w:color w:val="auto"/>
          <w:sz w:val="28"/>
          <w:szCs w:val="28"/>
        </w:rPr>
        <w:t>冬季室外平均风速</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2.3m/s</w:t>
      </w:r>
    </w:p>
    <w:p>
      <w:pPr>
        <w:spacing w:line="360" w:lineRule="auto"/>
        <w:ind w:firstLine="560" w:firstLineChars="200"/>
        <w:rPr>
          <w:color w:val="auto"/>
          <w:sz w:val="28"/>
          <w:szCs w:val="28"/>
        </w:rPr>
      </w:pPr>
      <w:r>
        <w:rPr>
          <w:rFonts w:hint="eastAsia"/>
          <w:color w:val="auto"/>
          <w:sz w:val="28"/>
          <w:szCs w:val="28"/>
        </w:rPr>
        <w:t>冬季室外主导风向及频率</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ENE/20%  </w:t>
      </w:r>
    </w:p>
    <w:p>
      <w:pPr>
        <w:spacing w:line="360" w:lineRule="auto"/>
        <w:ind w:firstLine="560" w:firstLineChars="200"/>
        <w:rPr>
          <w:color w:val="auto"/>
          <w:sz w:val="28"/>
          <w:szCs w:val="28"/>
        </w:rPr>
      </w:pPr>
      <w:r>
        <w:rPr>
          <w:rFonts w:hint="eastAsia"/>
          <w:color w:val="auto"/>
          <w:sz w:val="28"/>
          <w:szCs w:val="28"/>
        </w:rPr>
        <w:t>冬季室外大气压力</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101.10KPa</w:t>
      </w:r>
    </w:p>
    <w:p>
      <w:pPr>
        <w:spacing w:line="360" w:lineRule="auto"/>
        <w:ind w:firstLine="560" w:firstLineChars="200"/>
        <w:rPr>
          <w:color w:val="auto"/>
          <w:sz w:val="28"/>
          <w:szCs w:val="28"/>
        </w:rPr>
      </w:pPr>
      <w:r>
        <w:rPr>
          <w:rFonts w:hint="eastAsia"/>
          <w:color w:val="auto"/>
          <w:sz w:val="28"/>
          <w:szCs w:val="28"/>
        </w:rPr>
        <w:t>最大冻土层深度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143cm</w:t>
      </w:r>
    </w:p>
    <w:p>
      <w:pPr>
        <w:spacing w:line="360" w:lineRule="auto"/>
        <w:ind w:firstLine="560" w:firstLineChars="200"/>
        <w:rPr>
          <w:color w:val="auto"/>
          <w:sz w:val="28"/>
          <w:szCs w:val="28"/>
        </w:rPr>
      </w:pPr>
      <w:r>
        <w:rPr>
          <w:rFonts w:hint="eastAsia"/>
          <w:color w:val="auto"/>
          <w:sz w:val="28"/>
          <w:szCs w:val="28"/>
        </w:rPr>
        <w:t>年平均温度</w:t>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ab/>
      </w:r>
      <w:r>
        <w:rPr>
          <w:rFonts w:hint="eastAsia"/>
          <w:color w:val="auto"/>
          <w:sz w:val="28"/>
          <w:szCs w:val="28"/>
        </w:rPr>
        <w:t xml:space="preserve">      6.8℃</w:t>
      </w:r>
    </w:p>
    <w:p>
      <w:pPr>
        <w:spacing w:line="360" w:lineRule="auto"/>
        <w:ind w:firstLine="560" w:firstLineChars="200"/>
        <w:rPr>
          <w:color w:val="auto"/>
          <w:sz w:val="28"/>
          <w:szCs w:val="28"/>
        </w:rPr>
      </w:pPr>
      <w:r>
        <w:rPr>
          <w:rFonts w:hint="eastAsia"/>
          <w:color w:val="auto"/>
          <w:sz w:val="28"/>
          <w:szCs w:val="28"/>
        </w:rPr>
        <w:t>采暖期室外平均温度                    -6.3℃</w:t>
      </w:r>
    </w:p>
    <w:p>
      <w:pPr>
        <w:spacing w:line="360" w:lineRule="auto"/>
        <w:ind w:firstLine="560" w:firstLineChars="200"/>
        <w:rPr>
          <w:color w:val="auto"/>
          <w:sz w:val="28"/>
          <w:szCs w:val="28"/>
        </w:rPr>
      </w:pPr>
      <w:r>
        <w:rPr>
          <w:rFonts w:hint="eastAsia"/>
          <w:color w:val="auto"/>
          <w:sz w:val="28"/>
          <w:szCs w:val="28"/>
        </w:rPr>
        <w:t>供热指标的选取直接影响到工程投资和供热效果，根据《城镇供热管网设计标准》（CJJ34-20</w:t>
      </w:r>
      <w:r>
        <w:rPr>
          <w:color w:val="auto"/>
          <w:sz w:val="28"/>
          <w:szCs w:val="28"/>
        </w:rPr>
        <w:t>22</w:t>
      </w:r>
      <w:r>
        <w:rPr>
          <w:rFonts w:hint="eastAsia"/>
          <w:color w:val="auto"/>
          <w:sz w:val="28"/>
          <w:szCs w:val="28"/>
        </w:rPr>
        <w:t>），各类型建筑物面积热指标确定如下：</w:t>
      </w:r>
    </w:p>
    <w:p>
      <w:pPr>
        <w:spacing w:line="360" w:lineRule="auto"/>
        <w:jc w:val="center"/>
        <w:rPr>
          <w:bCs/>
          <w:color w:val="auto"/>
          <w:sz w:val="28"/>
          <w:szCs w:val="28"/>
        </w:rPr>
      </w:pPr>
      <w:r>
        <w:rPr>
          <w:rFonts w:hint="eastAsia"/>
          <w:bCs/>
          <w:color w:val="auto"/>
          <w:sz w:val="28"/>
          <w:szCs w:val="28"/>
        </w:rPr>
        <w:t xml:space="preserve">供暖热指标推荐值（未采取节能措施）     </w:t>
      </w:r>
      <w:r>
        <w:rPr>
          <w:rFonts w:hint="eastAsia"/>
          <w:color w:val="auto"/>
          <w:sz w:val="28"/>
        </w:rPr>
        <w:t>表</w:t>
      </w:r>
      <w:r>
        <w:rPr>
          <w:color w:val="auto"/>
          <w:sz w:val="28"/>
        </w:rPr>
        <w:t>2</w:t>
      </w:r>
      <w:r>
        <w:rPr>
          <w:rFonts w:hint="eastAsia"/>
          <w:color w:val="auto"/>
          <w:sz w:val="28"/>
        </w:rPr>
        <w:t>-1-1</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0"/>
        <w:gridCol w:w="316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67" w:hRule="exact"/>
          <w:jc w:val="center"/>
        </w:trPr>
        <w:tc>
          <w:tcPr>
            <w:tcW w:w="4970" w:type="dxa"/>
            <w:vAlign w:val="center"/>
          </w:tcPr>
          <w:p>
            <w:pPr>
              <w:spacing w:line="360" w:lineRule="auto"/>
              <w:rPr>
                <w:color w:val="auto"/>
                <w:sz w:val="24"/>
                <w:szCs w:val="21"/>
              </w:rPr>
            </w:pPr>
            <w:r>
              <w:rPr>
                <w:rFonts w:hint="eastAsia"/>
                <w:color w:val="auto"/>
                <w:sz w:val="24"/>
                <w:szCs w:val="21"/>
              </w:rPr>
              <w:t>建筑类型</w:t>
            </w:r>
          </w:p>
        </w:tc>
        <w:tc>
          <w:tcPr>
            <w:tcW w:w="3166" w:type="dxa"/>
            <w:vAlign w:val="center"/>
          </w:tcPr>
          <w:p>
            <w:pPr>
              <w:spacing w:line="360" w:lineRule="auto"/>
              <w:rPr>
                <w:color w:val="auto"/>
                <w:sz w:val="24"/>
                <w:szCs w:val="21"/>
              </w:rPr>
            </w:pPr>
            <w:r>
              <w:rPr>
                <w:rFonts w:hint="eastAsia"/>
                <w:color w:val="auto"/>
                <w:sz w:val="24"/>
                <w:szCs w:val="21"/>
              </w:rPr>
              <w:t>单位面积热指标（W/m</w:t>
            </w:r>
            <w:r>
              <w:rPr>
                <w:rFonts w:hint="eastAsia"/>
                <w:color w:val="auto"/>
                <w:sz w:val="24"/>
                <w:szCs w:val="21"/>
                <w:vertAlign w:val="superscript"/>
              </w:rPr>
              <w:t>2</w:t>
            </w:r>
            <w:r>
              <w:rPr>
                <w:rFonts w:hint="eastAsia"/>
                <w:color w:val="auto"/>
                <w:sz w:val="24"/>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970" w:type="dxa"/>
            <w:vAlign w:val="center"/>
          </w:tcPr>
          <w:p>
            <w:pPr>
              <w:spacing w:line="360" w:lineRule="auto"/>
              <w:rPr>
                <w:color w:val="auto"/>
                <w:sz w:val="24"/>
                <w:szCs w:val="21"/>
              </w:rPr>
            </w:pPr>
            <w:r>
              <w:rPr>
                <w:rFonts w:hint="eastAsia"/>
                <w:color w:val="auto"/>
                <w:sz w:val="24"/>
                <w:szCs w:val="21"/>
              </w:rPr>
              <w:t>居住</w:t>
            </w:r>
          </w:p>
        </w:tc>
        <w:tc>
          <w:tcPr>
            <w:tcW w:w="3166" w:type="dxa"/>
            <w:vAlign w:val="center"/>
          </w:tcPr>
          <w:p>
            <w:pPr>
              <w:spacing w:line="360" w:lineRule="auto"/>
              <w:rPr>
                <w:color w:val="auto"/>
                <w:sz w:val="24"/>
                <w:szCs w:val="21"/>
              </w:rPr>
            </w:pPr>
            <w:r>
              <w:rPr>
                <w:rFonts w:hint="eastAsia"/>
                <w:color w:val="auto"/>
                <w:sz w:val="24"/>
                <w:szCs w:val="21"/>
              </w:rPr>
              <w:t>58</w:t>
            </w:r>
            <w:r>
              <w:rPr>
                <w:color w:val="auto"/>
                <w:sz w:val="24"/>
                <w:szCs w:val="21"/>
              </w:rPr>
              <w:t>-</w:t>
            </w:r>
            <w:r>
              <w:rPr>
                <w:rFonts w:hint="eastAsia"/>
                <w:color w:val="auto"/>
                <w:sz w:val="24"/>
                <w:szCs w:val="21"/>
              </w:rPr>
              <w:t>64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970" w:type="dxa"/>
            <w:vAlign w:val="center"/>
          </w:tcPr>
          <w:p>
            <w:pPr>
              <w:spacing w:line="360" w:lineRule="auto"/>
              <w:rPr>
                <w:color w:val="auto"/>
                <w:sz w:val="24"/>
                <w:szCs w:val="21"/>
              </w:rPr>
            </w:pPr>
            <w:r>
              <w:rPr>
                <w:rFonts w:hint="eastAsia"/>
                <w:color w:val="auto"/>
                <w:sz w:val="24"/>
                <w:szCs w:val="21"/>
              </w:rPr>
              <w:t>居住区综合</w:t>
            </w:r>
          </w:p>
        </w:tc>
        <w:tc>
          <w:tcPr>
            <w:tcW w:w="3166" w:type="dxa"/>
            <w:vAlign w:val="center"/>
          </w:tcPr>
          <w:p>
            <w:pPr>
              <w:spacing w:line="360" w:lineRule="auto"/>
              <w:rPr>
                <w:color w:val="auto"/>
                <w:sz w:val="24"/>
                <w:szCs w:val="21"/>
              </w:rPr>
            </w:pPr>
            <w:r>
              <w:rPr>
                <w:rFonts w:hint="eastAsia"/>
                <w:color w:val="auto"/>
                <w:sz w:val="24"/>
                <w:szCs w:val="21"/>
              </w:rPr>
              <w:t>60-67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970" w:type="dxa"/>
            <w:vAlign w:val="center"/>
          </w:tcPr>
          <w:p>
            <w:pPr>
              <w:spacing w:line="360" w:lineRule="auto"/>
              <w:rPr>
                <w:color w:val="auto"/>
                <w:sz w:val="24"/>
                <w:szCs w:val="21"/>
              </w:rPr>
            </w:pPr>
            <w:r>
              <w:rPr>
                <w:rFonts w:hint="eastAsia"/>
                <w:color w:val="auto"/>
                <w:sz w:val="24"/>
                <w:szCs w:val="21"/>
              </w:rPr>
              <w:t>办公楼、学校</w:t>
            </w:r>
          </w:p>
        </w:tc>
        <w:tc>
          <w:tcPr>
            <w:tcW w:w="3166" w:type="dxa"/>
            <w:vAlign w:val="center"/>
          </w:tcPr>
          <w:p>
            <w:pPr>
              <w:spacing w:line="360" w:lineRule="auto"/>
              <w:rPr>
                <w:color w:val="auto"/>
                <w:sz w:val="24"/>
                <w:szCs w:val="21"/>
              </w:rPr>
            </w:pPr>
            <w:r>
              <w:rPr>
                <w:rFonts w:hint="eastAsia"/>
                <w:color w:val="auto"/>
                <w:sz w:val="24"/>
                <w:szCs w:val="21"/>
              </w:rPr>
              <w:t>60</w:t>
            </w:r>
            <w:r>
              <w:rPr>
                <w:color w:val="auto"/>
                <w:sz w:val="24"/>
                <w:szCs w:val="21"/>
              </w:rPr>
              <w:t>-</w:t>
            </w:r>
            <w:r>
              <w:rPr>
                <w:rFonts w:hint="eastAsia"/>
                <w:color w:val="auto"/>
                <w:sz w:val="24"/>
                <w:szCs w:val="21"/>
              </w:rPr>
              <w:t>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970" w:type="dxa"/>
            <w:vAlign w:val="center"/>
          </w:tcPr>
          <w:p>
            <w:pPr>
              <w:spacing w:line="360" w:lineRule="auto"/>
              <w:rPr>
                <w:color w:val="auto"/>
                <w:sz w:val="24"/>
                <w:szCs w:val="21"/>
              </w:rPr>
            </w:pPr>
            <w:r>
              <w:rPr>
                <w:rFonts w:hint="eastAsia"/>
                <w:color w:val="auto"/>
                <w:sz w:val="24"/>
                <w:szCs w:val="21"/>
              </w:rPr>
              <w:t>医院、幼儿园</w:t>
            </w:r>
          </w:p>
        </w:tc>
        <w:tc>
          <w:tcPr>
            <w:tcW w:w="3166" w:type="dxa"/>
            <w:vAlign w:val="center"/>
          </w:tcPr>
          <w:p>
            <w:pPr>
              <w:spacing w:line="360" w:lineRule="auto"/>
              <w:rPr>
                <w:color w:val="auto"/>
                <w:sz w:val="24"/>
                <w:szCs w:val="21"/>
              </w:rPr>
            </w:pPr>
            <w:r>
              <w:rPr>
                <w:rFonts w:hint="eastAsia"/>
                <w:color w:val="auto"/>
                <w:sz w:val="24"/>
                <w:szCs w:val="21"/>
              </w:rPr>
              <w:t>65</w:t>
            </w:r>
            <w:r>
              <w:rPr>
                <w:color w:val="auto"/>
                <w:sz w:val="24"/>
                <w:szCs w:val="21"/>
              </w:rPr>
              <w:t>-</w:t>
            </w:r>
            <w:r>
              <w:rPr>
                <w:rFonts w:hint="eastAsia"/>
                <w:color w:val="auto"/>
                <w:sz w:val="24"/>
                <w:szCs w:val="21"/>
              </w:rPr>
              <w:t>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970" w:type="dxa"/>
            <w:vAlign w:val="center"/>
          </w:tcPr>
          <w:p>
            <w:pPr>
              <w:spacing w:line="360" w:lineRule="auto"/>
              <w:rPr>
                <w:color w:val="auto"/>
                <w:sz w:val="24"/>
                <w:szCs w:val="21"/>
              </w:rPr>
            </w:pPr>
            <w:r>
              <w:rPr>
                <w:rFonts w:hint="eastAsia"/>
                <w:color w:val="auto"/>
                <w:sz w:val="24"/>
                <w:szCs w:val="21"/>
              </w:rPr>
              <w:t>旅馆</w:t>
            </w:r>
          </w:p>
        </w:tc>
        <w:tc>
          <w:tcPr>
            <w:tcW w:w="3166" w:type="dxa"/>
            <w:vAlign w:val="center"/>
          </w:tcPr>
          <w:p>
            <w:pPr>
              <w:spacing w:line="360" w:lineRule="auto"/>
              <w:rPr>
                <w:color w:val="auto"/>
                <w:sz w:val="24"/>
                <w:szCs w:val="21"/>
              </w:rPr>
            </w:pPr>
            <w:r>
              <w:rPr>
                <w:rFonts w:hint="eastAsia"/>
                <w:color w:val="auto"/>
                <w:sz w:val="24"/>
                <w:szCs w:val="21"/>
              </w:rPr>
              <w:t>60</w:t>
            </w:r>
            <w:r>
              <w:rPr>
                <w:color w:val="auto"/>
                <w:sz w:val="24"/>
                <w:szCs w:val="21"/>
              </w:rPr>
              <w:t>-</w:t>
            </w:r>
            <w:r>
              <w:rPr>
                <w:rFonts w:hint="eastAsia"/>
                <w:color w:val="auto"/>
                <w:sz w:val="24"/>
                <w:szCs w:val="21"/>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970" w:type="dxa"/>
            <w:vAlign w:val="center"/>
          </w:tcPr>
          <w:p>
            <w:pPr>
              <w:spacing w:line="360" w:lineRule="auto"/>
              <w:rPr>
                <w:color w:val="auto"/>
                <w:sz w:val="24"/>
                <w:szCs w:val="21"/>
              </w:rPr>
            </w:pPr>
            <w:r>
              <w:rPr>
                <w:rFonts w:hint="eastAsia"/>
                <w:color w:val="auto"/>
                <w:sz w:val="24"/>
                <w:szCs w:val="21"/>
              </w:rPr>
              <w:t>商店</w:t>
            </w:r>
          </w:p>
        </w:tc>
        <w:tc>
          <w:tcPr>
            <w:tcW w:w="3166" w:type="dxa"/>
            <w:vAlign w:val="center"/>
          </w:tcPr>
          <w:p>
            <w:pPr>
              <w:spacing w:line="360" w:lineRule="auto"/>
              <w:rPr>
                <w:color w:val="auto"/>
                <w:sz w:val="24"/>
                <w:szCs w:val="21"/>
              </w:rPr>
            </w:pPr>
            <w:r>
              <w:rPr>
                <w:rFonts w:hint="eastAsia"/>
                <w:color w:val="auto"/>
                <w:sz w:val="24"/>
                <w:szCs w:val="21"/>
              </w:rPr>
              <w:t>65</w:t>
            </w:r>
            <w:r>
              <w:rPr>
                <w:color w:val="auto"/>
                <w:sz w:val="24"/>
                <w:szCs w:val="21"/>
              </w:rPr>
              <w:t>-</w:t>
            </w:r>
            <w:r>
              <w:rPr>
                <w:rFonts w:hint="eastAsia"/>
                <w:color w:val="auto"/>
                <w:sz w:val="24"/>
                <w:szCs w:val="21"/>
              </w:rPr>
              <w:t>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970" w:type="dxa"/>
            <w:vAlign w:val="center"/>
          </w:tcPr>
          <w:p>
            <w:pPr>
              <w:spacing w:line="360" w:lineRule="auto"/>
              <w:rPr>
                <w:color w:val="auto"/>
                <w:sz w:val="24"/>
                <w:szCs w:val="21"/>
              </w:rPr>
            </w:pPr>
            <w:r>
              <w:rPr>
                <w:rFonts w:hint="eastAsia"/>
                <w:color w:val="auto"/>
                <w:sz w:val="24"/>
                <w:szCs w:val="21"/>
              </w:rPr>
              <w:t>影剧院、展览馆</w:t>
            </w:r>
          </w:p>
        </w:tc>
        <w:tc>
          <w:tcPr>
            <w:tcW w:w="3166" w:type="dxa"/>
            <w:vAlign w:val="center"/>
          </w:tcPr>
          <w:p>
            <w:pPr>
              <w:spacing w:line="360" w:lineRule="auto"/>
              <w:rPr>
                <w:color w:val="auto"/>
                <w:sz w:val="24"/>
                <w:szCs w:val="21"/>
              </w:rPr>
            </w:pPr>
            <w:r>
              <w:rPr>
                <w:rFonts w:hint="eastAsia"/>
                <w:color w:val="auto"/>
                <w:sz w:val="24"/>
                <w:szCs w:val="21"/>
              </w:rPr>
              <w:t>95</w:t>
            </w:r>
            <w:r>
              <w:rPr>
                <w:color w:val="auto"/>
                <w:sz w:val="24"/>
                <w:szCs w:val="21"/>
              </w:rPr>
              <w:t>-</w:t>
            </w:r>
            <w:r>
              <w:rPr>
                <w:rFonts w:hint="eastAsia"/>
                <w:color w:val="auto"/>
                <w:sz w:val="24"/>
                <w:szCs w:val="21"/>
              </w:rPr>
              <w:t>115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970" w:type="dxa"/>
            <w:vAlign w:val="center"/>
          </w:tcPr>
          <w:p>
            <w:pPr>
              <w:spacing w:line="360" w:lineRule="auto"/>
              <w:rPr>
                <w:color w:val="auto"/>
                <w:sz w:val="24"/>
                <w:szCs w:val="21"/>
              </w:rPr>
            </w:pPr>
            <w:r>
              <w:rPr>
                <w:rFonts w:hint="eastAsia"/>
                <w:color w:val="auto"/>
                <w:sz w:val="24"/>
                <w:szCs w:val="21"/>
              </w:rPr>
              <w:t>体育馆</w:t>
            </w:r>
          </w:p>
        </w:tc>
        <w:tc>
          <w:tcPr>
            <w:tcW w:w="3166" w:type="dxa"/>
            <w:vAlign w:val="center"/>
          </w:tcPr>
          <w:p>
            <w:pPr>
              <w:spacing w:line="360" w:lineRule="auto"/>
              <w:rPr>
                <w:color w:val="auto"/>
                <w:sz w:val="24"/>
                <w:szCs w:val="21"/>
              </w:rPr>
            </w:pPr>
            <w:r>
              <w:rPr>
                <w:rFonts w:hint="eastAsia"/>
                <w:color w:val="auto"/>
                <w:sz w:val="24"/>
                <w:szCs w:val="21"/>
              </w:rPr>
              <w:t>115-165</w:t>
            </w:r>
          </w:p>
        </w:tc>
      </w:tr>
    </w:tbl>
    <w:p>
      <w:pPr>
        <w:spacing w:line="360" w:lineRule="auto"/>
        <w:ind w:firstLine="540"/>
        <w:rPr>
          <w:color w:val="auto"/>
          <w:sz w:val="24"/>
        </w:rPr>
      </w:pPr>
    </w:p>
    <w:p>
      <w:pPr>
        <w:spacing w:line="360" w:lineRule="auto"/>
        <w:jc w:val="center"/>
        <w:rPr>
          <w:color w:val="auto"/>
          <w:sz w:val="24"/>
        </w:rPr>
      </w:pPr>
      <w:r>
        <w:rPr>
          <w:rFonts w:hint="eastAsia"/>
          <w:bCs/>
          <w:color w:val="auto"/>
          <w:sz w:val="28"/>
          <w:szCs w:val="28"/>
        </w:rPr>
        <w:t>供暖热指标推荐值（采取二步节能措施）  表</w:t>
      </w:r>
      <w:r>
        <w:rPr>
          <w:bCs/>
          <w:color w:val="auto"/>
          <w:sz w:val="28"/>
          <w:szCs w:val="28"/>
        </w:rPr>
        <w:t>2</w:t>
      </w:r>
      <w:r>
        <w:rPr>
          <w:rFonts w:hint="eastAsia"/>
          <w:bCs/>
          <w:color w:val="auto"/>
          <w:sz w:val="28"/>
          <w:szCs w:val="28"/>
        </w:rPr>
        <w:t>-1-2</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4"/>
        <w:gridCol w:w="316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67" w:hRule="exact"/>
          <w:jc w:val="center"/>
        </w:trPr>
        <w:tc>
          <w:tcPr>
            <w:tcW w:w="4784" w:type="dxa"/>
            <w:vAlign w:val="center"/>
          </w:tcPr>
          <w:p>
            <w:pPr>
              <w:spacing w:line="360" w:lineRule="auto"/>
              <w:rPr>
                <w:color w:val="auto"/>
                <w:sz w:val="24"/>
                <w:szCs w:val="21"/>
              </w:rPr>
            </w:pPr>
            <w:r>
              <w:rPr>
                <w:rFonts w:hint="eastAsia"/>
                <w:color w:val="auto"/>
                <w:sz w:val="24"/>
                <w:szCs w:val="21"/>
              </w:rPr>
              <w:t>建筑类型</w:t>
            </w:r>
          </w:p>
        </w:tc>
        <w:tc>
          <w:tcPr>
            <w:tcW w:w="3162" w:type="dxa"/>
            <w:vAlign w:val="center"/>
          </w:tcPr>
          <w:p>
            <w:pPr>
              <w:spacing w:line="360" w:lineRule="auto"/>
              <w:rPr>
                <w:color w:val="auto"/>
                <w:sz w:val="24"/>
                <w:szCs w:val="21"/>
              </w:rPr>
            </w:pPr>
            <w:r>
              <w:rPr>
                <w:rFonts w:hint="eastAsia"/>
                <w:color w:val="auto"/>
                <w:sz w:val="24"/>
                <w:szCs w:val="21"/>
              </w:rPr>
              <w:t>单位面积热指标（W/m</w:t>
            </w:r>
            <w:r>
              <w:rPr>
                <w:rFonts w:hint="eastAsia"/>
                <w:color w:val="auto"/>
                <w:sz w:val="24"/>
                <w:szCs w:val="21"/>
                <w:vertAlign w:val="superscript"/>
              </w:rPr>
              <w:t>2</w:t>
            </w:r>
            <w:r>
              <w:rPr>
                <w:rFonts w:hint="eastAsia"/>
                <w:color w:val="auto"/>
                <w:sz w:val="24"/>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784" w:type="dxa"/>
            <w:vAlign w:val="center"/>
          </w:tcPr>
          <w:p>
            <w:pPr>
              <w:spacing w:line="360" w:lineRule="auto"/>
              <w:rPr>
                <w:color w:val="auto"/>
                <w:sz w:val="24"/>
                <w:szCs w:val="21"/>
              </w:rPr>
            </w:pPr>
            <w:r>
              <w:rPr>
                <w:rFonts w:hint="eastAsia"/>
                <w:color w:val="auto"/>
                <w:sz w:val="24"/>
                <w:szCs w:val="21"/>
              </w:rPr>
              <w:t>居住</w:t>
            </w:r>
          </w:p>
        </w:tc>
        <w:tc>
          <w:tcPr>
            <w:tcW w:w="3162" w:type="dxa"/>
            <w:vAlign w:val="center"/>
          </w:tcPr>
          <w:p>
            <w:pPr>
              <w:spacing w:line="360" w:lineRule="auto"/>
              <w:rPr>
                <w:color w:val="auto"/>
                <w:sz w:val="24"/>
                <w:szCs w:val="21"/>
              </w:rPr>
            </w:pPr>
            <w:r>
              <w:rPr>
                <w:rFonts w:hint="eastAsia"/>
                <w:color w:val="auto"/>
                <w:sz w:val="24"/>
                <w:szCs w:val="21"/>
              </w:rPr>
              <w:t>40</w:t>
            </w:r>
            <w:r>
              <w:rPr>
                <w:color w:val="auto"/>
                <w:sz w:val="24"/>
                <w:szCs w:val="21"/>
              </w:rPr>
              <w:t>-</w:t>
            </w:r>
            <w:r>
              <w:rPr>
                <w:rFonts w:hint="eastAsia"/>
                <w:color w:val="auto"/>
                <w:sz w:val="24"/>
                <w:szCs w:val="21"/>
              </w:rPr>
              <w:t>45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784" w:type="dxa"/>
            <w:vAlign w:val="center"/>
          </w:tcPr>
          <w:p>
            <w:pPr>
              <w:spacing w:line="360" w:lineRule="auto"/>
              <w:rPr>
                <w:color w:val="auto"/>
                <w:sz w:val="24"/>
                <w:szCs w:val="21"/>
              </w:rPr>
            </w:pPr>
            <w:r>
              <w:rPr>
                <w:rFonts w:hint="eastAsia"/>
                <w:color w:val="auto"/>
                <w:sz w:val="24"/>
                <w:szCs w:val="21"/>
              </w:rPr>
              <w:t>居住区综合</w:t>
            </w:r>
          </w:p>
        </w:tc>
        <w:tc>
          <w:tcPr>
            <w:tcW w:w="3162" w:type="dxa"/>
            <w:vAlign w:val="center"/>
          </w:tcPr>
          <w:p>
            <w:pPr>
              <w:spacing w:line="360" w:lineRule="auto"/>
              <w:rPr>
                <w:color w:val="auto"/>
                <w:sz w:val="24"/>
                <w:szCs w:val="21"/>
              </w:rPr>
            </w:pPr>
            <w:r>
              <w:rPr>
                <w:rFonts w:hint="eastAsia"/>
                <w:color w:val="auto"/>
                <w:sz w:val="24"/>
                <w:szCs w:val="21"/>
              </w:rPr>
              <w:t>45-55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784" w:type="dxa"/>
            <w:vAlign w:val="center"/>
          </w:tcPr>
          <w:p>
            <w:pPr>
              <w:spacing w:line="360" w:lineRule="auto"/>
              <w:rPr>
                <w:color w:val="auto"/>
                <w:sz w:val="24"/>
                <w:szCs w:val="21"/>
              </w:rPr>
            </w:pPr>
            <w:r>
              <w:rPr>
                <w:rFonts w:hint="eastAsia"/>
                <w:color w:val="auto"/>
                <w:sz w:val="24"/>
                <w:szCs w:val="21"/>
              </w:rPr>
              <w:t>办公楼、学校</w:t>
            </w:r>
          </w:p>
        </w:tc>
        <w:tc>
          <w:tcPr>
            <w:tcW w:w="3162" w:type="dxa"/>
            <w:vAlign w:val="center"/>
          </w:tcPr>
          <w:p>
            <w:pPr>
              <w:spacing w:line="360" w:lineRule="auto"/>
              <w:rPr>
                <w:color w:val="auto"/>
                <w:sz w:val="24"/>
                <w:szCs w:val="21"/>
              </w:rPr>
            </w:pPr>
            <w:r>
              <w:rPr>
                <w:rFonts w:hint="eastAsia"/>
                <w:color w:val="auto"/>
                <w:sz w:val="24"/>
                <w:szCs w:val="21"/>
              </w:rPr>
              <w:t>50</w:t>
            </w:r>
            <w:r>
              <w:rPr>
                <w:color w:val="auto"/>
                <w:sz w:val="24"/>
                <w:szCs w:val="21"/>
              </w:rPr>
              <w:t>-</w:t>
            </w:r>
            <w:r>
              <w:rPr>
                <w:rFonts w:hint="eastAsia"/>
                <w:color w:val="auto"/>
                <w:sz w:val="24"/>
                <w:szCs w:val="21"/>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784" w:type="dxa"/>
            <w:vAlign w:val="center"/>
          </w:tcPr>
          <w:p>
            <w:pPr>
              <w:spacing w:line="360" w:lineRule="auto"/>
              <w:rPr>
                <w:color w:val="auto"/>
                <w:sz w:val="24"/>
                <w:szCs w:val="21"/>
              </w:rPr>
            </w:pPr>
            <w:r>
              <w:rPr>
                <w:rFonts w:hint="eastAsia"/>
                <w:color w:val="auto"/>
                <w:sz w:val="24"/>
                <w:szCs w:val="21"/>
              </w:rPr>
              <w:t>医院、幼儿园</w:t>
            </w:r>
          </w:p>
        </w:tc>
        <w:tc>
          <w:tcPr>
            <w:tcW w:w="3162" w:type="dxa"/>
            <w:vAlign w:val="center"/>
          </w:tcPr>
          <w:p>
            <w:pPr>
              <w:spacing w:line="360" w:lineRule="auto"/>
              <w:rPr>
                <w:color w:val="auto"/>
                <w:sz w:val="24"/>
                <w:szCs w:val="21"/>
              </w:rPr>
            </w:pPr>
            <w:r>
              <w:rPr>
                <w:rFonts w:hint="eastAsia"/>
                <w:color w:val="auto"/>
                <w:sz w:val="24"/>
                <w:szCs w:val="21"/>
              </w:rPr>
              <w:t>55</w:t>
            </w:r>
            <w:r>
              <w:rPr>
                <w:color w:val="auto"/>
                <w:sz w:val="24"/>
                <w:szCs w:val="21"/>
              </w:rPr>
              <w:t>-</w:t>
            </w:r>
            <w:r>
              <w:rPr>
                <w:rFonts w:hint="eastAsia"/>
                <w:color w:val="auto"/>
                <w:sz w:val="24"/>
                <w:szCs w:val="21"/>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784" w:type="dxa"/>
            <w:vAlign w:val="center"/>
          </w:tcPr>
          <w:p>
            <w:pPr>
              <w:spacing w:line="360" w:lineRule="auto"/>
              <w:rPr>
                <w:color w:val="auto"/>
                <w:sz w:val="24"/>
                <w:szCs w:val="21"/>
              </w:rPr>
            </w:pPr>
            <w:r>
              <w:rPr>
                <w:rFonts w:hint="eastAsia"/>
                <w:color w:val="auto"/>
                <w:sz w:val="24"/>
                <w:szCs w:val="21"/>
              </w:rPr>
              <w:t>旅馆</w:t>
            </w:r>
          </w:p>
        </w:tc>
        <w:tc>
          <w:tcPr>
            <w:tcW w:w="3162" w:type="dxa"/>
            <w:vAlign w:val="center"/>
          </w:tcPr>
          <w:p>
            <w:pPr>
              <w:spacing w:line="360" w:lineRule="auto"/>
              <w:rPr>
                <w:color w:val="auto"/>
                <w:sz w:val="24"/>
                <w:szCs w:val="21"/>
              </w:rPr>
            </w:pPr>
            <w:r>
              <w:rPr>
                <w:rFonts w:hint="eastAsia"/>
                <w:color w:val="auto"/>
                <w:sz w:val="24"/>
                <w:szCs w:val="21"/>
              </w:rPr>
              <w:t>50</w:t>
            </w:r>
            <w:r>
              <w:rPr>
                <w:color w:val="auto"/>
                <w:sz w:val="24"/>
                <w:szCs w:val="21"/>
              </w:rPr>
              <w:t>-</w:t>
            </w:r>
            <w:r>
              <w:rPr>
                <w:rFonts w:hint="eastAsia"/>
                <w:color w:val="auto"/>
                <w:sz w:val="24"/>
                <w:szCs w:val="21"/>
              </w:rPr>
              <w:t>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784" w:type="dxa"/>
            <w:vAlign w:val="center"/>
          </w:tcPr>
          <w:p>
            <w:pPr>
              <w:spacing w:line="360" w:lineRule="auto"/>
              <w:rPr>
                <w:color w:val="auto"/>
                <w:sz w:val="24"/>
                <w:szCs w:val="21"/>
              </w:rPr>
            </w:pPr>
            <w:r>
              <w:rPr>
                <w:rFonts w:hint="eastAsia"/>
                <w:color w:val="auto"/>
                <w:sz w:val="24"/>
                <w:szCs w:val="21"/>
              </w:rPr>
              <w:t>商店</w:t>
            </w:r>
          </w:p>
        </w:tc>
        <w:tc>
          <w:tcPr>
            <w:tcW w:w="3162" w:type="dxa"/>
            <w:vAlign w:val="center"/>
          </w:tcPr>
          <w:p>
            <w:pPr>
              <w:spacing w:line="360" w:lineRule="auto"/>
              <w:rPr>
                <w:color w:val="auto"/>
                <w:sz w:val="24"/>
                <w:szCs w:val="21"/>
              </w:rPr>
            </w:pPr>
            <w:r>
              <w:rPr>
                <w:rFonts w:hint="eastAsia"/>
                <w:color w:val="auto"/>
                <w:sz w:val="24"/>
                <w:szCs w:val="21"/>
              </w:rPr>
              <w:t>55</w:t>
            </w:r>
            <w:r>
              <w:rPr>
                <w:color w:val="auto"/>
                <w:sz w:val="24"/>
                <w:szCs w:val="21"/>
              </w:rPr>
              <w:t>-</w:t>
            </w:r>
            <w:r>
              <w:rPr>
                <w:rFonts w:hint="eastAsia"/>
                <w:color w:val="auto"/>
                <w:sz w:val="24"/>
                <w:szCs w:val="21"/>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784" w:type="dxa"/>
            <w:vAlign w:val="center"/>
          </w:tcPr>
          <w:p>
            <w:pPr>
              <w:spacing w:line="360" w:lineRule="auto"/>
              <w:rPr>
                <w:color w:val="auto"/>
                <w:sz w:val="24"/>
                <w:szCs w:val="21"/>
              </w:rPr>
            </w:pPr>
            <w:r>
              <w:rPr>
                <w:rFonts w:hint="eastAsia"/>
                <w:color w:val="auto"/>
                <w:sz w:val="24"/>
                <w:szCs w:val="21"/>
              </w:rPr>
              <w:t>影剧院、展览馆</w:t>
            </w:r>
          </w:p>
        </w:tc>
        <w:tc>
          <w:tcPr>
            <w:tcW w:w="3162" w:type="dxa"/>
            <w:vAlign w:val="center"/>
          </w:tcPr>
          <w:p>
            <w:pPr>
              <w:spacing w:line="360" w:lineRule="auto"/>
              <w:rPr>
                <w:color w:val="auto"/>
                <w:sz w:val="24"/>
                <w:szCs w:val="21"/>
              </w:rPr>
            </w:pPr>
            <w:r>
              <w:rPr>
                <w:rFonts w:hint="eastAsia"/>
                <w:color w:val="auto"/>
                <w:sz w:val="24"/>
                <w:szCs w:val="21"/>
              </w:rPr>
              <w:t>80</w:t>
            </w:r>
            <w:r>
              <w:rPr>
                <w:color w:val="auto"/>
                <w:sz w:val="24"/>
                <w:szCs w:val="21"/>
              </w:rPr>
              <w:t>-</w:t>
            </w:r>
            <w:r>
              <w:rPr>
                <w:rFonts w:hint="eastAsia"/>
                <w:color w:val="auto"/>
                <w:sz w:val="24"/>
                <w:szCs w:val="21"/>
              </w:rPr>
              <w:t>105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4784" w:type="dxa"/>
            <w:vAlign w:val="center"/>
          </w:tcPr>
          <w:p>
            <w:pPr>
              <w:spacing w:line="360" w:lineRule="auto"/>
              <w:rPr>
                <w:color w:val="auto"/>
                <w:sz w:val="24"/>
                <w:szCs w:val="21"/>
              </w:rPr>
            </w:pPr>
            <w:r>
              <w:rPr>
                <w:rFonts w:hint="eastAsia"/>
                <w:color w:val="auto"/>
                <w:sz w:val="24"/>
                <w:szCs w:val="21"/>
              </w:rPr>
              <w:t>体育馆</w:t>
            </w:r>
          </w:p>
        </w:tc>
        <w:tc>
          <w:tcPr>
            <w:tcW w:w="3162" w:type="dxa"/>
            <w:vAlign w:val="center"/>
          </w:tcPr>
          <w:p>
            <w:pPr>
              <w:spacing w:line="360" w:lineRule="auto"/>
              <w:rPr>
                <w:color w:val="auto"/>
                <w:sz w:val="24"/>
                <w:szCs w:val="21"/>
              </w:rPr>
            </w:pPr>
            <w:r>
              <w:rPr>
                <w:rFonts w:hint="eastAsia"/>
                <w:color w:val="auto"/>
                <w:sz w:val="24"/>
                <w:szCs w:val="21"/>
              </w:rPr>
              <w:t>100-150</w:t>
            </w:r>
          </w:p>
        </w:tc>
      </w:tr>
    </w:tbl>
    <w:p>
      <w:pPr>
        <w:spacing w:line="360" w:lineRule="auto"/>
        <w:rPr>
          <w:color w:val="auto"/>
          <w:sz w:val="24"/>
        </w:rPr>
      </w:pPr>
    </w:p>
    <w:p>
      <w:pPr>
        <w:spacing w:line="360" w:lineRule="auto"/>
        <w:jc w:val="center"/>
        <w:rPr>
          <w:color w:val="auto"/>
          <w:sz w:val="24"/>
        </w:rPr>
      </w:pPr>
      <w:r>
        <w:rPr>
          <w:rFonts w:hint="eastAsia"/>
          <w:bCs/>
          <w:color w:val="auto"/>
          <w:sz w:val="28"/>
          <w:szCs w:val="28"/>
        </w:rPr>
        <w:t>供暖热指标推荐值（采取三步节能措施）     表</w:t>
      </w:r>
      <w:r>
        <w:rPr>
          <w:bCs/>
          <w:color w:val="auto"/>
          <w:sz w:val="28"/>
          <w:szCs w:val="28"/>
        </w:rPr>
        <w:t>2</w:t>
      </w:r>
      <w:r>
        <w:rPr>
          <w:rFonts w:hint="eastAsia"/>
          <w:bCs/>
          <w:color w:val="auto"/>
          <w:sz w:val="28"/>
          <w:szCs w:val="28"/>
        </w:rPr>
        <w:t>-1-3</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4"/>
        <w:gridCol w:w="316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建筑类型</w:t>
            </w:r>
          </w:p>
        </w:tc>
        <w:tc>
          <w:tcPr>
            <w:tcW w:w="3162" w:type="dxa"/>
            <w:vAlign w:val="center"/>
          </w:tcPr>
          <w:p>
            <w:pPr>
              <w:spacing w:line="360" w:lineRule="auto"/>
              <w:rPr>
                <w:color w:val="auto"/>
                <w:sz w:val="24"/>
                <w:szCs w:val="21"/>
              </w:rPr>
            </w:pPr>
            <w:r>
              <w:rPr>
                <w:rFonts w:hint="eastAsia"/>
                <w:color w:val="auto"/>
                <w:sz w:val="24"/>
                <w:szCs w:val="21"/>
              </w:rPr>
              <w:t>单位面积热指标（W/m</w:t>
            </w:r>
            <w:r>
              <w:rPr>
                <w:rFonts w:hint="eastAsia"/>
                <w:color w:val="auto"/>
                <w:sz w:val="24"/>
                <w:szCs w:val="21"/>
                <w:vertAlign w:val="superscript"/>
              </w:rPr>
              <w:t>2</w:t>
            </w:r>
            <w:r>
              <w:rPr>
                <w:rFonts w:hint="eastAsia"/>
                <w:color w:val="auto"/>
                <w:sz w:val="24"/>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居住</w:t>
            </w:r>
          </w:p>
        </w:tc>
        <w:tc>
          <w:tcPr>
            <w:tcW w:w="3162" w:type="dxa"/>
            <w:vAlign w:val="center"/>
          </w:tcPr>
          <w:p>
            <w:pPr>
              <w:spacing w:line="360" w:lineRule="auto"/>
              <w:rPr>
                <w:color w:val="auto"/>
                <w:sz w:val="24"/>
                <w:szCs w:val="21"/>
              </w:rPr>
            </w:pPr>
            <w:r>
              <w:rPr>
                <w:color w:val="auto"/>
                <w:sz w:val="24"/>
                <w:szCs w:val="21"/>
              </w:rPr>
              <w:t>30-</w:t>
            </w:r>
            <w:r>
              <w:rPr>
                <w:rFonts w:hint="eastAsia"/>
                <w:color w:val="auto"/>
                <w:sz w:val="24"/>
                <w:szCs w:val="21"/>
              </w:rPr>
              <w:t>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居住区综合</w:t>
            </w:r>
          </w:p>
        </w:tc>
        <w:tc>
          <w:tcPr>
            <w:tcW w:w="3162" w:type="dxa"/>
            <w:vAlign w:val="center"/>
          </w:tcPr>
          <w:p>
            <w:pPr>
              <w:spacing w:line="360" w:lineRule="auto"/>
              <w:rPr>
                <w:color w:val="auto"/>
                <w:sz w:val="24"/>
                <w:szCs w:val="21"/>
              </w:rPr>
            </w:pPr>
            <w:r>
              <w:rPr>
                <w:rFonts w:hint="eastAsia"/>
                <w:color w:val="auto"/>
                <w:sz w:val="24"/>
                <w:szCs w:val="21"/>
              </w:rPr>
              <w:t>40-50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办公楼、学校</w:t>
            </w:r>
          </w:p>
        </w:tc>
        <w:tc>
          <w:tcPr>
            <w:tcW w:w="3162" w:type="dxa"/>
            <w:vAlign w:val="center"/>
          </w:tcPr>
          <w:p>
            <w:pPr>
              <w:spacing w:line="360" w:lineRule="auto"/>
              <w:rPr>
                <w:color w:val="auto"/>
                <w:sz w:val="24"/>
                <w:szCs w:val="21"/>
              </w:rPr>
            </w:pPr>
            <w:r>
              <w:rPr>
                <w:rFonts w:hint="eastAsia"/>
                <w:color w:val="auto"/>
                <w:sz w:val="24"/>
                <w:szCs w:val="21"/>
              </w:rPr>
              <w:t>45</w:t>
            </w:r>
            <w:r>
              <w:rPr>
                <w:color w:val="auto"/>
                <w:sz w:val="24"/>
                <w:szCs w:val="21"/>
              </w:rPr>
              <w:t>-</w:t>
            </w:r>
            <w:r>
              <w:rPr>
                <w:rFonts w:hint="eastAsia"/>
                <w:color w:val="auto"/>
                <w:sz w:val="24"/>
                <w:szCs w:val="21"/>
              </w:rPr>
              <w:t>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医院、幼儿园</w:t>
            </w:r>
          </w:p>
        </w:tc>
        <w:tc>
          <w:tcPr>
            <w:tcW w:w="3162" w:type="dxa"/>
            <w:vAlign w:val="center"/>
          </w:tcPr>
          <w:p>
            <w:pPr>
              <w:spacing w:line="360" w:lineRule="auto"/>
              <w:rPr>
                <w:color w:val="auto"/>
                <w:sz w:val="24"/>
                <w:szCs w:val="21"/>
              </w:rPr>
            </w:pPr>
            <w:r>
              <w:rPr>
                <w:color w:val="auto"/>
                <w:sz w:val="24"/>
                <w:szCs w:val="21"/>
              </w:rPr>
              <w:t>50-60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旅馆</w:t>
            </w:r>
          </w:p>
        </w:tc>
        <w:tc>
          <w:tcPr>
            <w:tcW w:w="3162" w:type="dxa"/>
            <w:vAlign w:val="center"/>
          </w:tcPr>
          <w:p>
            <w:pPr>
              <w:spacing w:line="360" w:lineRule="auto"/>
              <w:rPr>
                <w:color w:val="auto"/>
                <w:sz w:val="24"/>
                <w:szCs w:val="21"/>
              </w:rPr>
            </w:pPr>
            <w:r>
              <w:rPr>
                <w:rFonts w:hint="eastAsia"/>
                <w:color w:val="auto"/>
                <w:sz w:val="24"/>
                <w:szCs w:val="21"/>
              </w:rPr>
              <w:t>45</w:t>
            </w:r>
            <w:r>
              <w:rPr>
                <w:color w:val="auto"/>
                <w:sz w:val="24"/>
                <w:szCs w:val="21"/>
              </w:rPr>
              <w:t>-</w:t>
            </w:r>
            <w:r>
              <w:rPr>
                <w:rFonts w:hint="eastAsia"/>
                <w:color w:val="auto"/>
                <w:sz w:val="24"/>
                <w:szCs w:val="21"/>
              </w:rPr>
              <w:t>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商店</w:t>
            </w:r>
          </w:p>
        </w:tc>
        <w:tc>
          <w:tcPr>
            <w:tcW w:w="3162" w:type="dxa"/>
            <w:vAlign w:val="center"/>
          </w:tcPr>
          <w:p>
            <w:pPr>
              <w:spacing w:line="360" w:lineRule="auto"/>
              <w:rPr>
                <w:color w:val="auto"/>
                <w:sz w:val="24"/>
                <w:szCs w:val="21"/>
              </w:rPr>
            </w:pPr>
            <w:r>
              <w:rPr>
                <w:rFonts w:hint="eastAsia"/>
                <w:color w:val="auto"/>
                <w:sz w:val="24"/>
                <w:szCs w:val="21"/>
              </w:rPr>
              <w:t>50</w:t>
            </w:r>
            <w:r>
              <w:rPr>
                <w:color w:val="auto"/>
                <w:sz w:val="24"/>
                <w:szCs w:val="21"/>
              </w:rPr>
              <w:t>-</w:t>
            </w:r>
            <w:r>
              <w:rPr>
                <w:rFonts w:hint="eastAsia"/>
                <w:color w:val="auto"/>
                <w:sz w:val="24"/>
                <w:szCs w:val="21"/>
              </w:rPr>
              <w:t>65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影剧院、展览馆</w:t>
            </w:r>
          </w:p>
        </w:tc>
        <w:tc>
          <w:tcPr>
            <w:tcW w:w="3162" w:type="dxa"/>
            <w:vAlign w:val="center"/>
          </w:tcPr>
          <w:p>
            <w:pPr>
              <w:spacing w:line="360" w:lineRule="auto"/>
              <w:rPr>
                <w:color w:val="auto"/>
                <w:sz w:val="24"/>
                <w:szCs w:val="21"/>
              </w:rPr>
            </w:pPr>
            <w:r>
              <w:rPr>
                <w:rFonts w:hint="eastAsia"/>
                <w:color w:val="auto"/>
                <w:sz w:val="24"/>
                <w:szCs w:val="21"/>
              </w:rPr>
              <w:t>70</w:t>
            </w:r>
            <w:r>
              <w:rPr>
                <w:color w:val="auto"/>
                <w:sz w:val="24"/>
                <w:szCs w:val="21"/>
              </w:rPr>
              <w:t>-</w:t>
            </w:r>
            <w:r>
              <w:rPr>
                <w:rFonts w:hint="eastAsia"/>
                <w:color w:val="auto"/>
                <w:sz w:val="24"/>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9" w:hRule="atLeast"/>
          <w:jc w:val="center"/>
        </w:trPr>
        <w:tc>
          <w:tcPr>
            <w:tcW w:w="4784" w:type="dxa"/>
            <w:vAlign w:val="center"/>
          </w:tcPr>
          <w:p>
            <w:pPr>
              <w:spacing w:line="360" w:lineRule="auto"/>
              <w:rPr>
                <w:color w:val="auto"/>
                <w:sz w:val="24"/>
                <w:szCs w:val="21"/>
              </w:rPr>
            </w:pPr>
            <w:r>
              <w:rPr>
                <w:rFonts w:hint="eastAsia"/>
                <w:color w:val="auto"/>
                <w:sz w:val="24"/>
                <w:szCs w:val="21"/>
              </w:rPr>
              <w:t>体育馆</w:t>
            </w:r>
          </w:p>
        </w:tc>
        <w:tc>
          <w:tcPr>
            <w:tcW w:w="3162" w:type="dxa"/>
            <w:vAlign w:val="center"/>
          </w:tcPr>
          <w:p>
            <w:pPr>
              <w:spacing w:line="360" w:lineRule="auto"/>
              <w:rPr>
                <w:color w:val="auto"/>
                <w:sz w:val="24"/>
                <w:szCs w:val="21"/>
              </w:rPr>
            </w:pPr>
            <w:r>
              <w:rPr>
                <w:rFonts w:hint="eastAsia"/>
                <w:color w:val="auto"/>
                <w:sz w:val="24"/>
                <w:szCs w:val="21"/>
              </w:rPr>
              <w:t>90-120</w:t>
            </w:r>
          </w:p>
        </w:tc>
      </w:tr>
    </w:tbl>
    <w:p>
      <w:pPr>
        <w:spacing w:line="360" w:lineRule="auto"/>
        <w:ind w:firstLine="560" w:firstLineChars="200"/>
        <w:rPr>
          <w:color w:val="auto"/>
          <w:sz w:val="28"/>
        </w:rPr>
      </w:pPr>
    </w:p>
    <w:p>
      <w:pPr>
        <w:spacing w:line="360" w:lineRule="auto"/>
        <w:ind w:firstLine="560" w:firstLineChars="200"/>
        <w:rPr>
          <w:color w:val="auto"/>
          <w:sz w:val="28"/>
        </w:rPr>
      </w:pPr>
      <w:r>
        <w:rPr>
          <w:rFonts w:hint="eastAsia"/>
          <w:color w:val="auto"/>
          <w:sz w:val="28"/>
        </w:rPr>
        <w:t>根据《城镇供热管网设计标准》（CJJ34—20</w:t>
      </w:r>
      <w:r>
        <w:rPr>
          <w:color w:val="auto"/>
          <w:sz w:val="28"/>
        </w:rPr>
        <w:t>22</w:t>
      </w:r>
      <w:r>
        <w:rPr>
          <w:rFonts w:hint="eastAsia"/>
          <w:color w:val="auto"/>
          <w:sz w:val="28"/>
        </w:rPr>
        <w:t>）的推荐值，结合抚顺市多年供热系统运行的实际情况及统计资料，考虑抚顺市冬季室外温度偏低、供暖期较长的特点，按照民用建筑供暖标准，结合</w:t>
      </w:r>
      <w:r>
        <w:rPr>
          <w:rFonts w:hint="eastAsia"/>
          <w:color w:val="auto"/>
          <w:sz w:val="28"/>
          <w:szCs w:val="28"/>
        </w:rPr>
        <w:t>抚顺市区各类建筑物的比例，以及未来节能建筑的发展趋势，</w:t>
      </w:r>
      <w:r>
        <w:rPr>
          <w:rFonts w:hint="eastAsia"/>
          <w:color w:val="auto"/>
          <w:sz w:val="28"/>
        </w:rPr>
        <w:t>本项目估算热负荷指标确定如下：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color w:val="auto"/>
          <w:sz w:val="28"/>
        </w:rPr>
      </w:pPr>
      <w:r>
        <w:rPr>
          <w:rFonts w:hint="eastAsia"/>
          <w:color w:val="auto"/>
          <w:sz w:val="28"/>
        </w:rPr>
        <w:t>新建节能保温型建筑住宅的热指标取 30～40W/㎡，公建热指标取 50～65W/㎡，厂房热指标取 60～75W/㎡。但目前由于抚顺市建筑物中新建节能保温型建筑占的比例较小，市区内尚有大量存在的旧建筑，另一方面对新建筑保温措施能否完全达标的问题尚需进一步考证。所以计算后现状综合热指标选取52W/㎡。</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color w:val="auto"/>
          <w:sz w:val="28"/>
        </w:rPr>
      </w:pPr>
      <w:r>
        <w:rPr>
          <w:rFonts w:hint="eastAsia"/>
          <w:color w:val="auto"/>
          <w:sz w:val="28"/>
        </w:rPr>
        <w:t>目前抚顺市新建建筑均满足《最新建筑节能设计标准贯彻实施手册》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sz w:val="28"/>
        </w:rPr>
      </w:pPr>
      <w:r>
        <w:rPr>
          <w:rFonts w:hint="eastAsia"/>
          <w:color w:val="auto"/>
          <w:sz w:val="28"/>
        </w:rPr>
        <w:t>的要求，并且远期至 2035 年，规划预计用 10 年时间，以每年 10%的速度分批对抚顺市内既有建筑进行绿色建筑节能改造，规划远期抚顺市内热指标可达到：住宅 34W/㎡，公建 54W/㎡，厂房 60W/㎡。</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color w:val="auto"/>
          <w:sz w:val="28"/>
        </w:rPr>
      </w:pPr>
      <w:r>
        <w:rPr>
          <w:rFonts w:hint="eastAsia"/>
          <w:color w:val="auto"/>
          <w:sz w:val="28"/>
        </w:rPr>
        <w:t>采暖综合热指标表</w:t>
      </w:r>
      <w:r>
        <w:rPr>
          <w:rFonts w:hint="eastAsia"/>
          <w:color w:val="auto"/>
          <w:sz w:val="28"/>
          <w:lang w:val="en-US" w:eastAsia="zh-CN"/>
        </w:rPr>
        <w:t>2</w:t>
      </w:r>
      <w:r>
        <w:rPr>
          <w:rFonts w:hint="eastAsia"/>
          <w:color w:val="auto"/>
          <w:sz w:val="28"/>
        </w:rPr>
        <w:t>-1-</w:t>
      </w:r>
      <w:r>
        <w:rPr>
          <w:color w:val="auto"/>
          <w:sz w:val="28"/>
        </w:rPr>
        <w:t>4</w:t>
      </w:r>
    </w:p>
    <w:tbl>
      <w:tblPr>
        <w:tblStyle w:val="37"/>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5"/>
        <w:gridCol w:w="1433"/>
        <w:gridCol w:w="1517"/>
        <w:gridCol w:w="1650"/>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4" w:hRule="atLeast"/>
          <w:jc w:val="center"/>
        </w:trPr>
        <w:tc>
          <w:tcPr>
            <w:tcW w:w="2855" w:type="dxa"/>
            <w:vMerge w:val="restart"/>
            <w:vAlign w:val="center"/>
          </w:tcPr>
          <w:p>
            <w:pPr>
              <w:adjustRightInd w:val="0"/>
              <w:snapToGrid w:val="0"/>
              <w:spacing w:line="240" w:lineRule="atLeast"/>
              <w:jc w:val="center"/>
              <w:textAlignment w:val="baseline"/>
              <w:rPr>
                <w:rFonts w:hint="eastAsia"/>
                <w:color w:val="auto"/>
                <w:sz w:val="24"/>
                <w:szCs w:val="21"/>
                <w:lang w:eastAsia="zh-CN"/>
              </w:rPr>
            </w:pPr>
            <w:r>
              <w:rPr>
                <w:rFonts w:hint="eastAsia" w:eastAsia="宋体"/>
                <w:color w:val="auto"/>
                <w:sz w:val="24"/>
                <w:szCs w:val="21"/>
                <w:lang w:eastAsia="zh-CN"/>
              </w:rPr>
              <w:t>性质</w:t>
            </w:r>
          </w:p>
          <w:p>
            <w:pPr>
              <w:adjustRightInd w:val="0"/>
              <w:snapToGrid w:val="0"/>
              <w:spacing w:line="240" w:lineRule="atLeast"/>
              <w:jc w:val="center"/>
              <w:textAlignment w:val="baseline"/>
              <w:rPr>
                <w:rFonts w:hint="eastAsia"/>
                <w:color w:val="auto"/>
                <w:sz w:val="24"/>
                <w:szCs w:val="21"/>
                <w:lang w:eastAsia="zh-CN"/>
              </w:rPr>
            </w:pPr>
            <w:r>
              <w:rPr>
                <w:rFonts w:hint="eastAsia" w:eastAsia="宋体"/>
                <w:color w:val="auto"/>
                <w:sz w:val="24"/>
                <w:szCs w:val="21"/>
                <w:lang w:eastAsia="zh-CN"/>
              </w:rPr>
              <w:t>期限</w:t>
            </w:r>
          </w:p>
        </w:tc>
        <w:tc>
          <w:tcPr>
            <w:tcW w:w="1433" w:type="dxa"/>
            <w:vAlign w:val="center"/>
          </w:tcPr>
          <w:p>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住宅热指标</w:t>
            </w:r>
          </w:p>
        </w:tc>
        <w:tc>
          <w:tcPr>
            <w:tcW w:w="1517" w:type="dxa"/>
            <w:vAlign w:val="center"/>
          </w:tcPr>
          <w:p>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公建热指标</w:t>
            </w:r>
          </w:p>
        </w:tc>
        <w:tc>
          <w:tcPr>
            <w:tcW w:w="1650" w:type="dxa"/>
            <w:vAlign w:val="center"/>
          </w:tcPr>
          <w:p>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厂房热指标</w:t>
            </w:r>
          </w:p>
        </w:tc>
        <w:tc>
          <w:tcPr>
            <w:tcW w:w="1553" w:type="dxa"/>
            <w:vAlign w:val="center"/>
          </w:tcPr>
          <w:p>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综合热指标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4" w:hRule="atLeast"/>
          <w:jc w:val="center"/>
        </w:trPr>
        <w:tc>
          <w:tcPr>
            <w:tcW w:w="2855" w:type="dxa"/>
            <w:vMerge w:val="continue"/>
            <w:vAlign w:val="center"/>
          </w:tcPr>
          <w:p>
            <w:pPr>
              <w:adjustRightInd w:val="0"/>
              <w:snapToGrid w:val="0"/>
              <w:spacing w:line="240" w:lineRule="atLeast"/>
              <w:jc w:val="center"/>
              <w:textAlignment w:val="baseline"/>
              <w:rPr>
                <w:rFonts w:hint="eastAsia"/>
                <w:color w:val="auto"/>
                <w:sz w:val="24"/>
                <w:szCs w:val="21"/>
              </w:rPr>
            </w:pPr>
          </w:p>
        </w:tc>
        <w:tc>
          <w:tcPr>
            <w:tcW w:w="1433" w:type="dxa"/>
            <w:vAlign w:val="center"/>
          </w:tcPr>
          <w:p>
            <w:pPr>
              <w:adjustRightInd w:val="0"/>
              <w:snapToGrid w:val="0"/>
              <w:spacing w:line="240" w:lineRule="atLeast"/>
              <w:jc w:val="center"/>
              <w:textAlignment w:val="baseline"/>
              <w:rPr>
                <w:color w:val="auto"/>
                <w:sz w:val="24"/>
                <w:szCs w:val="21"/>
              </w:rPr>
            </w:pPr>
            <w:r>
              <w:rPr>
                <w:rFonts w:hint="eastAsia"/>
                <w:color w:val="auto"/>
                <w:sz w:val="24"/>
                <w:szCs w:val="21"/>
              </w:rPr>
              <w:t>W/㎡</w:t>
            </w:r>
          </w:p>
        </w:tc>
        <w:tc>
          <w:tcPr>
            <w:tcW w:w="1517" w:type="dxa"/>
            <w:vAlign w:val="center"/>
          </w:tcPr>
          <w:p>
            <w:pPr>
              <w:adjustRightInd w:val="0"/>
              <w:snapToGrid w:val="0"/>
              <w:spacing w:line="240" w:lineRule="atLeast"/>
              <w:jc w:val="center"/>
              <w:textAlignment w:val="baseline"/>
              <w:rPr>
                <w:color w:val="auto"/>
                <w:sz w:val="24"/>
                <w:szCs w:val="21"/>
              </w:rPr>
            </w:pPr>
            <w:r>
              <w:rPr>
                <w:rFonts w:hint="eastAsia"/>
                <w:color w:val="auto"/>
                <w:sz w:val="24"/>
                <w:szCs w:val="21"/>
              </w:rPr>
              <w:t>W/㎡</w:t>
            </w:r>
          </w:p>
        </w:tc>
        <w:tc>
          <w:tcPr>
            <w:tcW w:w="1650" w:type="dxa"/>
            <w:vAlign w:val="center"/>
          </w:tcPr>
          <w:p>
            <w:pPr>
              <w:adjustRightInd w:val="0"/>
              <w:snapToGrid w:val="0"/>
              <w:spacing w:line="240" w:lineRule="atLeast"/>
              <w:jc w:val="center"/>
              <w:textAlignment w:val="baseline"/>
              <w:rPr>
                <w:color w:val="auto"/>
                <w:sz w:val="24"/>
                <w:szCs w:val="21"/>
              </w:rPr>
            </w:pPr>
            <w:r>
              <w:rPr>
                <w:rFonts w:hint="eastAsia"/>
                <w:color w:val="auto"/>
                <w:sz w:val="24"/>
                <w:szCs w:val="21"/>
              </w:rPr>
              <w:t>W/㎡</w:t>
            </w:r>
          </w:p>
        </w:tc>
        <w:tc>
          <w:tcPr>
            <w:tcW w:w="1553" w:type="dxa"/>
            <w:vAlign w:val="center"/>
          </w:tcPr>
          <w:p>
            <w:pPr>
              <w:adjustRightInd w:val="0"/>
              <w:snapToGrid w:val="0"/>
              <w:spacing w:line="240" w:lineRule="atLeast"/>
              <w:jc w:val="center"/>
              <w:textAlignment w:val="baseline"/>
              <w:rPr>
                <w:rFonts w:hint="eastAsia"/>
                <w:color w:val="auto"/>
                <w:sz w:val="24"/>
                <w:szCs w:val="21"/>
              </w:rPr>
            </w:pPr>
            <w:r>
              <w:rPr>
                <w:rFonts w:hint="eastAsia"/>
                <w:color w:val="auto"/>
                <w:sz w:val="24"/>
                <w:szCs w:val="21"/>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4" w:hRule="atLeast"/>
          <w:jc w:val="center"/>
        </w:trPr>
        <w:tc>
          <w:tcPr>
            <w:tcW w:w="2855" w:type="dxa"/>
            <w:vAlign w:val="center"/>
          </w:tcPr>
          <w:p>
            <w:pPr>
              <w:keepNext w:val="0"/>
              <w:keepLines w:val="0"/>
              <w:widowControl/>
              <w:suppressLineNumbers w:val="0"/>
              <w:adjustRightInd w:val="0"/>
              <w:jc w:val="left"/>
              <w:textAlignment w:val="baseline"/>
              <w:rPr>
                <w:rFonts w:hint="eastAsia" w:eastAsia="宋体"/>
                <w:color w:val="auto"/>
                <w:sz w:val="24"/>
                <w:szCs w:val="21"/>
                <w:lang w:eastAsia="zh-CN"/>
              </w:rPr>
            </w:pPr>
            <w:r>
              <w:rPr>
                <w:rFonts w:hint="eastAsia" w:ascii="宋体" w:hAnsi="宋体" w:eastAsia="宋体" w:cs="宋体"/>
                <w:color w:val="auto"/>
                <w:kern w:val="0"/>
                <w:sz w:val="24"/>
                <w:szCs w:val="24"/>
                <w:lang w:val="en-US" w:eastAsia="zh-CN" w:bidi="ar"/>
              </w:rPr>
              <w:t xml:space="preserve">现状(2021年) </w:t>
            </w:r>
          </w:p>
        </w:tc>
        <w:tc>
          <w:tcPr>
            <w:tcW w:w="1433"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45</w:t>
            </w:r>
          </w:p>
        </w:tc>
        <w:tc>
          <w:tcPr>
            <w:tcW w:w="1517"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65</w:t>
            </w:r>
          </w:p>
        </w:tc>
        <w:tc>
          <w:tcPr>
            <w:tcW w:w="1650"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75</w:t>
            </w:r>
          </w:p>
        </w:tc>
        <w:tc>
          <w:tcPr>
            <w:tcW w:w="1553"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4" w:hRule="atLeast"/>
          <w:jc w:val="center"/>
        </w:trPr>
        <w:tc>
          <w:tcPr>
            <w:tcW w:w="2855" w:type="dxa"/>
            <w:vAlign w:val="center"/>
          </w:tcPr>
          <w:p>
            <w:pPr>
              <w:adjustRightInd w:val="0"/>
              <w:snapToGrid w:val="0"/>
              <w:spacing w:line="240" w:lineRule="atLeast"/>
              <w:jc w:val="center"/>
              <w:textAlignment w:val="baseline"/>
              <w:rPr>
                <w:rFonts w:hint="eastAsia" w:eastAsia="宋体"/>
                <w:color w:val="auto"/>
                <w:sz w:val="24"/>
                <w:szCs w:val="21"/>
                <w:lang w:eastAsia="zh-CN"/>
              </w:rPr>
            </w:pPr>
            <w:r>
              <w:rPr>
                <w:rFonts w:hint="eastAsia" w:eastAsia="宋体"/>
                <w:color w:val="auto"/>
                <w:sz w:val="24"/>
                <w:szCs w:val="21"/>
                <w:lang w:eastAsia="zh-CN"/>
              </w:rPr>
              <w:t>规划期（</w:t>
            </w:r>
            <w:r>
              <w:rPr>
                <w:rFonts w:hint="eastAsia" w:ascii="Times New Roman" w:eastAsia="宋体"/>
                <w:color w:val="auto"/>
                <w:sz w:val="24"/>
                <w:szCs w:val="21"/>
                <w:lang w:val="en-US" w:eastAsia="zh-CN"/>
              </w:rPr>
              <w:t>2022~2025年</w:t>
            </w:r>
            <w:r>
              <w:rPr>
                <w:rFonts w:hint="eastAsia" w:eastAsia="宋体"/>
                <w:color w:val="auto"/>
                <w:sz w:val="24"/>
                <w:szCs w:val="21"/>
                <w:lang w:eastAsia="zh-CN"/>
              </w:rPr>
              <w:t>）</w:t>
            </w:r>
          </w:p>
        </w:tc>
        <w:tc>
          <w:tcPr>
            <w:tcW w:w="1433"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38</w:t>
            </w:r>
          </w:p>
        </w:tc>
        <w:tc>
          <w:tcPr>
            <w:tcW w:w="1517"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60</w:t>
            </w:r>
          </w:p>
        </w:tc>
        <w:tc>
          <w:tcPr>
            <w:tcW w:w="1650"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70</w:t>
            </w:r>
          </w:p>
        </w:tc>
        <w:tc>
          <w:tcPr>
            <w:tcW w:w="1553"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4" w:hRule="atLeast"/>
          <w:jc w:val="center"/>
        </w:trPr>
        <w:tc>
          <w:tcPr>
            <w:tcW w:w="2855" w:type="dxa"/>
            <w:vAlign w:val="center"/>
          </w:tcPr>
          <w:p>
            <w:pPr>
              <w:adjustRightInd w:val="0"/>
              <w:snapToGrid w:val="0"/>
              <w:spacing w:line="240" w:lineRule="atLeast"/>
              <w:jc w:val="center"/>
              <w:textAlignment w:val="baseline"/>
              <w:rPr>
                <w:rFonts w:hint="eastAsia"/>
                <w:color w:val="auto"/>
                <w:sz w:val="24"/>
                <w:szCs w:val="21"/>
              </w:rPr>
            </w:pPr>
            <w:r>
              <w:rPr>
                <w:rFonts w:hint="eastAsia" w:eastAsia="宋体"/>
                <w:color w:val="auto"/>
                <w:sz w:val="24"/>
                <w:szCs w:val="21"/>
                <w:lang w:eastAsia="zh-CN"/>
              </w:rPr>
              <w:t>规划期（</w:t>
            </w:r>
            <w:r>
              <w:rPr>
                <w:rFonts w:hint="eastAsia" w:ascii="Times New Roman" w:eastAsia="宋体"/>
                <w:color w:val="auto"/>
                <w:sz w:val="24"/>
                <w:szCs w:val="21"/>
                <w:lang w:val="en-US" w:eastAsia="zh-CN"/>
              </w:rPr>
              <w:t>2026~2035年</w:t>
            </w:r>
            <w:r>
              <w:rPr>
                <w:rFonts w:hint="eastAsia" w:eastAsia="宋体"/>
                <w:color w:val="auto"/>
                <w:sz w:val="24"/>
                <w:szCs w:val="21"/>
                <w:lang w:eastAsia="zh-CN"/>
              </w:rPr>
              <w:t>）</w:t>
            </w:r>
          </w:p>
        </w:tc>
        <w:tc>
          <w:tcPr>
            <w:tcW w:w="1433"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34</w:t>
            </w:r>
          </w:p>
        </w:tc>
        <w:tc>
          <w:tcPr>
            <w:tcW w:w="1517"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54</w:t>
            </w:r>
          </w:p>
        </w:tc>
        <w:tc>
          <w:tcPr>
            <w:tcW w:w="1650"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60</w:t>
            </w:r>
          </w:p>
        </w:tc>
        <w:tc>
          <w:tcPr>
            <w:tcW w:w="1553" w:type="dxa"/>
            <w:vAlign w:val="center"/>
          </w:tcPr>
          <w:p>
            <w:pPr>
              <w:adjustRightInd w:val="0"/>
              <w:snapToGrid w:val="0"/>
              <w:spacing w:line="240" w:lineRule="atLeast"/>
              <w:jc w:val="center"/>
              <w:textAlignment w:val="baseline"/>
              <w:rPr>
                <w:rFonts w:hint="default" w:eastAsia="宋体"/>
                <w:color w:val="auto"/>
                <w:sz w:val="24"/>
                <w:szCs w:val="21"/>
                <w:lang w:val="en-US" w:eastAsia="zh-CN"/>
              </w:rPr>
            </w:pPr>
            <w:r>
              <w:rPr>
                <w:rFonts w:hint="eastAsia" w:ascii="Times New Roman" w:eastAsia="宋体"/>
                <w:color w:val="auto"/>
                <w:sz w:val="24"/>
                <w:szCs w:val="21"/>
                <w:lang w:val="en-US" w:eastAsia="zh-CN"/>
              </w:rPr>
              <w:t>40</w:t>
            </w:r>
          </w:p>
        </w:tc>
      </w:tr>
    </w:tbl>
    <w:p>
      <w:pPr>
        <w:pStyle w:val="19"/>
        <w:keepNext w:val="0"/>
        <w:keepLines w:val="0"/>
        <w:pageBreakBefore w:val="0"/>
        <w:widowControl w:val="0"/>
        <w:kinsoku/>
        <w:wordWrap/>
        <w:overflowPunct/>
        <w:topLinePunct w:val="0"/>
        <w:autoSpaceDE/>
        <w:autoSpaceDN/>
        <w:bidi w:val="0"/>
        <w:adjustRightInd/>
        <w:snapToGrid/>
        <w:spacing w:before="313" w:beforeLines="100" w:line="360" w:lineRule="auto"/>
        <w:ind w:firstLine="562" w:firstLineChars="200"/>
        <w:textAlignment w:val="auto"/>
        <w:outlineLvl w:val="1"/>
        <w:rPr>
          <w:rFonts w:ascii="Times New Roman" w:hAnsi="Times New Roman" w:cs="Times New Roman"/>
          <w:b/>
          <w:color w:val="auto"/>
          <w:sz w:val="28"/>
          <w:szCs w:val="28"/>
        </w:rPr>
      </w:pPr>
      <w:bookmarkStart w:id="13" w:name="_Toc8166"/>
      <w:bookmarkStart w:id="14" w:name="_Toc153871673"/>
      <w:r>
        <w:rPr>
          <w:rFonts w:hint="eastAsia" w:ascii="Times New Roman" w:hAnsi="Times New Roman" w:cs="Times New Roman"/>
          <w:b/>
          <w:color w:val="auto"/>
          <w:sz w:val="28"/>
          <w:szCs w:val="28"/>
        </w:rPr>
        <w:t>二、现有热负荷</w:t>
      </w:r>
      <w:bookmarkEnd w:id="13"/>
      <w:bookmarkEnd w:id="14"/>
    </w:p>
    <w:p>
      <w:pPr>
        <w:pStyle w:val="19"/>
        <w:spacing w:line="600" w:lineRule="exact"/>
        <w:jc w:val="center"/>
        <w:rPr>
          <w:rFonts w:hint="eastAsia"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rPr>
        <w:t>现有采暖热负荷统计表表</w:t>
      </w:r>
      <w:r>
        <w:rPr>
          <w:rFonts w:hint="eastAsia" w:ascii="Times New Roman" w:hAnsi="Times New Roman" w:cs="Times New Roman"/>
          <w:color w:val="auto"/>
          <w:sz w:val="28"/>
          <w:szCs w:val="28"/>
          <w:lang w:val="en-US" w:eastAsia="zh-CN"/>
        </w:rPr>
        <w:t>2</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1</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5</w:t>
      </w:r>
    </w:p>
    <w:tbl>
      <w:tblPr>
        <w:tblStyle w:val="36"/>
        <w:tblW w:w="4827" w:type="pct"/>
        <w:jc w:val="center"/>
        <w:tblLayout w:type="autofit"/>
        <w:tblCellMar>
          <w:top w:w="0" w:type="dxa"/>
          <w:left w:w="108" w:type="dxa"/>
          <w:bottom w:w="0" w:type="dxa"/>
          <w:right w:w="108" w:type="dxa"/>
        </w:tblCellMar>
      </w:tblPr>
      <w:tblGrid>
        <w:gridCol w:w="1373"/>
        <w:gridCol w:w="1701"/>
        <w:gridCol w:w="2141"/>
        <w:gridCol w:w="1402"/>
        <w:gridCol w:w="2081"/>
      </w:tblGrid>
      <w:tr>
        <w:trPr>
          <w:trHeight w:val="1076" w:hRule="exact"/>
          <w:jc w:val="center"/>
        </w:trPr>
        <w:tc>
          <w:tcPr>
            <w:tcW w:w="7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供热分区</w:t>
            </w:r>
          </w:p>
        </w:tc>
        <w:tc>
          <w:tcPr>
            <w:tcW w:w="978"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热源性质</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供暖</w:t>
            </w:r>
            <w:r>
              <w:rPr>
                <w:rFonts w:cs="宋体" w:asciiTheme="minorEastAsia" w:hAnsiTheme="minorEastAsia" w:eastAsiaTheme="minorEastAsia"/>
                <w:bCs/>
                <w:color w:val="auto"/>
                <w:kern w:val="0"/>
                <w:sz w:val="24"/>
                <w:szCs w:val="21"/>
              </w:rPr>
              <w:t>面积</w:t>
            </w:r>
          </w:p>
          <w:p>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（万㎡）</w:t>
            </w:r>
          </w:p>
        </w:tc>
        <w:tc>
          <w:tcPr>
            <w:tcW w:w="806"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总供热</w:t>
            </w:r>
          </w:p>
          <w:p>
            <w:pPr>
              <w:widowControl/>
              <w:spacing w:line="300" w:lineRule="auto"/>
              <w:jc w:val="center"/>
              <w:rPr>
                <w:rFonts w:cs="宋体" w:asciiTheme="minorEastAsia" w:hAnsiTheme="minorEastAsia" w:eastAsiaTheme="minorEastAsia"/>
                <w:bCs/>
                <w:color w:val="auto"/>
                <w:sz w:val="24"/>
                <w:szCs w:val="21"/>
              </w:rPr>
            </w:pPr>
            <w:r>
              <w:rPr>
                <w:rFonts w:hint="eastAsia" w:cs="宋体" w:asciiTheme="minorEastAsia" w:hAnsiTheme="minorEastAsia" w:eastAsiaTheme="minorEastAsia"/>
                <w:bCs/>
                <w:color w:val="auto"/>
                <w:kern w:val="0"/>
                <w:sz w:val="24"/>
                <w:szCs w:val="21"/>
              </w:rPr>
              <w:t>面积</w:t>
            </w:r>
          </w:p>
          <w:p>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（万㎡）</w:t>
            </w:r>
          </w:p>
        </w:tc>
        <w:tc>
          <w:tcPr>
            <w:tcW w:w="1196"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asciiTheme="minorEastAsia" w:hAnsiTheme="minorEastAsia" w:eastAsiaTheme="minorEastAsia"/>
                <w:bCs/>
                <w:color w:val="auto"/>
                <w:kern w:val="0"/>
                <w:sz w:val="24"/>
                <w:szCs w:val="21"/>
              </w:rPr>
            </w:pPr>
            <w:r>
              <w:rPr>
                <w:rFonts w:hint="eastAsia" w:cs="宋体" w:asciiTheme="minorEastAsia" w:hAnsiTheme="minorEastAsia" w:eastAsiaTheme="minorEastAsia"/>
                <w:bCs/>
                <w:color w:val="auto"/>
                <w:kern w:val="0"/>
                <w:sz w:val="24"/>
                <w:szCs w:val="21"/>
              </w:rPr>
              <w:t>热负荷（MW）</w:t>
            </w:r>
          </w:p>
        </w:tc>
      </w:tr>
      <w:tr>
        <w:trPr>
          <w:trHeight w:val="278" w:hRule="atLeast"/>
          <w:jc w:val="center"/>
        </w:trPr>
        <w:tc>
          <w:tcPr>
            <w:tcW w:w="789"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东洲区</w:t>
            </w:r>
          </w:p>
        </w:tc>
        <w:tc>
          <w:tcPr>
            <w:tcW w:w="978" w:type="pct"/>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热电联产</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cs="宋体"/>
                <w:bCs/>
                <w:color w:val="auto"/>
                <w:kern w:val="0"/>
                <w:sz w:val="24"/>
                <w:szCs w:val="21"/>
              </w:rPr>
              <w:t>641</w:t>
            </w:r>
          </w:p>
        </w:tc>
        <w:tc>
          <w:tcPr>
            <w:tcW w:w="806"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r>
              <w:rPr>
                <w:rFonts w:cs="宋体"/>
                <w:bCs/>
                <w:color w:val="auto"/>
                <w:kern w:val="0"/>
                <w:sz w:val="24"/>
                <w:szCs w:val="21"/>
              </w:rPr>
              <w:t>998</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auto"/>
                <w:kern w:val="0"/>
                <w:sz w:val="24"/>
              </w:rPr>
            </w:pPr>
            <w:r>
              <w:rPr>
                <w:color w:val="auto"/>
                <w:sz w:val="24"/>
              </w:rPr>
              <w:t>333</w:t>
            </w:r>
          </w:p>
        </w:tc>
      </w:tr>
      <w:tr>
        <w:trPr>
          <w:trHeight w:val="278" w:hRule="atLeast"/>
          <w:jc w:val="center"/>
        </w:trPr>
        <w:tc>
          <w:tcPr>
            <w:tcW w:w="78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p>
        </w:tc>
        <w:tc>
          <w:tcPr>
            <w:tcW w:w="978" w:type="pct"/>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工业</w:t>
            </w:r>
            <w:r>
              <w:rPr>
                <w:rFonts w:cs="宋体"/>
                <w:bCs/>
                <w:color w:val="auto"/>
                <w:kern w:val="0"/>
                <w:sz w:val="24"/>
                <w:szCs w:val="21"/>
              </w:rPr>
              <w:t>余热</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cs="宋体"/>
                <w:bCs/>
                <w:color w:val="auto"/>
                <w:kern w:val="0"/>
                <w:sz w:val="24"/>
                <w:szCs w:val="21"/>
              </w:rPr>
              <w:t>357</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186</w:t>
            </w:r>
          </w:p>
        </w:tc>
      </w:tr>
      <w:tr>
        <w:trPr>
          <w:trHeight w:val="278" w:hRule="atLeast"/>
          <w:jc w:val="center"/>
        </w:trPr>
        <w:tc>
          <w:tcPr>
            <w:tcW w:w="789"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顺城区</w:t>
            </w:r>
          </w:p>
        </w:tc>
        <w:tc>
          <w:tcPr>
            <w:tcW w:w="978" w:type="pct"/>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热电</w:t>
            </w:r>
            <w:r>
              <w:rPr>
                <w:rFonts w:cs="宋体"/>
                <w:bCs/>
                <w:color w:val="auto"/>
                <w:kern w:val="0"/>
                <w:sz w:val="24"/>
                <w:szCs w:val="21"/>
              </w:rPr>
              <w:t>联产</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cs="宋体"/>
                <w:bCs/>
                <w:color w:val="auto"/>
                <w:kern w:val="0"/>
                <w:sz w:val="24"/>
                <w:szCs w:val="21"/>
              </w:rPr>
              <w:t>2278</w:t>
            </w:r>
          </w:p>
        </w:tc>
        <w:tc>
          <w:tcPr>
            <w:tcW w:w="806"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r>
              <w:rPr>
                <w:rFonts w:cs="宋体"/>
                <w:bCs/>
                <w:color w:val="auto"/>
                <w:kern w:val="0"/>
                <w:sz w:val="24"/>
                <w:szCs w:val="21"/>
              </w:rPr>
              <w:t>2305</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1185</w:t>
            </w:r>
          </w:p>
        </w:tc>
      </w:tr>
      <w:tr>
        <w:trPr>
          <w:trHeight w:val="278" w:hRule="atLeast"/>
          <w:jc w:val="center"/>
        </w:trPr>
        <w:tc>
          <w:tcPr>
            <w:tcW w:w="78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p>
        </w:tc>
        <w:tc>
          <w:tcPr>
            <w:tcW w:w="978" w:type="pct"/>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燃气</w:t>
            </w:r>
            <w:r>
              <w:rPr>
                <w:rFonts w:cs="宋体"/>
                <w:bCs/>
                <w:color w:val="auto"/>
                <w:kern w:val="0"/>
                <w:sz w:val="24"/>
                <w:szCs w:val="21"/>
              </w:rPr>
              <w:t>锅炉房</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cs="宋体"/>
                <w:bCs/>
                <w:color w:val="auto"/>
                <w:kern w:val="0"/>
                <w:sz w:val="24"/>
                <w:szCs w:val="21"/>
              </w:rPr>
              <w:t>27</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14</w:t>
            </w:r>
          </w:p>
        </w:tc>
      </w:tr>
      <w:tr>
        <w:trPr>
          <w:trHeight w:val="278" w:hRule="atLeast"/>
          <w:jc w:val="center"/>
        </w:trPr>
        <w:tc>
          <w:tcPr>
            <w:tcW w:w="789" w:type="pct"/>
            <w:vMerge w:val="restart"/>
            <w:tcBorders>
              <w:top w:val="single" w:color="auto" w:sz="4" w:space="0"/>
              <w:left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新抚区</w:t>
            </w:r>
          </w:p>
        </w:tc>
        <w:tc>
          <w:tcPr>
            <w:tcW w:w="978" w:type="pct"/>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热电联产</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cs="宋体"/>
                <w:bCs/>
                <w:color w:val="auto"/>
                <w:kern w:val="0"/>
                <w:sz w:val="24"/>
                <w:szCs w:val="21"/>
              </w:rPr>
              <w:t>904</w:t>
            </w:r>
          </w:p>
        </w:tc>
        <w:tc>
          <w:tcPr>
            <w:tcW w:w="806"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r>
              <w:rPr>
                <w:rFonts w:cs="宋体"/>
                <w:bCs/>
                <w:color w:val="auto"/>
                <w:kern w:val="0"/>
                <w:sz w:val="24"/>
                <w:szCs w:val="21"/>
              </w:rPr>
              <w:t>1004</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470</w:t>
            </w:r>
          </w:p>
        </w:tc>
      </w:tr>
      <w:tr>
        <w:trPr>
          <w:trHeight w:val="278" w:hRule="atLeast"/>
          <w:jc w:val="center"/>
        </w:trPr>
        <w:tc>
          <w:tcPr>
            <w:tcW w:w="789" w:type="pct"/>
            <w:vMerge w:val="continue"/>
            <w:tcBorders>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燃煤</w:t>
            </w:r>
            <w:r>
              <w:rPr>
                <w:rFonts w:cs="宋体"/>
                <w:bCs/>
                <w:color w:val="auto"/>
                <w:kern w:val="0"/>
                <w:sz w:val="24"/>
                <w:szCs w:val="21"/>
              </w:rPr>
              <w:t>锅炉房</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100</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52</w:t>
            </w:r>
          </w:p>
        </w:tc>
      </w:tr>
      <w:tr>
        <w:trPr>
          <w:trHeight w:val="187" w:hRule="atLeast"/>
          <w:jc w:val="center"/>
        </w:trPr>
        <w:tc>
          <w:tcPr>
            <w:tcW w:w="789" w:type="pct"/>
            <w:vMerge w:val="restart"/>
            <w:tcBorders>
              <w:top w:val="single" w:color="auto" w:sz="4" w:space="0"/>
              <w:left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望花区</w:t>
            </w:r>
          </w:p>
        </w:tc>
        <w:tc>
          <w:tcPr>
            <w:tcW w:w="978" w:type="pct"/>
            <w:tcBorders>
              <w:top w:val="single" w:color="auto" w:sz="4" w:space="0"/>
              <w:left w:val="single" w:color="auto" w:sz="4" w:space="0"/>
              <w:bottom w:val="single" w:color="auto" w:sz="4" w:space="0"/>
              <w:right w:val="single" w:color="auto" w:sz="4" w:space="0"/>
            </w:tcBorders>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热电联产</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cs="宋体"/>
                <w:bCs/>
                <w:color w:val="auto"/>
                <w:kern w:val="0"/>
                <w:sz w:val="24"/>
                <w:szCs w:val="21"/>
              </w:rPr>
              <w:t>906</w:t>
            </w:r>
          </w:p>
        </w:tc>
        <w:tc>
          <w:tcPr>
            <w:tcW w:w="806"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r>
              <w:rPr>
                <w:rFonts w:cs="宋体"/>
                <w:bCs/>
                <w:color w:val="auto"/>
                <w:kern w:val="0"/>
                <w:sz w:val="24"/>
                <w:szCs w:val="21"/>
              </w:rPr>
              <w:t>1266</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471</w:t>
            </w:r>
          </w:p>
        </w:tc>
      </w:tr>
      <w:tr>
        <w:trPr>
          <w:trHeight w:val="134" w:hRule="atLeast"/>
          <w:jc w:val="center"/>
        </w:trPr>
        <w:tc>
          <w:tcPr>
            <w:tcW w:w="789" w:type="pct"/>
            <w:vMerge w:val="continue"/>
            <w:tcBorders>
              <w:top w:val="single" w:color="auto" w:sz="4" w:space="0"/>
              <w:left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工业余热</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cs="宋体"/>
                <w:bCs/>
                <w:color w:val="auto"/>
                <w:kern w:val="0"/>
                <w:sz w:val="24"/>
                <w:szCs w:val="21"/>
              </w:rPr>
              <w:t>280</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146</w:t>
            </w:r>
          </w:p>
        </w:tc>
      </w:tr>
      <w:tr>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燃煤锅炉房</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cs="宋体"/>
                <w:bCs/>
                <w:color w:val="auto"/>
                <w:kern w:val="0"/>
                <w:sz w:val="24"/>
                <w:szCs w:val="21"/>
              </w:rPr>
              <w:t>80</w:t>
            </w:r>
          </w:p>
        </w:tc>
        <w:tc>
          <w:tcPr>
            <w:tcW w:w="806"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42</w:t>
            </w:r>
          </w:p>
        </w:tc>
      </w:tr>
      <w:tr>
        <w:trPr>
          <w:trHeight w:val="134" w:hRule="atLeast"/>
          <w:jc w:val="center"/>
        </w:trPr>
        <w:tc>
          <w:tcPr>
            <w:tcW w:w="78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auto"/>
              <w:jc w:val="center"/>
              <w:rPr>
                <w:rFonts w:cs="宋体"/>
                <w:bCs/>
                <w:color w:val="auto"/>
                <w:kern w:val="0"/>
                <w:sz w:val="24"/>
                <w:szCs w:val="21"/>
              </w:rPr>
            </w:pPr>
            <w:r>
              <w:rPr>
                <w:rFonts w:hint="eastAsia" w:cs="宋体"/>
                <w:b/>
                <w:bCs/>
                <w:color w:val="auto"/>
                <w:kern w:val="0"/>
                <w:sz w:val="24"/>
                <w:szCs w:val="21"/>
              </w:rPr>
              <w:t>汇总</w:t>
            </w:r>
          </w:p>
        </w:tc>
        <w:tc>
          <w:tcPr>
            <w:tcW w:w="978"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热电联产</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r>
              <w:rPr>
                <w:rFonts w:cs="宋体"/>
                <w:bCs/>
                <w:color w:val="auto"/>
                <w:kern w:val="0"/>
                <w:sz w:val="24"/>
                <w:szCs w:val="21"/>
              </w:rPr>
              <w:t>4729</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2459</w:t>
            </w:r>
          </w:p>
        </w:tc>
      </w:tr>
      <w:tr>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工业</w:t>
            </w:r>
            <w:r>
              <w:rPr>
                <w:rFonts w:cs="宋体"/>
                <w:bCs/>
                <w:color w:val="auto"/>
                <w:kern w:val="0"/>
                <w:sz w:val="24"/>
                <w:szCs w:val="21"/>
              </w:rPr>
              <w:t>余热</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r>
              <w:rPr>
                <w:rFonts w:cs="宋体"/>
                <w:bCs/>
                <w:color w:val="auto"/>
                <w:kern w:val="0"/>
                <w:sz w:val="24"/>
                <w:szCs w:val="21"/>
              </w:rPr>
              <w:t>637</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331</w:t>
            </w:r>
          </w:p>
        </w:tc>
      </w:tr>
      <w:tr>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燃气</w:t>
            </w:r>
            <w:r>
              <w:rPr>
                <w:rFonts w:cs="宋体"/>
                <w:bCs/>
                <w:color w:val="auto"/>
                <w:kern w:val="0"/>
                <w:sz w:val="24"/>
                <w:szCs w:val="21"/>
              </w:rPr>
              <w:t>锅炉房</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r>
              <w:rPr>
                <w:rFonts w:cs="宋体"/>
                <w:bCs/>
                <w:color w:val="auto"/>
                <w:kern w:val="0"/>
                <w:sz w:val="24"/>
                <w:szCs w:val="21"/>
              </w:rPr>
              <w:t>27</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14</w:t>
            </w:r>
          </w:p>
        </w:tc>
      </w:tr>
      <w:tr>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auto"/>
              <w:jc w:val="center"/>
              <w:rPr>
                <w:rFonts w:cs="宋体"/>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r>
              <w:rPr>
                <w:rFonts w:hint="eastAsia" w:cs="宋体"/>
                <w:bCs/>
                <w:color w:val="auto"/>
                <w:kern w:val="0"/>
                <w:sz w:val="24"/>
                <w:szCs w:val="21"/>
              </w:rPr>
              <w:t>燃煤</w:t>
            </w:r>
            <w:r>
              <w:rPr>
                <w:rFonts w:cs="宋体"/>
                <w:bCs/>
                <w:color w:val="auto"/>
                <w:kern w:val="0"/>
                <w:sz w:val="24"/>
                <w:szCs w:val="21"/>
              </w:rPr>
              <w:t>锅炉房</w:t>
            </w:r>
          </w:p>
        </w:tc>
        <w:tc>
          <w:tcPr>
            <w:tcW w:w="1231"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cs="宋体"/>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cs="宋体"/>
                <w:bCs/>
                <w:color w:val="auto"/>
                <w:kern w:val="0"/>
                <w:sz w:val="24"/>
                <w:szCs w:val="21"/>
              </w:rPr>
            </w:pPr>
            <w:r>
              <w:rPr>
                <w:rFonts w:cs="宋体"/>
                <w:bCs/>
                <w:color w:val="auto"/>
                <w:kern w:val="0"/>
                <w:sz w:val="24"/>
                <w:szCs w:val="21"/>
              </w:rPr>
              <w:t>180</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94</w:t>
            </w:r>
          </w:p>
        </w:tc>
      </w:tr>
      <w:tr>
        <w:trPr>
          <w:trHeight w:val="134" w:hRule="atLeast"/>
          <w:jc w:val="center"/>
        </w:trPr>
        <w:tc>
          <w:tcPr>
            <w:tcW w:w="78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cs="宋体"/>
                <w:b/>
                <w:bCs/>
                <w:color w:val="auto"/>
                <w:kern w:val="0"/>
                <w:sz w:val="24"/>
                <w:szCs w:val="21"/>
              </w:rPr>
            </w:pPr>
          </w:p>
        </w:tc>
        <w:tc>
          <w:tcPr>
            <w:tcW w:w="978" w:type="pct"/>
            <w:tcBorders>
              <w:top w:val="single" w:color="auto" w:sz="4" w:space="0"/>
              <w:left w:val="nil"/>
              <w:bottom w:val="single" w:color="auto" w:sz="4" w:space="0"/>
              <w:right w:val="single" w:color="auto" w:sz="4" w:space="0"/>
            </w:tcBorders>
            <w:shd w:val="clear" w:color="auto" w:fill="auto"/>
            <w:vAlign w:val="center"/>
          </w:tcPr>
          <w:p>
            <w:pPr>
              <w:spacing w:line="300" w:lineRule="auto"/>
              <w:jc w:val="center"/>
              <w:rPr>
                <w:rFonts w:cs="宋体"/>
                <w:b/>
                <w:bCs/>
                <w:color w:val="auto"/>
                <w:kern w:val="0"/>
                <w:sz w:val="24"/>
                <w:szCs w:val="21"/>
              </w:rPr>
            </w:pPr>
            <w:r>
              <w:rPr>
                <w:rFonts w:hint="eastAsia" w:cs="宋体"/>
                <w:b/>
                <w:bCs/>
                <w:color w:val="auto"/>
                <w:kern w:val="0"/>
                <w:sz w:val="24"/>
                <w:szCs w:val="21"/>
              </w:rPr>
              <w:t>总计</w:t>
            </w:r>
          </w:p>
        </w:tc>
        <w:tc>
          <w:tcPr>
            <w:tcW w:w="1231" w:type="pct"/>
            <w:tcBorders>
              <w:top w:val="single" w:color="auto" w:sz="4" w:space="0"/>
              <w:left w:val="nil"/>
              <w:bottom w:val="single" w:color="auto" w:sz="4" w:space="0"/>
              <w:right w:val="single" w:color="auto" w:sz="4" w:space="0"/>
            </w:tcBorders>
            <w:shd w:val="clear" w:color="auto" w:fill="auto"/>
            <w:vAlign w:val="center"/>
          </w:tcPr>
          <w:p>
            <w:pPr>
              <w:spacing w:line="300" w:lineRule="auto"/>
              <w:jc w:val="center"/>
              <w:rPr>
                <w:rFonts w:cs="宋体"/>
                <w:b/>
                <w:bCs/>
                <w:color w:val="auto"/>
                <w:kern w:val="0"/>
                <w:sz w:val="24"/>
                <w:szCs w:val="21"/>
              </w:rPr>
            </w:pPr>
          </w:p>
        </w:tc>
        <w:tc>
          <w:tcPr>
            <w:tcW w:w="806" w:type="pct"/>
            <w:tcBorders>
              <w:top w:val="single" w:color="auto" w:sz="4" w:space="0"/>
              <w:left w:val="nil"/>
              <w:bottom w:val="single" w:color="auto" w:sz="4" w:space="0"/>
              <w:right w:val="single" w:color="auto" w:sz="4" w:space="0"/>
            </w:tcBorders>
            <w:shd w:val="clear" w:color="auto" w:fill="auto"/>
            <w:noWrap/>
            <w:vAlign w:val="center"/>
          </w:tcPr>
          <w:p>
            <w:pPr>
              <w:spacing w:line="300" w:lineRule="auto"/>
              <w:jc w:val="center"/>
              <w:rPr>
                <w:rFonts w:cs="宋体"/>
                <w:b/>
                <w:bCs/>
                <w:color w:val="auto"/>
                <w:kern w:val="0"/>
                <w:sz w:val="24"/>
                <w:szCs w:val="21"/>
              </w:rPr>
            </w:pPr>
            <w:r>
              <w:rPr>
                <w:rFonts w:cs="宋体"/>
                <w:b/>
                <w:bCs/>
                <w:color w:val="auto"/>
                <w:kern w:val="0"/>
                <w:sz w:val="24"/>
                <w:szCs w:val="21"/>
              </w:rPr>
              <w:t>5573</w:t>
            </w:r>
          </w:p>
        </w:tc>
        <w:tc>
          <w:tcPr>
            <w:tcW w:w="1196" w:type="pct"/>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4"/>
              </w:rPr>
            </w:pPr>
            <w:r>
              <w:rPr>
                <w:color w:val="auto"/>
                <w:sz w:val="24"/>
              </w:rPr>
              <w:t>2898</w:t>
            </w:r>
          </w:p>
        </w:tc>
      </w:tr>
    </w:tbl>
    <w:p>
      <w:pPr>
        <w:pStyle w:val="19"/>
        <w:keepNext w:val="0"/>
        <w:keepLines w:val="0"/>
        <w:pageBreakBefore w:val="0"/>
        <w:widowControl w:val="0"/>
        <w:kinsoku/>
        <w:wordWrap/>
        <w:overflowPunct/>
        <w:topLinePunct w:val="0"/>
        <w:autoSpaceDE/>
        <w:autoSpaceDN/>
        <w:bidi w:val="0"/>
        <w:adjustRightInd/>
        <w:snapToGrid/>
        <w:spacing w:before="313" w:beforeLines="100" w:line="360" w:lineRule="auto"/>
        <w:ind w:firstLine="562" w:firstLineChars="200"/>
        <w:textAlignment w:val="auto"/>
        <w:outlineLvl w:val="1"/>
        <w:rPr>
          <w:rFonts w:ascii="Times New Roman" w:hAnsi="Times New Roman" w:cs="Times New Roman"/>
          <w:b/>
          <w:color w:val="auto"/>
          <w:sz w:val="28"/>
          <w:szCs w:val="28"/>
        </w:rPr>
      </w:pPr>
      <w:bookmarkStart w:id="15" w:name="_Toc153871674"/>
      <w:bookmarkStart w:id="16" w:name="_Toc252"/>
      <w:r>
        <w:rPr>
          <w:rFonts w:hint="eastAsia" w:ascii="Times New Roman" w:hAnsi="Times New Roman" w:cs="Times New Roman"/>
          <w:b/>
          <w:color w:val="auto"/>
          <w:sz w:val="28"/>
          <w:szCs w:val="28"/>
        </w:rPr>
        <w:t>三、规划</w:t>
      </w:r>
      <w:r>
        <w:rPr>
          <w:rFonts w:ascii="Times New Roman" w:hAnsi="Times New Roman" w:cs="Times New Roman"/>
          <w:b/>
          <w:color w:val="auto"/>
          <w:sz w:val="28"/>
          <w:szCs w:val="28"/>
        </w:rPr>
        <w:t>热负荷</w:t>
      </w:r>
      <w:bookmarkEnd w:id="15"/>
      <w:bookmarkEnd w:id="16"/>
    </w:p>
    <w:p>
      <w:pPr>
        <w:spacing w:line="360" w:lineRule="auto"/>
        <w:ind w:firstLine="560" w:firstLineChars="200"/>
        <w:rPr>
          <w:color w:val="auto"/>
          <w:sz w:val="28"/>
          <w:szCs w:val="28"/>
        </w:rPr>
      </w:pPr>
      <w:r>
        <w:rPr>
          <w:rFonts w:hint="eastAsia"/>
          <w:color w:val="auto"/>
          <w:sz w:val="28"/>
          <w:szCs w:val="28"/>
        </w:rPr>
        <w:t>供热面积发展预测主要是根据总体规划中关于规划分区、人口发展规模、规划用地性质、用地面积等数据，结合当地近几年实际发展速度而确定递增建筑面积指标进行计算，并使用规划预估人口以及人均建筑面积指标（目前全国各城市人均占有建筑面积控制在50㎡/人以下)进行校核，抚顺市供热区规划期建筑面积发展预测见表</w:t>
      </w:r>
      <w:r>
        <w:rPr>
          <w:color w:val="auto"/>
          <w:sz w:val="28"/>
          <w:szCs w:val="28"/>
        </w:rPr>
        <w:t>3</w:t>
      </w:r>
      <w:r>
        <w:rPr>
          <w:rFonts w:hint="eastAsia"/>
          <w:color w:val="auto"/>
          <w:sz w:val="28"/>
          <w:szCs w:val="28"/>
        </w:rPr>
        <w:t>-3</w:t>
      </w:r>
      <w:r>
        <w:rPr>
          <w:color w:val="auto"/>
          <w:sz w:val="28"/>
          <w:szCs w:val="28"/>
        </w:rPr>
        <w:t>-1</w:t>
      </w:r>
      <w:r>
        <w:rPr>
          <w:rFonts w:hint="eastAsia"/>
          <w:color w:val="auto"/>
          <w:sz w:val="28"/>
          <w:szCs w:val="28"/>
        </w:rPr>
        <w:t>,</w:t>
      </w:r>
      <w:r>
        <w:rPr>
          <w:color w:val="auto"/>
          <w:sz w:val="28"/>
          <w:szCs w:val="28"/>
        </w:rPr>
        <w:t>3-3-2</w:t>
      </w:r>
      <w:r>
        <w:rPr>
          <w:rFonts w:hint="eastAsia"/>
          <w:color w:val="auto"/>
          <w:sz w:val="28"/>
          <w:szCs w:val="28"/>
        </w:rPr>
        <w:t>。</w:t>
      </w:r>
    </w:p>
    <w:p>
      <w:pPr>
        <w:spacing w:line="360" w:lineRule="auto"/>
        <w:ind w:firstLine="560" w:firstLineChars="200"/>
        <w:rPr>
          <w:color w:val="auto"/>
          <w:sz w:val="28"/>
          <w:szCs w:val="28"/>
        </w:rPr>
      </w:pPr>
      <w:r>
        <w:rPr>
          <w:rFonts w:hint="eastAsia"/>
          <w:color w:val="auto"/>
          <w:sz w:val="28"/>
          <w:szCs w:val="28"/>
        </w:rPr>
        <w:t>根据2018-2020年的《抚顺市国民经济与社会发展统计公报》的数据，2018年抚顺市房屋竣工面积为99.3万平方米，2019年抚顺市房屋竣工面积为60.4万平方米，2020年抚顺市房屋竣工面积为101.2万平方米，三年平均房屋竣工面积为87万平方米。综合近三年统计数据，规划近期递增建筑面积指标为1.5%、远期为1</w:t>
      </w:r>
      <w:r>
        <w:rPr>
          <w:rFonts w:hint="eastAsia" w:ascii="Times New Roman" w:eastAsia="宋体"/>
          <w:color w:val="auto"/>
          <w:sz w:val="28"/>
          <w:szCs w:val="28"/>
          <w:lang w:val="en-US" w:eastAsia="zh-CN"/>
        </w:rPr>
        <w:t>.5</w:t>
      </w:r>
      <w:r>
        <w:rPr>
          <w:rFonts w:hint="eastAsia"/>
          <w:color w:val="auto"/>
          <w:sz w:val="28"/>
          <w:szCs w:val="28"/>
        </w:rPr>
        <w:t>%。</w:t>
      </w:r>
    </w:p>
    <w:p>
      <w:pPr>
        <w:spacing w:line="360" w:lineRule="auto"/>
        <w:ind w:firstLine="560" w:firstLineChars="200"/>
        <w:rPr>
          <w:color w:val="auto"/>
          <w:sz w:val="28"/>
          <w:szCs w:val="28"/>
        </w:rPr>
      </w:pPr>
      <w:r>
        <w:rPr>
          <w:rFonts w:hint="eastAsia"/>
          <w:color w:val="auto"/>
          <w:sz w:val="28"/>
          <w:szCs w:val="28"/>
        </w:rPr>
        <w:t>2022-2025年建筑面积年递增率按1.015计，到2025年中心城区建筑面积为</w:t>
      </w:r>
      <w:r>
        <w:rPr>
          <w:color w:val="auto"/>
          <w:sz w:val="28"/>
          <w:szCs w:val="28"/>
        </w:rPr>
        <w:t>5915</w:t>
      </w:r>
      <w:r>
        <w:rPr>
          <w:rFonts w:hint="eastAsia"/>
          <w:color w:val="auto"/>
          <w:sz w:val="28"/>
          <w:szCs w:val="28"/>
        </w:rPr>
        <w:t>万平方米。</w:t>
      </w:r>
    </w:p>
    <w:p>
      <w:pPr>
        <w:spacing w:line="360" w:lineRule="auto"/>
        <w:ind w:firstLine="560" w:firstLineChars="200"/>
        <w:rPr>
          <w:color w:val="auto"/>
          <w:sz w:val="28"/>
          <w:szCs w:val="28"/>
        </w:rPr>
      </w:pPr>
      <w:r>
        <w:rPr>
          <w:rFonts w:hint="eastAsia"/>
          <w:color w:val="auto"/>
          <w:sz w:val="28"/>
          <w:szCs w:val="28"/>
        </w:rPr>
        <w:t>2026-203</w:t>
      </w:r>
      <w:r>
        <w:rPr>
          <w:rFonts w:hint="eastAsia" w:ascii="Times New Roman" w:eastAsia="宋体"/>
          <w:color w:val="auto"/>
          <w:sz w:val="28"/>
          <w:szCs w:val="28"/>
          <w:lang w:val="en-US" w:eastAsia="zh-CN"/>
        </w:rPr>
        <w:t>5</w:t>
      </w:r>
      <w:r>
        <w:rPr>
          <w:rFonts w:hint="eastAsia"/>
          <w:color w:val="auto"/>
          <w:sz w:val="28"/>
          <w:szCs w:val="28"/>
        </w:rPr>
        <w:t>年建筑面积年递增率按1.01</w:t>
      </w:r>
      <w:r>
        <w:rPr>
          <w:rFonts w:hint="eastAsia" w:ascii="Times New Roman" w:eastAsia="宋体"/>
          <w:color w:val="auto"/>
          <w:sz w:val="28"/>
          <w:szCs w:val="28"/>
          <w:lang w:val="en-US" w:eastAsia="zh-CN"/>
        </w:rPr>
        <w:t>5</w:t>
      </w:r>
      <w:r>
        <w:rPr>
          <w:rFonts w:hint="eastAsia"/>
          <w:color w:val="auto"/>
          <w:sz w:val="28"/>
          <w:szCs w:val="28"/>
        </w:rPr>
        <w:t>计，到203</w:t>
      </w:r>
      <w:r>
        <w:rPr>
          <w:rFonts w:hint="eastAsia" w:ascii="Times New Roman" w:eastAsia="宋体"/>
          <w:color w:val="auto"/>
          <w:sz w:val="28"/>
          <w:szCs w:val="28"/>
          <w:lang w:val="en-US" w:eastAsia="zh-CN"/>
        </w:rPr>
        <w:t>5</w:t>
      </w:r>
      <w:r>
        <w:rPr>
          <w:rFonts w:hint="eastAsia"/>
          <w:color w:val="auto"/>
          <w:sz w:val="28"/>
          <w:szCs w:val="28"/>
        </w:rPr>
        <w:t>年中心城区建筑面积为</w:t>
      </w:r>
      <w:r>
        <w:rPr>
          <w:color w:val="auto"/>
          <w:sz w:val="28"/>
          <w:szCs w:val="28"/>
        </w:rPr>
        <w:t>6</w:t>
      </w:r>
      <w:r>
        <w:rPr>
          <w:rFonts w:hint="eastAsia" w:ascii="Times New Roman" w:eastAsia="宋体"/>
          <w:color w:val="auto"/>
          <w:sz w:val="28"/>
          <w:szCs w:val="28"/>
          <w:lang w:val="en-US" w:eastAsia="zh-CN"/>
        </w:rPr>
        <w:t>865</w:t>
      </w:r>
      <w:r>
        <w:rPr>
          <w:rFonts w:hint="eastAsia"/>
          <w:color w:val="auto"/>
          <w:sz w:val="28"/>
          <w:szCs w:val="28"/>
        </w:rPr>
        <w:t>万平方米。</w:t>
      </w:r>
    </w:p>
    <w:p>
      <w:pPr>
        <w:pStyle w:val="19"/>
        <w:spacing w:after="240" w:afterLines="100" w:line="360" w:lineRule="auto"/>
        <w:ind w:firstLine="700" w:firstLineChars="250"/>
        <w:jc w:val="center"/>
        <w:rPr>
          <w:rFonts w:hint="eastAsia"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近期规划热负荷统计</w:t>
      </w:r>
      <w:r>
        <w:rPr>
          <w:rFonts w:hint="eastAsia" w:ascii="Times New Roman" w:hAnsi="Times New Roman" w:cs="Times New Roman"/>
          <w:color w:val="auto"/>
          <w:sz w:val="28"/>
          <w:szCs w:val="28"/>
          <w:lang w:eastAsia="zh-CN"/>
        </w:rPr>
        <w:t>表</w:t>
      </w: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 xml:space="preserve"> 表</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rPr>
        <w:t>-3-</w:t>
      </w:r>
      <w:r>
        <w:rPr>
          <w:rFonts w:hint="eastAsia" w:ascii="Times New Roman" w:hAnsi="Times New Roman" w:cs="Times New Roman"/>
          <w:color w:val="auto"/>
          <w:sz w:val="28"/>
          <w:szCs w:val="28"/>
          <w:lang w:val="en-US" w:eastAsia="zh-CN"/>
        </w:rPr>
        <w:t>1</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985"/>
        <w:gridCol w:w="2551"/>
        <w:gridCol w:w="272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828" w:hRule="exact"/>
          <w:tblHeader/>
          <w:jc w:val="center"/>
        </w:trPr>
        <w:tc>
          <w:tcPr>
            <w:tcW w:w="1261"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序号</w:t>
            </w:r>
          </w:p>
        </w:tc>
        <w:tc>
          <w:tcPr>
            <w:tcW w:w="1985"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所在地区</w:t>
            </w:r>
          </w:p>
        </w:tc>
        <w:tc>
          <w:tcPr>
            <w:tcW w:w="2551"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供热面积</w:t>
            </w:r>
          </w:p>
          <w:p>
            <w:pPr>
              <w:widowControl/>
              <w:jc w:val="center"/>
              <w:rPr>
                <w:rFonts w:cs="宋体"/>
                <w:bCs/>
                <w:color w:val="auto"/>
                <w:kern w:val="0"/>
                <w:sz w:val="24"/>
                <w:szCs w:val="21"/>
              </w:rPr>
            </w:pPr>
            <w:r>
              <w:rPr>
                <w:rFonts w:hint="eastAsia" w:cs="宋体"/>
                <w:bCs/>
                <w:color w:val="auto"/>
                <w:kern w:val="0"/>
                <w:sz w:val="24"/>
                <w:szCs w:val="21"/>
              </w:rPr>
              <w:t>（万㎡）</w:t>
            </w:r>
          </w:p>
        </w:tc>
        <w:tc>
          <w:tcPr>
            <w:tcW w:w="2723" w:type="dxa"/>
            <w:shd w:val="clear" w:color="auto" w:fill="auto"/>
            <w:vAlign w:val="center"/>
          </w:tcPr>
          <w:p>
            <w:pPr>
              <w:widowControl/>
              <w:jc w:val="center"/>
              <w:rPr>
                <w:rFonts w:cs="宋体"/>
                <w:bCs/>
                <w:color w:val="auto"/>
                <w:kern w:val="0"/>
                <w:sz w:val="24"/>
                <w:szCs w:val="21"/>
              </w:rPr>
            </w:pPr>
            <w:r>
              <w:rPr>
                <w:rFonts w:hint="eastAsia" w:cs="宋体"/>
                <w:bCs/>
                <w:color w:val="auto"/>
                <w:kern w:val="0"/>
                <w:sz w:val="24"/>
                <w:szCs w:val="21"/>
              </w:rPr>
              <w:t>近期热负荷</w:t>
            </w:r>
          </w:p>
          <w:p>
            <w:pPr>
              <w:widowControl/>
              <w:jc w:val="center"/>
              <w:rPr>
                <w:rFonts w:cs="宋体"/>
                <w:bCs/>
                <w:color w:val="auto"/>
                <w:kern w:val="0"/>
                <w:sz w:val="24"/>
                <w:szCs w:val="21"/>
              </w:rPr>
            </w:pPr>
            <w:r>
              <w:rPr>
                <w:rFonts w:hint="eastAsia" w:cs="宋体"/>
                <w:bCs/>
                <w:color w:val="auto"/>
                <w:kern w:val="0"/>
                <w:sz w:val="24"/>
                <w:szCs w:val="21"/>
              </w:rPr>
              <w:t>（MW）</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25" w:hRule="exact"/>
          <w:jc w:val="center"/>
        </w:trPr>
        <w:tc>
          <w:tcPr>
            <w:tcW w:w="1261"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1</w:t>
            </w:r>
          </w:p>
        </w:tc>
        <w:tc>
          <w:tcPr>
            <w:tcW w:w="1985"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东洲区</w:t>
            </w:r>
          </w:p>
        </w:tc>
        <w:tc>
          <w:tcPr>
            <w:tcW w:w="2551" w:type="dxa"/>
            <w:tcBorders>
              <w:top w:val="single" w:color="auto" w:sz="4" w:space="0"/>
              <w:left w:val="nil"/>
              <w:bottom w:val="single" w:color="auto" w:sz="4" w:space="0"/>
              <w:right w:val="nil"/>
            </w:tcBorders>
            <w:shd w:val="clear" w:color="auto" w:fill="auto"/>
            <w:noWrap/>
            <w:vAlign w:val="center"/>
          </w:tcPr>
          <w:p>
            <w:pPr>
              <w:widowControl/>
              <w:jc w:val="center"/>
              <w:rPr>
                <w:color w:val="auto"/>
                <w:kern w:val="0"/>
                <w:sz w:val="22"/>
                <w:szCs w:val="22"/>
              </w:rPr>
            </w:pPr>
            <w:r>
              <w:rPr>
                <w:rFonts w:hint="eastAsia"/>
                <w:color w:val="auto"/>
                <w:kern w:val="0"/>
                <w:sz w:val="22"/>
                <w:szCs w:val="22"/>
                <w:lang w:val="en-US" w:eastAsia="zh-CN"/>
              </w:rPr>
              <w:t>1107</w:t>
            </w:r>
          </w:p>
        </w:tc>
        <w:tc>
          <w:tcPr>
            <w:tcW w:w="2723" w:type="dxa"/>
            <w:shd w:val="clear" w:color="auto" w:fill="auto"/>
            <w:vAlign w:val="center"/>
          </w:tcPr>
          <w:p>
            <w:pPr>
              <w:widowControl/>
              <w:jc w:val="center"/>
              <w:rPr>
                <w:rFonts w:cs="宋体"/>
                <w:bCs/>
                <w:color w:val="auto"/>
                <w:kern w:val="0"/>
                <w:sz w:val="24"/>
                <w:szCs w:val="21"/>
              </w:rPr>
            </w:pPr>
            <w:r>
              <w:rPr>
                <w:rFonts w:hint="eastAsia" w:cs="宋体"/>
                <w:bCs/>
                <w:color w:val="auto"/>
                <w:kern w:val="0"/>
                <w:sz w:val="24"/>
                <w:szCs w:val="21"/>
              </w:rPr>
              <w:t>4</w:t>
            </w:r>
            <w:r>
              <w:rPr>
                <w:rFonts w:hint="eastAsia" w:cs="宋体"/>
                <w:bCs/>
                <w:color w:val="auto"/>
                <w:kern w:val="0"/>
                <w:sz w:val="24"/>
                <w:szCs w:val="21"/>
                <w:lang w:val="en-US" w:eastAsia="zh-CN"/>
              </w:rPr>
              <w:t>98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25" w:hRule="exact"/>
          <w:jc w:val="center"/>
        </w:trPr>
        <w:tc>
          <w:tcPr>
            <w:tcW w:w="1261"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2</w:t>
            </w:r>
          </w:p>
        </w:tc>
        <w:tc>
          <w:tcPr>
            <w:tcW w:w="1985"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顺城区</w:t>
            </w:r>
          </w:p>
        </w:tc>
        <w:tc>
          <w:tcPr>
            <w:tcW w:w="2551" w:type="dxa"/>
            <w:tcBorders>
              <w:top w:val="single" w:color="auto" w:sz="4" w:space="0"/>
              <w:left w:val="nil"/>
              <w:bottom w:val="single" w:color="auto" w:sz="4" w:space="0"/>
              <w:right w:val="nil"/>
            </w:tcBorders>
            <w:shd w:val="clear" w:color="auto" w:fill="auto"/>
            <w:vAlign w:val="center"/>
          </w:tcPr>
          <w:p>
            <w:pPr>
              <w:jc w:val="center"/>
              <w:rPr>
                <w:color w:val="auto"/>
                <w:sz w:val="22"/>
                <w:szCs w:val="22"/>
              </w:rPr>
            </w:pPr>
            <w:r>
              <w:rPr>
                <w:rFonts w:hint="eastAsia"/>
                <w:color w:val="auto"/>
                <w:sz w:val="22"/>
                <w:szCs w:val="22"/>
                <w:lang w:val="en-US" w:eastAsia="zh-CN"/>
              </w:rPr>
              <w:t>2400</w:t>
            </w:r>
          </w:p>
        </w:tc>
        <w:tc>
          <w:tcPr>
            <w:tcW w:w="272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1080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25" w:hRule="exact"/>
          <w:jc w:val="center"/>
        </w:trPr>
        <w:tc>
          <w:tcPr>
            <w:tcW w:w="1261"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3</w:t>
            </w:r>
          </w:p>
        </w:tc>
        <w:tc>
          <w:tcPr>
            <w:tcW w:w="1985"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新抚区</w:t>
            </w:r>
          </w:p>
        </w:tc>
        <w:tc>
          <w:tcPr>
            <w:tcW w:w="2551" w:type="dxa"/>
            <w:tcBorders>
              <w:top w:val="single" w:color="auto" w:sz="4" w:space="0"/>
              <w:left w:val="nil"/>
              <w:bottom w:val="single" w:color="auto" w:sz="4" w:space="0"/>
              <w:right w:val="nil"/>
            </w:tcBorders>
            <w:shd w:val="clear" w:color="auto" w:fill="auto"/>
            <w:vAlign w:val="center"/>
          </w:tcPr>
          <w:p>
            <w:pPr>
              <w:jc w:val="center"/>
              <w:rPr>
                <w:color w:val="auto"/>
                <w:sz w:val="22"/>
                <w:szCs w:val="22"/>
              </w:rPr>
            </w:pPr>
            <w:r>
              <w:rPr>
                <w:rFonts w:hint="eastAsia"/>
                <w:color w:val="auto"/>
                <w:sz w:val="22"/>
                <w:szCs w:val="22"/>
                <w:lang w:val="en-US" w:eastAsia="zh-CN"/>
              </w:rPr>
              <w:t>1048</w:t>
            </w:r>
          </w:p>
        </w:tc>
        <w:tc>
          <w:tcPr>
            <w:tcW w:w="272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472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25" w:hRule="exact"/>
          <w:jc w:val="center"/>
        </w:trPr>
        <w:tc>
          <w:tcPr>
            <w:tcW w:w="1261"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4</w:t>
            </w:r>
          </w:p>
        </w:tc>
        <w:tc>
          <w:tcPr>
            <w:tcW w:w="1985"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望花区</w:t>
            </w:r>
          </w:p>
        </w:tc>
        <w:tc>
          <w:tcPr>
            <w:tcW w:w="2551" w:type="dxa"/>
            <w:tcBorders>
              <w:top w:val="single" w:color="auto" w:sz="4" w:space="0"/>
              <w:left w:val="nil"/>
              <w:bottom w:val="single" w:color="auto" w:sz="4" w:space="0"/>
              <w:right w:val="nil"/>
            </w:tcBorders>
            <w:shd w:val="clear" w:color="auto" w:fill="auto"/>
            <w:vAlign w:val="center"/>
          </w:tcPr>
          <w:p>
            <w:pPr>
              <w:jc w:val="center"/>
              <w:rPr>
                <w:color w:val="auto"/>
                <w:sz w:val="22"/>
                <w:szCs w:val="22"/>
              </w:rPr>
            </w:pPr>
            <w:r>
              <w:rPr>
                <w:rFonts w:hint="eastAsia"/>
                <w:color w:val="auto"/>
                <w:sz w:val="22"/>
                <w:szCs w:val="22"/>
                <w:lang w:val="en-US" w:eastAsia="zh-CN"/>
              </w:rPr>
              <w:t>1360</w:t>
            </w:r>
          </w:p>
        </w:tc>
        <w:tc>
          <w:tcPr>
            <w:tcW w:w="272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612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25" w:hRule="exact"/>
          <w:jc w:val="center"/>
        </w:trPr>
        <w:tc>
          <w:tcPr>
            <w:tcW w:w="1261" w:type="dxa"/>
            <w:shd w:val="clear" w:color="auto" w:fill="auto"/>
            <w:vAlign w:val="center"/>
          </w:tcPr>
          <w:p>
            <w:pPr>
              <w:widowControl/>
              <w:jc w:val="center"/>
              <w:rPr>
                <w:rFonts w:cs="宋体"/>
                <w:b/>
                <w:color w:val="auto"/>
                <w:kern w:val="0"/>
                <w:sz w:val="24"/>
                <w:szCs w:val="21"/>
              </w:rPr>
            </w:pPr>
            <w:r>
              <w:rPr>
                <w:rFonts w:hint="eastAsia" w:cs="宋体"/>
                <w:b/>
                <w:color w:val="auto"/>
                <w:kern w:val="0"/>
                <w:sz w:val="24"/>
                <w:szCs w:val="21"/>
              </w:rPr>
              <w:t>合计</w:t>
            </w:r>
          </w:p>
        </w:tc>
        <w:tc>
          <w:tcPr>
            <w:tcW w:w="1985" w:type="dxa"/>
            <w:shd w:val="clear" w:color="auto" w:fill="auto"/>
            <w:vAlign w:val="center"/>
          </w:tcPr>
          <w:p>
            <w:pPr>
              <w:widowControl/>
              <w:jc w:val="center"/>
              <w:rPr>
                <w:rFonts w:cs="宋体"/>
                <w:b/>
                <w:color w:val="auto"/>
                <w:kern w:val="0"/>
                <w:sz w:val="24"/>
                <w:szCs w:val="21"/>
              </w:rPr>
            </w:pPr>
          </w:p>
        </w:tc>
        <w:tc>
          <w:tcPr>
            <w:tcW w:w="2551" w:type="dxa"/>
            <w:tcBorders>
              <w:top w:val="single" w:color="auto" w:sz="4" w:space="0"/>
            </w:tcBorders>
            <w:shd w:val="clear" w:color="auto" w:fill="auto"/>
            <w:vAlign w:val="center"/>
          </w:tcPr>
          <w:p>
            <w:pPr>
              <w:widowControl/>
              <w:jc w:val="center"/>
              <w:rPr>
                <w:rFonts w:cs="宋体"/>
                <w:b/>
                <w:color w:val="auto"/>
                <w:kern w:val="0"/>
                <w:sz w:val="24"/>
                <w:szCs w:val="21"/>
                <w:highlight w:val="yellow"/>
              </w:rPr>
            </w:pPr>
            <w:r>
              <w:rPr>
                <w:rFonts w:cs="宋体"/>
                <w:b/>
                <w:color w:val="auto"/>
                <w:kern w:val="0"/>
                <w:sz w:val="24"/>
                <w:szCs w:val="21"/>
              </w:rPr>
              <w:t>5915</w:t>
            </w:r>
          </w:p>
        </w:tc>
        <w:tc>
          <w:tcPr>
            <w:tcW w:w="2723" w:type="dxa"/>
            <w:shd w:val="clear" w:color="auto" w:fill="auto"/>
            <w:vAlign w:val="center"/>
          </w:tcPr>
          <w:p>
            <w:pPr>
              <w:widowControl/>
              <w:jc w:val="center"/>
              <w:rPr>
                <w:rFonts w:cs="宋体"/>
                <w:b/>
                <w:color w:val="auto"/>
                <w:kern w:val="0"/>
                <w:sz w:val="24"/>
                <w:szCs w:val="21"/>
              </w:rPr>
            </w:pPr>
            <w:r>
              <w:rPr>
                <w:rFonts w:cs="宋体"/>
                <w:b/>
                <w:color w:val="auto"/>
                <w:kern w:val="0"/>
                <w:sz w:val="24"/>
                <w:szCs w:val="21"/>
              </w:rPr>
              <w:t>2662</w:t>
            </w:r>
          </w:p>
        </w:tc>
      </w:tr>
    </w:tbl>
    <w:p>
      <w:pPr>
        <w:spacing w:line="360" w:lineRule="auto"/>
        <w:ind w:firstLine="560" w:firstLineChars="200"/>
        <w:rPr>
          <w:color w:val="auto"/>
          <w:sz w:val="28"/>
          <w:szCs w:val="28"/>
        </w:rPr>
      </w:pPr>
    </w:p>
    <w:p>
      <w:pPr>
        <w:spacing w:line="360" w:lineRule="auto"/>
        <w:ind w:firstLine="560" w:firstLineChars="200"/>
        <w:rPr>
          <w:color w:val="auto"/>
          <w:sz w:val="28"/>
          <w:szCs w:val="28"/>
        </w:rPr>
      </w:pPr>
      <w:r>
        <w:rPr>
          <w:rFonts w:hint="eastAsia"/>
          <w:color w:val="auto"/>
          <w:sz w:val="28"/>
          <w:szCs w:val="28"/>
        </w:rPr>
        <w:t>远期到20</w:t>
      </w:r>
      <w:r>
        <w:rPr>
          <w:color w:val="auto"/>
          <w:sz w:val="28"/>
          <w:szCs w:val="28"/>
        </w:rPr>
        <w:t>3</w:t>
      </w:r>
      <w:r>
        <w:rPr>
          <w:rFonts w:hint="eastAsia"/>
          <w:color w:val="auto"/>
          <w:sz w:val="28"/>
          <w:szCs w:val="28"/>
          <w:lang w:val="en-US" w:eastAsia="zh-CN"/>
        </w:rPr>
        <w:t>5</w:t>
      </w:r>
      <w:r>
        <w:rPr>
          <w:rFonts w:hint="eastAsia"/>
          <w:color w:val="auto"/>
          <w:sz w:val="28"/>
          <w:szCs w:val="28"/>
        </w:rPr>
        <w:t>年区域热负荷发展预测如下：</w:t>
      </w:r>
    </w:p>
    <w:p>
      <w:pPr>
        <w:pStyle w:val="19"/>
        <w:spacing w:after="240" w:afterLines="100" w:line="360" w:lineRule="auto"/>
        <w:ind w:firstLine="700" w:firstLineChars="250"/>
        <w:jc w:val="center"/>
        <w:rPr>
          <w:rFonts w:hint="eastAsia"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远期规划热负荷统计</w:t>
      </w:r>
      <w:r>
        <w:rPr>
          <w:rFonts w:hint="eastAsia" w:ascii="Times New Roman" w:hAnsi="Times New Roman" w:cs="Times New Roman"/>
          <w:color w:val="auto"/>
          <w:sz w:val="28"/>
          <w:szCs w:val="28"/>
          <w:lang w:eastAsia="zh-CN"/>
        </w:rPr>
        <w:t>表</w:t>
      </w: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rPr>
        <w:t xml:space="preserve">      表</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rPr>
        <w:t>-3-</w:t>
      </w:r>
      <w:r>
        <w:rPr>
          <w:rFonts w:hint="eastAsia" w:ascii="Times New Roman" w:hAnsi="Times New Roman" w:cs="Times New Roman"/>
          <w:color w:val="auto"/>
          <w:sz w:val="28"/>
          <w:szCs w:val="28"/>
          <w:lang w:val="en-US" w:eastAsia="zh-CN"/>
        </w:rPr>
        <w:t>2</w:t>
      </w: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985"/>
        <w:gridCol w:w="2693"/>
        <w:gridCol w:w="269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824" w:hRule="exact"/>
          <w:tblHeader/>
          <w:jc w:val="center"/>
        </w:trPr>
        <w:tc>
          <w:tcPr>
            <w:tcW w:w="1119"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序号</w:t>
            </w:r>
          </w:p>
        </w:tc>
        <w:tc>
          <w:tcPr>
            <w:tcW w:w="1985"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所在地区</w:t>
            </w:r>
          </w:p>
        </w:tc>
        <w:tc>
          <w:tcPr>
            <w:tcW w:w="2693"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供热面积</w:t>
            </w:r>
          </w:p>
          <w:p>
            <w:pPr>
              <w:widowControl/>
              <w:jc w:val="center"/>
              <w:rPr>
                <w:rFonts w:cs="宋体"/>
                <w:bCs/>
                <w:color w:val="auto"/>
                <w:kern w:val="0"/>
                <w:sz w:val="24"/>
                <w:szCs w:val="21"/>
              </w:rPr>
            </w:pPr>
            <w:r>
              <w:rPr>
                <w:rFonts w:hint="eastAsia" w:cs="宋体"/>
                <w:bCs/>
                <w:color w:val="auto"/>
                <w:kern w:val="0"/>
                <w:sz w:val="24"/>
                <w:szCs w:val="21"/>
              </w:rPr>
              <w:t>（万㎡）</w:t>
            </w:r>
          </w:p>
        </w:tc>
        <w:tc>
          <w:tcPr>
            <w:tcW w:w="2693" w:type="dxa"/>
            <w:shd w:val="clear" w:color="auto" w:fill="auto"/>
            <w:vAlign w:val="center"/>
          </w:tcPr>
          <w:p>
            <w:pPr>
              <w:widowControl/>
              <w:jc w:val="center"/>
              <w:rPr>
                <w:rFonts w:cs="宋体"/>
                <w:bCs/>
                <w:color w:val="auto"/>
                <w:kern w:val="0"/>
                <w:sz w:val="24"/>
                <w:szCs w:val="21"/>
              </w:rPr>
            </w:pPr>
            <w:r>
              <w:rPr>
                <w:rFonts w:hint="eastAsia" w:cs="宋体"/>
                <w:bCs/>
                <w:color w:val="auto"/>
                <w:kern w:val="0"/>
                <w:sz w:val="24"/>
                <w:szCs w:val="21"/>
              </w:rPr>
              <w:t>远期热负荷</w:t>
            </w:r>
          </w:p>
          <w:p>
            <w:pPr>
              <w:widowControl/>
              <w:jc w:val="center"/>
              <w:rPr>
                <w:rFonts w:cs="宋体"/>
                <w:bCs/>
                <w:color w:val="auto"/>
                <w:kern w:val="0"/>
                <w:sz w:val="24"/>
                <w:szCs w:val="21"/>
              </w:rPr>
            </w:pPr>
            <w:r>
              <w:rPr>
                <w:rFonts w:hint="eastAsia" w:cs="宋体"/>
                <w:bCs/>
                <w:color w:val="auto"/>
                <w:kern w:val="0"/>
                <w:sz w:val="24"/>
                <w:szCs w:val="21"/>
              </w:rPr>
              <w:t>（MW）</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1119"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1</w:t>
            </w:r>
          </w:p>
        </w:tc>
        <w:tc>
          <w:tcPr>
            <w:tcW w:w="1985"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rPr>
              <w:t>东洲区</w:t>
            </w:r>
          </w:p>
        </w:tc>
        <w:tc>
          <w:tcPr>
            <w:tcW w:w="2693" w:type="dxa"/>
            <w:shd w:val="clear" w:color="auto" w:fill="auto"/>
            <w:noWrap/>
            <w:vAlign w:val="center"/>
          </w:tcPr>
          <w:p>
            <w:pPr>
              <w:widowControl/>
              <w:jc w:val="center"/>
              <w:rPr>
                <w:rFonts w:cs="宋体"/>
                <w:bCs/>
                <w:color w:val="auto"/>
                <w:kern w:val="0"/>
                <w:sz w:val="24"/>
                <w:szCs w:val="21"/>
              </w:rPr>
            </w:pPr>
            <w:r>
              <w:rPr>
                <w:rFonts w:hint="eastAsia" w:cs="宋体"/>
                <w:bCs/>
                <w:color w:val="auto"/>
                <w:kern w:val="0"/>
                <w:sz w:val="24"/>
                <w:szCs w:val="21"/>
                <w:lang w:val="en-US" w:eastAsia="zh-CN"/>
              </w:rPr>
              <w:t>1285</w:t>
            </w:r>
          </w:p>
        </w:tc>
        <w:tc>
          <w:tcPr>
            <w:tcW w:w="2693" w:type="dxa"/>
            <w:shd w:val="clear" w:color="auto" w:fill="auto"/>
            <w:vAlign w:val="center"/>
          </w:tcPr>
          <w:p>
            <w:pPr>
              <w:widowControl/>
              <w:jc w:val="center"/>
              <w:rPr>
                <w:rFonts w:cs="宋体"/>
                <w:bCs/>
                <w:color w:val="auto"/>
                <w:kern w:val="0"/>
                <w:sz w:val="24"/>
                <w:szCs w:val="21"/>
              </w:rPr>
            </w:pPr>
            <w:r>
              <w:rPr>
                <w:rFonts w:hint="eastAsia" w:cs="宋体"/>
                <w:bCs/>
                <w:color w:val="auto"/>
                <w:kern w:val="0"/>
                <w:sz w:val="24"/>
                <w:szCs w:val="21"/>
                <w:lang w:val="en-US" w:eastAsia="zh-CN"/>
              </w:rPr>
              <w:t>514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1119"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2</w:t>
            </w:r>
          </w:p>
        </w:tc>
        <w:tc>
          <w:tcPr>
            <w:tcW w:w="1985"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顺城区</w:t>
            </w:r>
          </w:p>
        </w:tc>
        <w:tc>
          <w:tcPr>
            <w:tcW w:w="269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2786</w:t>
            </w:r>
          </w:p>
        </w:tc>
        <w:tc>
          <w:tcPr>
            <w:tcW w:w="269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1115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1119"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3</w:t>
            </w:r>
          </w:p>
        </w:tc>
        <w:tc>
          <w:tcPr>
            <w:tcW w:w="1985"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新抚区</w:t>
            </w:r>
          </w:p>
        </w:tc>
        <w:tc>
          <w:tcPr>
            <w:tcW w:w="269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1216</w:t>
            </w:r>
          </w:p>
        </w:tc>
        <w:tc>
          <w:tcPr>
            <w:tcW w:w="269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486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1119"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4</w:t>
            </w:r>
          </w:p>
        </w:tc>
        <w:tc>
          <w:tcPr>
            <w:tcW w:w="1985"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rPr>
              <w:t>望花区</w:t>
            </w:r>
          </w:p>
        </w:tc>
        <w:tc>
          <w:tcPr>
            <w:tcW w:w="269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1578</w:t>
            </w:r>
          </w:p>
        </w:tc>
        <w:tc>
          <w:tcPr>
            <w:tcW w:w="2693" w:type="dxa"/>
            <w:shd w:val="clear" w:color="auto" w:fill="auto"/>
            <w:vAlign w:val="center"/>
          </w:tcPr>
          <w:p>
            <w:pPr>
              <w:widowControl/>
              <w:jc w:val="center"/>
              <w:rPr>
                <w:rFonts w:cs="宋体"/>
                <w:color w:val="auto"/>
                <w:kern w:val="0"/>
                <w:sz w:val="24"/>
                <w:szCs w:val="21"/>
              </w:rPr>
            </w:pPr>
            <w:r>
              <w:rPr>
                <w:rFonts w:hint="eastAsia" w:cs="宋体"/>
                <w:color w:val="auto"/>
                <w:kern w:val="0"/>
                <w:sz w:val="24"/>
                <w:szCs w:val="21"/>
                <w:lang w:val="en-US" w:eastAsia="zh-CN"/>
              </w:rPr>
              <w:t>631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1119" w:type="dxa"/>
            <w:shd w:val="clear" w:color="auto" w:fill="auto"/>
            <w:vAlign w:val="center"/>
          </w:tcPr>
          <w:p>
            <w:pPr>
              <w:widowControl/>
              <w:jc w:val="center"/>
              <w:rPr>
                <w:rFonts w:cs="宋体"/>
                <w:b/>
                <w:color w:val="auto"/>
                <w:kern w:val="0"/>
                <w:sz w:val="24"/>
                <w:szCs w:val="21"/>
              </w:rPr>
            </w:pPr>
            <w:r>
              <w:rPr>
                <w:rFonts w:hint="eastAsia" w:cs="宋体"/>
                <w:b/>
                <w:color w:val="auto"/>
                <w:kern w:val="0"/>
                <w:sz w:val="24"/>
                <w:szCs w:val="21"/>
              </w:rPr>
              <w:t>合计</w:t>
            </w:r>
          </w:p>
        </w:tc>
        <w:tc>
          <w:tcPr>
            <w:tcW w:w="1985" w:type="dxa"/>
            <w:shd w:val="clear" w:color="auto" w:fill="auto"/>
            <w:vAlign w:val="center"/>
          </w:tcPr>
          <w:p>
            <w:pPr>
              <w:widowControl/>
              <w:jc w:val="center"/>
              <w:rPr>
                <w:rFonts w:cs="宋体"/>
                <w:b/>
                <w:color w:val="auto"/>
                <w:kern w:val="0"/>
                <w:sz w:val="24"/>
                <w:szCs w:val="21"/>
              </w:rPr>
            </w:pPr>
          </w:p>
        </w:tc>
        <w:tc>
          <w:tcPr>
            <w:tcW w:w="2693" w:type="dxa"/>
            <w:shd w:val="clear" w:color="auto" w:fill="auto"/>
            <w:vAlign w:val="center"/>
          </w:tcPr>
          <w:p>
            <w:pPr>
              <w:widowControl/>
              <w:jc w:val="center"/>
              <w:rPr>
                <w:rFonts w:cs="宋体"/>
                <w:b/>
                <w:color w:val="auto"/>
                <w:kern w:val="0"/>
                <w:sz w:val="24"/>
                <w:szCs w:val="21"/>
              </w:rPr>
            </w:pPr>
            <w:r>
              <w:rPr>
                <w:rFonts w:hint="eastAsia" w:cs="宋体"/>
                <w:b/>
                <w:color w:val="auto"/>
                <w:kern w:val="0"/>
                <w:sz w:val="24"/>
                <w:szCs w:val="21"/>
                <w:lang w:val="en-US" w:eastAsia="zh-CN"/>
              </w:rPr>
              <w:t>6865</w:t>
            </w:r>
          </w:p>
        </w:tc>
        <w:tc>
          <w:tcPr>
            <w:tcW w:w="2693" w:type="dxa"/>
            <w:shd w:val="clear" w:color="auto" w:fill="auto"/>
            <w:vAlign w:val="center"/>
          </w:tcPr>
          <w:p>
            <w:pPr>
              <w:widowControl/>
              <w:jc w:val="center"/>
              <w:rPr>
                <w:rFonts w:cs="宋体"/>
                <w:b/>
                <w:color w:val="auto"/>
                <w:kern w:val="0"/>
                <w:sz w:val="24"/>
                <w:szCs w:val="21"/>
              </w:rPr>
            </w:pPr>
            <w:r>
              <w:rPr>
                <w:rFonts w:hint="eastAsia" w:cs="宋体"/>
                <w:b/>
                <w:color w:val="auto"/>
                <w:kern w:val="0"/>
                <w:sz w:val="24"/>
                <w:szCs w:val="21"/>
              </w:rPr>
              <w:t>2</w:t>
            </w:r>
            <w:r>
              <w:rPr>
                <w:rFonts w:hint="eastAsia" w:cs="宋体"/>
                <w:b/>
                <w:color w:val="auto"/>
                <w:kern w:val="0"/>
                <w:sz w:val="24"/>
                <w:szCs w:val="21"/>
                <w:lang w:val="en-US" w:eastAsia="zh-CN"/>
              </w:rPr>
              <w:t>746</w:t>
            </w:r>
          </w:p>
        </w:tc>
      </w:tr>
    </w:tbl>
    <w:p>
      <w:pPr>
        <w:widowControl/>
        <w:spacing w:line="360" w:lineRule="auto"/>
        <w:jc w:val="left"/>
        <w:rPr>
          <w:b/>
          <w:color w:val="auto"/>
          <w:sz w:val="28"/>
          <w:szCs w:val="28"/>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b/>
          <w:color w:val="auto"/>
          <w:sz w:val="30"/>
          <w:szCs w:val="32"/>
        </w:rPr>
      </w:pPr>
      <w:r>
        <w:rPr>
          <w:b/>
          <w:color w:val="auto"/>
          <w:sz w:val="28"/>
          <w:szCs w:val="28"/>
        </w:rPr>
        <w:br w:type="page"/>
      </w:r>
      <w:bookmarkStart w:id="17" w:name="_Toc14700"/>
      <w:r>
        <w:rPr>
          <w:b/>
          <w:color w:val="auto"/>
          <w:sz w:val="30"/>
          <w:szCs w:val="32"/>
        </w:rPr>
        <w:t>第</w:t>
      </w:r>
      <w:r>
        <w:rPr>
          <w:rFonts w:hint="eastAsia"/>
          <w:b/>
          <w:color w:val="auto"/>
          <w:sz w:val="30"/>
          <w:szCs w:val="32"/>
        </w:rPr>
        <w:t>三</w:t>
      </w:r>
      <w:r>
        <w:rPr>
          <w:b/>
          <w:color w:val="auto"/>
          <w:sz w:val="30"/>
          <w:szCs w:val="32"/>
        </w:rPr>
        <w:t>章</w:t>
      </w:r>
      <w:r>
        <w:rPr>
          <w:rFonts w:hint="eastAsia"/>
          <w:b/>
          <w:color w:val="auto"/>
          <w:sz w:val="30"/>
          <w:szCs w:val="32"/>
        </w:rPr>
        <w:t xml:space="preserve">  供热方式与供热分区</w:t>
      </w:r>
      <w:bookmarkEnd w:id="17"/>
    </w:p>
    <w:p>
      <w:pPr>
        <w:pStyle w:val="19"/>
        <w:spacing w:line="360" w:lineRule="auto"/>
        <w:ind w:firstLine="562" w:firstLineChars="200"/>
        <w:outlineLvl w:val="1"/>
        <w:rPr>
          <w:b/>
          <w:color w:val="auto"/>
          <w:sz w:val="28"/>
          <w:szCs w:val="28"/>
        </w:rPr>
      </w:pPr>
      <w:bookmarkStart w:id="18" w:name="_Toc27059"/>
      <w:r>
        <w:rPr>
          <w:rFonts w:hint="eastAsia" w:ascii="Times New Roman" w:hAnsi="Times New Roman" w:cs="Times New Roman"/>
          <w:b/>
          <w:color w:val="auto"/>
          <w:sz w:val="28"/>
          <w:szCs w:val="28"/>
        </w:rPr>
        <w:t>一、供热方式</w:t>
      </w:r>
      <w:bookmarkEnd w:id="18"/>
    </w:p>
    <w:p>
      <w:pPr>
        <w:pStyle w:val="19"/>
        <w:spacing w:line="360" w:lineRule="auto"/>
        <w:ind w:firstLine="562" w:firstLineChars="200"/>
        <w:outlineLvl w:val="1"/>
        <w:rPr>
          <w:rFonts w:ascii="Times New Roman" w:hAnsi="Times New Roman" w:cs="Times New Roman"/>
          <w:b/>
          <w:color w:val="auto"/>
          <w:sz w:val="28"/>
          <w:szCs w:val="28"/>
        </w:rPr>
      </w:pPr>
      <w:bookmarkStart w:id="19" w:name="_Toc17933"/>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.1 供热方式类别</w:t>
      </w:r>
      <w:bookmarkEnd w:id="19"/>
    </w:p>
    <w:p>
      <w:pPr>
        <w:spacing w:line="360" w:lineRule="auto"/>
        <w:ind w:firstLine="560" w:firstLineChars="200"/>
        <w:rPr>
          <w:color w:val="auto"/>
          <w:sz w:val="28"/>
          <w:szCs w:val="28"/>
        </w:rPr>
      </w:pPr>
      <w:r>
        <w:rPr>
          <w:rFonts w:hint="eastAsia"/>
          <w:color w:val="auto"/>
          <w:sz w:val="28"/>
          <w:szCs w:val="28"/>
        </w:rPr>
        <w:t>（1）能源形式主要有化石燃料（煤炭）、清洁能源（天然气、太阳能、风能、电能）等方式。</w:t>
      </w:r>
    </w:p>
    <w:p>
      <w:pPr>
        <w:spacing w:line="360" w:lineRule="auto"/>
        <w:ind w:firstLine="560" w:firstLineChars="200"/>
        <w:rPr>
          <w:color w:val="auto"/>
          <w:sz w:val="28"/>
          <w:szCs w:val="28"/>
        </w:rPr>
      </w:pPr>
      <w:r>
        <w:rPr>
          <w:rFonts w:hint="eastAsia"/>
          <w:color w:val="auto"/>
          <w:sz w:val="28"/>
          <w:szCs w:val="28"/>
        </w:rPr>
        <w:t>（2）按供热规模区分集中供热和分散供热二种方式。</w:t>
      </w:r>
    </w:p>
    <w:p>
      <w:pPr>
        <w:spacing w:line="360" w:lineRule="auto"/>
        <w:ind w:firstLine="560" w:firstLineChars="200"/>
        <w:rPr>
          <w:color w:val="auto"/>
          <w:sz w:val="28"/>
          <w:szCs w:val="28"/>
        </w:rPr>
      </w:pPr>
      <w:r>
        <w:rPr>
          <w:rFonts w:hint="eastAsia"/>
          <w:color w:val="auto"/>
          <w:sz w:val="28"/>
          <w:szCs w:val="28"/>
        </w:rPr>
        <w:t>（3）按管网运行方式分为连续供热和间歇供热两种方式。</w:t>
      </w:r>
    </w:p>
    <w:p>
      <w:pPr>
        <w:pStyle w:val="19"/>
        <w:spacing w:line="360" w:lineRule="auto"/>
        <w:ind w:firstLine="562" w:firstLineChars="200"/>
        <w:outlineLvl w:val="1"/>
        <w:rPr>
          <w:rFonts w:ascii="Times New Roman" w:hAnsi="Times New Roman" w:cs="Times New Roman"/>
          <w:b/>
          <w:color w:val="auto"/>
          <w:sz w:val="28"/>
          <w:szCs w:val="28"/>
        </w:rPr>
      </w:pPr>
      <w:bookmarkStart w:id="20" w:name="_Toc15267"/>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.2 供热方式选择原则</w:t>
      </w:r>
      <w:bookmarkEnd w:id="20"/>
    </w:p>
    <w:p>
      <w:pPr>
        <w:spacing w:line="360" w:lineRule="auto"/>
        <w:ind w:firstLine="560" w:firstLineChars="200"/>
        <w:rPr>
          <w:color w:val="auto"/>
          <w:sz w:val="28"/>
          <w:szCs w:val="28"/>
        </w:rPr>
      </w:pPr>
      <w:r>
        <w:rPr>
          <w:rFonts w:hint="eastAsia"/>
          <w:color w:val="auto"/>
          <w:sz w:val="28"/>
          <w:szCs w:val="28"/>
        </w:rPr>
        <w:t>（1）充分合理利用规划区域内现有资源与设施，优先以大型热电机组为主热源，在合理供热半径内覆盖小型热电机组及燃煤锅炉房的供热区域；同时根据热负荷需求、调峰热源位置、热源能力、设备健康状况及运行经济性等综合研判，确定调峰和备用热源的启动顺序。</w:t>
      </w:r>
    </w:p>
    <w:p>
      <w:pPr>
        <w:spacing w:line="360" w:lineRule="auto"/>
        <w:ind w:firstLine="560" w:firstLineChars="200"/>
        <w:rPr>
          <w:color w:val="auto"/>
          <w:sz w:val="28"/>
          <w:szCs w:val="28"/>
        </w:rPr>
      </w:pPr>
      <w:r>
        <w:rPr>
          <w:rFonts w:hint="eastAsia"/>
          <w:color w:val="auto"/>
          <w:sz w:val="28"/>
          <w:szCs w:val="28"/>
        </w:rPr>
        <w:t>（2）遵循“集中为主、分散为辅”，“宜煤则煤、宜电则电、宜气则气”的原则；在有冷热需求的公共建筑（包括政府机关、医院、学校、车站等）及</w:t>
      </w:r>
      <w:r>
        <w:rPr>
          <w:rFonts w:hint="eastAsia"/>
          <w:color w:val="auto"/>
          <w:sz w:val="28"/>
          <w:szCs w:val="28"/>
          <w:lang w:eastAsia="zh-CN"/>
        </w:rPr>
        <w:t>城乡接合部</w:t>
      </w:r>
      <w:r>
        <w:rPr>
          <w:rFonts w:hint="eastAsia"/>
          <w:color w:val="auto"/>
          <w:sz w:val="28"/>
          <w:szCs w:val="28"/>
        </w:rPr>
        <w:t>、城中村等集中供热难以覆盖区域，推广地源热泵、燃气供暖等清洁供暖方式。</w:t>
      </w:r>
    </w:p>
    <w:p>
      <w:pPr>
        <w:spacing w:line="360" w:lineRule="auto"/>
        <w:ind w:firstLine="560" w:firstLineChars="200"/>
        <w:rPr>
          <w:color w:val="auto"/>
          <w:sz w:val="28"/>
          <w:szCs w:val="28"/>
        </w:rPr>
      </w:pPr>
      <w:r>
        <w:rPr>
          <w:rFonts w:hint="eastAsia"/>
          <w:color w:val="auto"/>
          <w:sz w:val="28"/>
          <w:szCs w:val="28"/>
        </w:rPr>
        <w:t>（3）结合供热区域内规划建设实际情况，保障供热系统安全稳定运行。</w:t>
      </w:r>
    </w:p>
    <w:p>
      <w:pPr>
        <w:pStyle w:val="19"/>
        <w:spacing w:line="360" w:lineRule="auto"/>
        <w:ind w:firstLine="562" w:firstLineChars="200"/>
        <w:outlineLvl w:val="1"/>
        <w:rPr>
          <w:rFonts w:ascii="Times New Roman" w:hAnsi="Times New Roman" w:cs="Times New Roman"/>
          <w:b/>
          <w:color w:val="auto"/>
          <w:sz w:val="28"/>
          <w:szCs w:val="28"/>
        </w:rPr>
      </w:pPr>
      <w:bookmarkStart w:id="21" w:name="_Toc1125"/>
      <w:r>
        <w:rPr>
          <w:rFonts w:ascii="Times New Roman" w:hAnsi="Times New Roman" w:cs="Times New Roman"/>
          <w:b/>
          <w:color w:val="auto"/>
          <w:sz w:val="28"/>
          <w:szCs w:val="28"/>
        </w:rPr>
        <w:t xml:space="preserve">1.3 </w:t>
      </w:r>
      <w:r>
        <w:rPr>
          <w:rFonts w:hint="eastAsia" w:ascii="Times New Roman" w:hAnsi="Times New Roman" w:cs="Times New Roman"/>
          <w:b/>
          <w:color w:val="auto"/>
          <w:sz w:val="28"/>
          <w:szCs w:val="28"/>
        </w:rPr>
        <w:t>供热方式确定</w:t>
      </w:r>
      <w:bookmarkEnd w:id="21"/>
      <w:r>
        <w:rPr>
          <w:rFonts w:hint="eastAsia" w:ascii="Times New Roman" w:hAnsi="Times New Roman" w:cs="Times New Roman"/>
          <w:b/>
          <w:color w:val="auto"/>
          <w:sz w:val="28"/>
          <w:szCs w:val="28"/>
        </w:rPr>
        <w:t xml:space="preserve"> </w:t>
      </w:r>
    </w:p>
    <w:p>
      <w:pPr>
        <w:spacing w:line="360" w:lineRule="auto"/>
        <w:ind w:firstLine="560" w:firstLineChars="200"/>
        <w:rPr>
          <w:color w:val="auto"/>
          <w:sz w:val="28"/>
          <w:szCs w:val="28"/>
        </w:rPr>
      </w:pPr>
      <w:r>
        <w:rPr>
          <w:rFonts w:hint="eastAsia"/>
          <w:color w:val="auto"/>
          <w:sz w:val="28"/>
          <w:szCs w:val="28"/>
        </w:rPr>
        <w:t>规划近期：优先利用以超低排放的燃煤热电联产、超低排放或达标排放的大型燃煤锅炉、工业余热为主，局部使用燃气供暖。城区已建成热源企业共</w:t>
      </w:r>
      <w:r>
        <w:rPr>
          <w:color w:val="auto"/>
          <w:sz w:val="28"/>
          <w:szCs w:val="28"/>
        </w:rPr>
        <w:t>8</w:t>
      </w:r>
      <w:r>
        <w:rPr>
          <w:rFonts w:hint="eastAsia"/>
          <w:color w:val="auto"/>
          <w:sz w:val="28"/>
          <w:szCs w:val="28"/>
        </w:rPr>
        <w:t>家。热电联产企业</w:t>
      </w:r>
      <w:r>
        <w:rPr>
          <w:color w:val="auto"/>
          <w:sz w:val="28"/>
          <w:szCs w:val="28"/>
        </w:rPr>
        <w:t>3</w:t>
      </w:r>
      <w:r>
        <w:rPr>
          <w:rFonts w:hint="eastAsia"/>
          <w:color w:val="auto"/>
          <w:sz w:val="28"/>
          <w:szCs w:val="28"/>
        </w:rPr>
        <w:t>家，工业余热企业</w:t>
      </w:r>
      <w:r>
        <w:rPr>
          <w:color w:val="auto"/>
          <w:sz w:val="28"/>
          <w:szCs w:val="28"/>
        </w:rPr>
        <w:t>3</w:t>
      </w:r>
      <w:r>
        <w:rPr>
          <w:rFonts w:hint="eastAsia"/>
          <w:color w:val="auto"/>
          <w:sz w:val="28"/>
          <w:szCs w:val="28"/>
        </w:rPr>
        <w:t>家，燃煤企业</w:t>
      </w:r>
      <w:r>
        <w:rPr>
          <w:color w:val="auto"/>
          <w:sz w:val="28"/>
          <w:szCs w:val="28"/>
        </w:rPr>
        <w:t>1</w:t>
      </w:r>
      <w:r>
        <w:rPr>
          <w:rFonts w:hint="eastAsia"/>
          <w:color w:val="auto"/>
          <w:sz w:val="28"/>
          <w:szCs w:val="28"/>
        </w:rPr>
        <w:t>家，燃气供热企业1家。</w:t>
      </w:r>
    </w:p>
    <w:p>
      <w:pPr>
        <w:spacing w:line="360" w:lineRule="auto"/>
        <w:ind w:firstLine="560" w:firstLineChars="200"/>
        <w:rPr>
          <w:color w:val="auto"/>
          <w:sz w:val="28"/>
          <w:szCs w:val="28"/>
        </w:rPr>
      </w:pPr>
      <w:r>
        <w:rPr>
          <w:rFonts w:hint="eastAsia"/>
          <w:color w:val="auto"/>
          <w:sz w:val="28"/>
          <w:szCs w:val="28"/>
        </w:rPr>
        <w:t>①抚顺矿业中机热电有限责任公司：厂内现有 2×1025t/h炉，配2×300MW 机组，并配有 6×60MW 电蓄热锅炉，2017年建成并正式投产运行。供热面积为1795万平方米。</w:t>
      </w:r>
    </w:p>
    <w:p>
      <w:pPr>
        <w:spacing w:line="360" w:lineRule="auto"/>
        <w:ind w:firstLine="560" w:firstLineChars="200"/>
        <w:rPr>
          <w:color w:val="auto"/>
          <w:sz w:val="28"/>
          <w:szCs w:val="28"/>
        </w:rPr>
      </w:pPr>
      <w:r>
        <w:rPr>
          <w:rFonts w:hint="eastAsia"/>
          <w:color w:val="auto"/>
          <w:sz w:val="28"/>
          <w:szCs w:val="28"/>
        </w:rPr>
        <w:t>②国家电投集团东北公司抚顺热电分公司：厂内现有 2×1025t/h 炉，配 2×300MW 机组，并配有 4×40MW 电蓄热锅炉，</w:t>
      </w:r>
      <w:r>
        <w:rPr>
          <w:color w:val="auto"/>
          <w:sz w:val="28"/>
          <w:szCs w:val="28"/>
        </w:rPr>
        <w:t>2008</w:t>
      </w:r>
      <w:r>
        <w:rPr>
          <w:rFonts w:hint="eastAsia"/>
          <w:color w:val="auto"/>
          <w:sz w:val="28"/>
          <w:szCs w:val="28"/>
        </w:rPr>
        <w:t>年建成并正式投产运行。供热面积为</w:t>
      </w:r>
      <w:r>
        <w:rPr>
          <w:color w:val="auto"/>
          <w:sz w:val="28"/>
          <w:szCs w:val="28"/>
        </w:rPr>
        <w:t>1507</w:t>
      </w:r>
      <w:r>
        <w:rPr>
          <w:rFonts w:hint="eastAsia"/>
          <w:color w:val="auto"/>
          <w:sz w:val="28"/>
          <w:szCs w:val="28"/>
        </w:rPr>
        <w:t>万平方米。</w:t>
      </w:r>
    </w:p>
    <w:p>
      <w:pPr>
        <w:spacing w:line="360" w:lineRule="auto"/>
        <w:ind w:firstLine="560" w:firstLineChars="200"/>
        <w:rPr>
          <w:color w:val="auto"/>
          <w:sz w:val="28"/>
          <w:szCs w:val="28"/>
        </w:rPr>
      </w:pPr>
      <w:r>
        <w:rPr>
          <w:rFonts w:hint="eastAsia"/>
          <w:color w:val="auto"/>
          <w:sz w:val="28"/>
          <w:szCs w:val="28"/>
        </w:rPr>
        <w:t>③辽宁东方发电有限公司：厂内现有 2×1165t/h 炉，配 2×350MW 机组，2005 年投产正式运行，并于 2013 年改为打孔抽汽供热机组。供热面积为1</w:t>
      </w:r>
      <w:r>
        <w:rPr>
          <w:color w:val="auto"/>
          <w:sz w:val="28"/>
          <w:szCs w:val="28"/>
        </w:rPr>
        <w:t>516</w:t>
      </w:r>
      <w:r>
        <w:rPr>
          <w:rFonts w:hint="eastAsia"/>
          <w:color w:val="auto"/>
          <w:sz w:val="28"/>
          <w:szCs w:val="28"/>
        </w:rPr>
        <w:t>万平方米。</w:t>
      </w:r>
    </w:p>
    <w:p>
      <w:pPr>
        <w:spacing w:line="360" w:lineRule="auto"/>
        <w:ind w:firstLine="560" w:firstLineChars="200"/>
        <w:rPr>
          <w:color w:val="auto"/>
          <w:sz w:val="28"/>
          <w:szCs w:val="28"/>
        </w:rPr>
      </w:pPr>
      <w:r>
        <w:rPr>
          <w:rFonts w:hint="eastAsia"/>
          <w:color w:val="auto"/>
          <w:sz w:val="28"/>
          <w:szCs w:val="28"/>
        </w:rPr>
        <w:t>④抚顺新钢铁有限责任公司：利用工业余热，供热面积为</w:t>
      </w:r>
      <w:r>
        <w:rPr>
          <w:color w:val="auto"/>
          <w:sz w:val="28"/>
          <w:szCs w:val="28"/>
        </w:rPr>
        <w:t>230</w:t>
      </w:r>
      <w:r>
        <w:rPr>
          <w:rFonts w:hint="eastAsia"/>
          <w:color w:val="auto"/>
          <w:sz w:val="28"/>
          <w:szCs w:val="28"/>
        </w:rPr>
        <w:t>万平方米。</w:t>
      </w:r>
    </w:p>
    <w:p>
      <w:pPr>
        <w:spacing w:line="360" w:lineRule="auto"/>
        <w:ind w:firstLine="560" w:firstLineChars="200"/>
        <w:rPr>
          <w:color w:val="auto"/>
          <w:sz w:val="28"/>
          <w:szCs w:val="28"/>
        </w:rPr>
      </w:pPr>
      <w:r>
        <w:rPr>
          <w:rFonts w:hint="eastAsia"/>
          <w:color w:val="auto"/>
          <w:sz w:val="28"/>
          <w:szCs w:val="28"/>
        </w:rPr>
        <w:t>⑤抚矿油母页岩炼油厂：利用工业余热，供热面积为</w:t>
      </w:r>
      <w:r>
        <w:rPr>
          <w:color w:val="auto"/>
          <w:sz w:val="28"/>
          <w:szCs w:val="28"/>
        </w:rPr>
        <w:t>357</w:t>
      </w:r>
      <w:r>
        <w:rPr>
          <w:rFonts w:hint="eastAsia"/>
          <w:color w:val="auto"/>
          <w:sz w:val="28"/>
          <w:szCs w:val="28"/>
        </w:rPr>
        <w:t>万平方米。</w:t>
      </w:r>
    </w:p>
    <w:p>
      <w:pPr>
        <w:spacing w:line="360" w:lineRule="auto"/>
        <w:ind w:firstLine="560" w:firstLineChars="200"/>
        <w:rPr>
          <w:color w:val="auto"/>
          <w:sz w:val="28"/>
          <w:szCs w:val="28"/>
        </w:rPr>
      </w:pPr>
      <w:r>
        <w:rPr>
          <w:rFonts w:hint="eastAsia"/>
          <w:color w:val="auto"/>
          <w:sz w:val="28"/>
          <w:szCs w:val="28"/>
        </w:rPr>
        <w:t>⑥抚矿坑口油厂：利用工业余热，供热面积为</w:t>
      </w:r>
      <w:r>
        <w:rPr>
          <w:color w:val="auto"/>
          <w:sz w:val="28"/>
          <w:szCs w:val="28"/>
        </w:rPr>
        <w:t>50</w:t>
      </w:r>
      <w:r>
        <w:rPr>
          <w:rFonts w:hint="eastAsia"/>
          <w:color w:val="auto"/>
          <w:sz w:val="28"/>
          <w:szCs w:val="28"/>
        </w:rPr>
        <w:t>万平方米。</w:t>
      </w:r>
    </w:p>
    <w:p>
      <w:pPr>
        <w:spacing w:line="360" w:lineRule="auto"/>
        <w:ind w:firstLine="560" w:firstLineChars="200"/>
        <w:rPr>
          <w:color w:val="auto"/>
          <w:sz w:val="28"/>
          <w:szCs w:val="28"/>
        </w:rPr>
      </w:pPr>
      <w:r>
        <w:rPr>
          <w:rFonts w:hint="eastAsia"/>
          <w:color w:val="auto"/>
          <w:sz w:val="28"/>
          <w:szCs w:val="28"/>
        </w:rPr>
        <w:t>⑦抚顺城南热电有限公司：锅炉规模：2台100吨/小时燃煤锅炉，供热面积为180万平方米。</w:t>
      </w:r>
    </w:p>
    <w:p>
      <w:pPr>
        <w:spacing w:line="360" w:lineRule="auto"/>
        <w:ind w:firstLine="560" w:firstLineChars="200"/>
        <w:rPr>
          <w:color w:val="auto"/>
          <w:sz w:val="28"/>
          <w:szCs w:val="28"/>
        </w:rPr>
      </w:pPr>
      <w:r>
        <w:rPr>
          <w:rFonts w:hint="eastAsia"/>
          <w:color w:val="auto"/>
          <w:sz w:val="28"/>
          <w:szCs w:val="28"/>
        </w:rPr>
        <w:t>⑧抚顺中燃城市燃气发展有限公司：利用燃气供热，供热面积为27万平方米。</w:t>
      </w:r>
    </w:p>
    <w:p>
      <w:pPr>
        <w:pStyle w:val="19"/>
        <w:numPr>
          <w:ilvl w:val="0"/>
          <w:numId w:val="3"/>
        </w:numPr>
        <w:spacing w:line="360" w:lineRule="auto"/>
        <w:ind w:firstLine="562" w:firstLineChars="200"/>
        <w:outlineLvl w:val="1"/>
        <w:rPr>
          <w:rFonts w:hint="eastAsia" w:ascii="Times New Roman" w:hAnsi="Times New Roman" w:cs="Times New Roman"/>
          <w:b/>
          <w:color w:val="auto"/>
          <w:sz w:val="28"/>
          <w:szCs w:val="28"/>
        </w:rPr>
      </w:pPr>
      <w:bookmarkStart w:id="22" w:name="_Toc4415"/>
      <w:r>
        <w:rPr>
          <w:rFonts w:hint="eastAsia" w:ascii="Times New Roman" w:hAnsi="Times New Roman" w:cs="Times New Roman"/>
          <w:b/>
          <w:color w:val="auto"/>
          <w:sz w:val="28"/>
          <w:szCs w:val="28"/>
        </w:rPr>
        <w:t>供热分区</w:t>
      </w:r>
      <w:bookmarkEnd w:id="22"/>
    </w:p>
    <w:p>
      <w:pPr>
        <w:spacing w:line="360" w:lineRule="auto"/>
        <w:ind w:firstLine="560" w:firstLineChars="200"/>
        <w:rPr>
          <w:b/>
          <w:color w:val="auto"/>
          <w:sz w:val="28"/>
          <w:szCs w:val="28"/>
        </w:rPr>
      </w:pPr>
      <w:r>
        <w:rPr>
          <w:color w:val="auto"/>
          <w:sz w:val="28"/>
          <w:szCs w:val="28"/>
        </w:rPr>
        <w:t>根据资料统计，截</w:t>
      </w:r>
      <w:r>
        <w:rPr>
          <w:rFonts w:hint="eastAsia"/>
          <w:color w:val="auto"/>
          <w:sz w:val="28"/>
          <w:szCs w:val="28"/>
        </w:rPr>
        <w:t>至</w:t>
      </w:r>
      <w:r>
        <w:rPr>
          <w:color w:val="auto"/>
          <w:sz w:val="28"/>
          <w:szCs w:val="28"/>
        </w:rPr>
        <w:t>2021年底，抚顺市城区现有民用建筑供热面积5573万平方米，</w:t>
      </w:r>
      <w:r>
        <w:rPr>
          <w:rFonts w:hint="eastAsia"/>
          <w:color w:val="auto"/>
          <w:sz w:val="28"/>
          <w:szCs w:val="28"/>
        </w:rPr>
        <w:t>其中热电联产供热面积为4729万平方米，工业余热供热面积为637万平方米，热水锅炉房供热面积为180万平方米，由其它分散清洁能源供采暖面积约27万平方米，</w:t>
      </w:r>
      <w:r>
        <w:rPr>
          <w:color w:val="auto"/>
          <w:sz w:val="28"/>
          <w:szCs w:val="28"/>
        </w:rPr>
        <w:t>市区供热企业</w:t>
      </w:r>
      <w:r>
        <w:rPr>
          <w:rFonts w:hint="eastAsia"/>
          <w:color w:val="auto"/>
          <w:sz w:val="28"/>
          <w:szCs w:val="28"/>
        </w:rPr>
        <w:t>28家</w:t>
      </w:r>
      <w:r>
        <w:rPr>
          <w:color w:val="auto"/>
          <w:sz w:val="28"/>
          <w:szCs w:val="28"/>
        </w:rPr>
        <w:t>。</w:t>
      </w:r>
    </w:p>
    <w:p>
      <w:pPr>
        <w:spacing w:line="360" w:lineRule="auto"/>
        <w:ind w:firstLine="560" w:firstLineChars="200"/>
        <w:rPr>
          <w:color w:val="auto"/>
          <w:sz w:val="28"/>
          <w:szCs w:val="28"/>
        </w:rPr>
      </w:pPr>
      <w:r>
        <w:rPr>
          <w:color w:val="auto"/>
          <w:sz w:val="28"/>
          <w:szCs w:val="28"/>
        </w:rPr>
        <w:t>根据抚顺市现有热负荷分布情况以及各个城区近期建筑开发总体规划，综合考虑现有供暖热源单位的能力及管网布局，将抚顺市城区供热共划分为</w:t>
      </w:r>
      <w:r>
        <w:rPr>
          <w:rFonts w:hint="eastAsia"/>
          <w:color w:val="auto"/>
          <w:sz w:val="28"/>
          <w:szCs w:val="28"/>
        </w:rPr>
        <w:t>七</w:t>
      </w:r>
      <w:r>
        <w:rPr>
          <w:color w:val="auto"/>
          <w:sz w:val="28"/>
          <w:szCs w:val="28"/>
        </w:rPr>
        <w:t>大供热区域，其中热电联产</w:t>
      </w:r>
      <w:r>
        <w:rPr>
          <w:rFonts w:hint="eastAsia"/>
          <w:color w:val="auto"/>
          <w:sz w:val="28"/>
          <w:szCs w:val="28"/>
        </w:rPr>
        <w:t>供热</w:t>
      </w:r>
      <w:r>
        <w:rPr>
          <w:color w:val="auto"/>
          <w:sz w:val="28"/>
          <w:szCs w:val="28"/>
        </w:rPr>
        <w:t>覆盖6个区域，大型区域性锅炉房供热覆盖4个区域。供暖热源包括3座热电联产企业、1座大型区域锅炉房</w:t>
      </w:r>
      <w:r>
        <w:rPr>
          <w:rFonts w:hint="eastAsia"/>
          <w:color w:val="auto"/>
          <w:sz w:val="28"/>
          <w:szCs w:val="28"/>
        </w:rPr>
        <w:t>、</w:t>
      </w:r>
      <w:r>
        <w:rPr>
          <w:color w:val="auto"/>
          <w:sz w:val="28"/>
          <w:szCs w:val="28"/>
        </w:rPr>
        <w:t>3家工业余热热源，</w:t>
      </w:r>
      <w:r>
        <w:rPr>
          <w:rFonts w:hint="eastAsia"/>
          <w:color w:val="auto"/>
          <w:sz w:val="28"/>
          <w:szCs w:val="28"/>
        </w:rPr>
        <w:t>1家</w:t>
      </w:r>
      <w:r>
        <w:rPr>
          <w:color w:val="auto"/>
          <w:sz w:val="28"/>
          <w:szCs w:val="28"/>
        </w:rPr>
        <w:t>燃气供热企业。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b/>
          <w:color w:val="auto"/>
          <w:sz w:val="28"/>
          <w:szCs w:val="28"/>
        </w:rPr>
      </w:pPr>
      <w:bookmarkStart w:id="23" w:name="_Toc19006"/>
      <w:r>
        <w:rPr>
          <w:b/>
          <w:color w:val="auto"/>
          <w:sz w:val="28"/>
          <w:szCs w:val="28"/>
        </w:rPr>
        <w:t>2</w:t>
      </w:r>
      <w:r>
        <w:rPr>
          <w:rFonts w:hint="eastAsia"/>
          <w:b/>
          <w:color w:val="auto"/>
          <w:sz w:val="28"/>
          <w:szCs w:val="28"/>
        </w:rPr>
        <w:t>.1 一分区：东洲地区</w:t>
      </w:r>
      <w:bookmarkEnd w:id="2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 w:val="28"/>
          <w:szCs w:val="28"/>
        </w:rPr>
      </w:pPr>
      <w:r>
        <w:rPr>
          <w:rFonts w:hint="eastAsia"/>
          <w:color w:val="auto"/>
          <w:sz w:val="28"/>
          <w:szCs w:val="28"/>
        </w:rPr>
        <w:t>东洲绥化路地区、东洲大街地区、阿金沟地区、龙凤搭连、天湖桥以南东环大道以东地区为一个供热分区，热源为辽宁东方发电有限公司。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 w:val="28"/>
          <w:szCs w:val="28"/>
        </w:rPr>
      </w:pPr>
      <w:r>
        <w:rPr>
          <w:rFonts w:hint="eastAsia"/>
          <w:color w:val="auto"/>
          <w:sz w:val="28"/>
          <w:szCs w:val="28"/>
        </w:rPr>
        <w:t>近期规划到2025年：供热面积达</w:t>
      </w:r>
      <w:r>
        <w:rPr>
          <w:rFonts w:hint="eastAsia" w:ascii="Times New Roman" w:eastAsia="宋体"/>
          <w:color w:val="auto"/>
          <w:sz w:val="28"/>
          <w:szCs w:val="28"/>
          <w:lang w:val="en-US" w:eastAsia="zh-CN"/>
        </w:rPr>
        <w:t>600</w:t>
      </w:r>
      <w:r>
        <w:rPr>
          <w:rFonts w:hint="eastAsia"/>
          <w:color w:val="auto"/>
          <w:sz w:val="28"/>
          <w:szCs w:val="28"/>
        </w:rPr>
        <w:t>万平方米，设计热负荷达</w:t>
      </w:r>
      <w:r>
        <w:rPr>
          <w:rFonts w:hint="eastAsia" w:ascii="Times New Roman" w:eastAsia="宋体"/>
          <w:color w:val="auto"/>
          <w:sz w:val="28"/>
          <w:szCs w:val="28"/>
          <w:lang w:val="en-US" w:eastAsia="zh-CN"/>
        </w:rPr>
        <w:t>270</w:t>
      </w:r>
      <w:r>
        <w:rPr>
          <w:rFonts w:hint="eastAsia"/>
          <w:color w:val="auto"/>
          <w:sz w:val="28"/>
          <w:szCs w:val="28"/>
        </w:rPr>
        <w:t>MW。</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 w:val="28"/>
          <w:szCs w:val="28"/>
        </w:rPr>
      </w:pPr>
      <w:r>
        <w:rPr>
          <w:rFonts w:hint="eastAsia"/>
          <w:color w:val="auto"/>
          <w:sz w:val="28"/>
          <w:szCs w:val="28"/>
        </w:rPr>
        <w:t>远期规划到203</w:t>
      </w:r>
      <w:r>
        <w:rPr>
          <w:rFonts w:hint="eastAsia" w:ascii="Times New Roman" w:eastAsia="宋体"/>
          <w:color w:val="auto"/>
          <w:sz w:val="28"/>
          <w:szCs w:val="28"/>
          <w:lang w:val="en-US" w:eastAsia="zh-CN"/>
        </w:rPr>
        <w:t>5</w:t>
      </w:r>
      <w:r>
        <w:rPr>
          <w:rFonts w:hint="eastAsia"/>
          <w:color w:val="auto"/>
          <w:sz w:val="28"/>
          <w:szCs w:val="28"/>
        </w:rPr>
        <w:t>年：供热面积达</w:t>
      </w:r>
      <w:r>
        <w:rPr>
          <w:rFonts w:hint="eastAsia" w:ascii="Times New Roman" w:eastAsia="宋体"/>
          <w:color w:val="auto"/>
          <w:sz w:val="28"/>
          <w:szCs w:val="28"/>
          <w:lang w:val="en-US" w:eastAsia="zh-CN"/>
        </w:rPr>
        <w:t>7</w:t>
      </w:r>
      <w:r>
        <w:rPr>
          <w:color w:val="auto"/>
          <w:sz w:val="28"/>
          <w:szCs w:val="28"/>
        </w:rPr>
        <w:t>27</w:t>
      </w:r>
      <w:r>
        <w:rPr>
          <w:rFonts w:hint="eastAsia"/>
          <w:color w:val="auto"/>
          <w:sz w:val="28"/>
          <w:szCs w:val="28"/>
        </w:rPr>
        <w:t>万平方米，设计热负荷达</w:t>
      </w:r>
      <w:r>
        <w:rPr>
          <w:color w:val="auto"/>
          <w:sz w:val="28"/>
          <w:szCs w:val="28"/>
        </w:rPr>
        <w:t>2</w:t>
      </w:r>
      <w:r>
        <w:rPr>
          <w:rFonts w:hint="eastAsia" w:ascii="Times New Roman" w:eastAsia="宋体"/>
          <w:color w:val="auto"/>
          <w:sz w:val="28"/>
          <w:szCs w:val="28"/>
          <w:lang w:val="en-US" w:eastAsia="zh-CN"/>
        </w:rPr>
        <w:t>9</w:t>
      </w:r>
      <w:r>
        <w:rPr>
          <w:color w:val="auto"/>
          <w:sz w:val="28"/>
          <w:szCs w:val="28"/>
        </w:rPr>
        <w:t>0.8</w:t>
      </w:r>
      <w:r>
        <w:rPr>
          <w:rFonts w:hint="eastAsia"/>
          <w:color w:val="auto"/>
          <w:sz w:val="28"/>
          <w:szCs w:val="28"/>
        </w:rPr>
        <w:t>MW。</w:t>
      </w:r>
      <w:r>
        <w:rPr>
          <w:color w:val="auto"/>
          <w:sz w:val="28"/>
          <w:szCs w:val="28"/>
        </w:rPr>
        <w:t>利用</w:t>
      </w:r>
      <w:r>
        <w:rPr>
          <w:rFonts w:hint="eastAsia"/>
          <w:color w:val="auto"/>
          <w:sz w:val="28"/>
          <w:szCs w:val="28"/>
        </w:rPr>
        <w:t>现</w:t>
      </w:r>
      <w:r>
        <w:rPr>
          <w:color w:val="auto"/>
          <w:sz w:val="28"/>
          <w:szCs w:val="28"/>
        </w:rPr>
        <w:t>有管网</w:t>
      </w:r>
      <w:r>
        <w:rPr>
          <w:rFonts w:hint="eastAsia"/>
          <w:color w:val="auto"/>
          <w:sz w:val="28"/>
          <w:szCs w:val="28"/>
        </w:rPr>
        <w:t>对</w:t>
      </w:r>
      <w:r>
        <w:rPr>
          <w:color w:val="auto"/>
          <w:sz w:val="28"/>
          <w:szCs w:val="28"/>
        </w:rPr>
        <w:t>东洲及龙凤</w:t>
      </w:r>
      <w:r>
        <w:rPr>
          <w:rFonts w:hint="eastAsia"/>
          <w:color w:val="auto"/>
          <w:sz w:val="28"/>
          <w:szCs w:val="28"/>
        </w:rPr>
        <w:t>地区</w:t>
      </w:r>
      <w:r>
        <w:rPr>
          <w:color w:val="auto"/>
          <w:sz w:val="28"/>
          <w:szCs w:val="28"/>
        </w:rPr>
        <w:t>供热</w:t>
      </w:r>
      <w:r>
        <w:rPr>
          <w:rFonts w:hint="eastAsia"/>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sz w:val="28"/>
          <w:szCs w:val="28"/>
        </w:rPr>
      </w:pPr>
      <w:r>
        <w:rPr>
          <w:rFonts w:hint="eastAsia"/>
          <w:color w:val="auto"/>
          <w:sz w:val="28"/>
          <w:szCs w:val="28"/>
        </w:rPr>
        <w:t>东北商贸城30万平方米为远期燃气炉供暖。</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4" w:name="_Toc454"/>
      <w:r>
        <w:rPr>
          <w:b/>
          <w:color w:val="auto"/>
          <w:sz w:val="28"/>
          <w:szCs w:val="28"/>
        </w:rPr>
        <w:t>2</w:t>
      </w:r>
      <w:r>
        <w:rPr>
          <w:rFonts w:hint="eastAsia"/>
          <w:b/>
          <w:color w:val="auto"/>
          <w:sz w:val="28"/>
          <w:szCs w:val="28"/>
        </w:rPr>
        <w:t>.2 二分区：章党、城东新区</w:t>
      </w:r>
      <w:bookmarkEnd w:id="24"/>
    </w:p>
    <w:p>
      <w:pPr>
        <w:spacing w:line="540" w:lineRule="exact"/>
        <w:ind w:firstLine="560" w:firstLineChars="200"/>
        <w:rPr>
          <w:color w:val="auto"/>
          <w:sz w:val="28"/>
          <w:szCs w:val="28"/>
        </w:rPr>
      </w:pPr>
      <w:r>
        <w:rPr>
          <w:rFonts w:hint="eastAsia"/>
          <w:color w:val="auto"/>
          <w:sz w:val="28"/>
          <w:szCs w:val="28"/>
        </w:rPr>
        <w:t>章党地区、城东新区、前甸地区、顺城区前岭工业园区作为一个供热分区，热源为辽宁东方发电有限公司。</w:t>
      </w:r>
    </w:p>
    <w:p>
      <w:pPr>
        <w:spacing w:line="540" w:lineRule="exact"/>
        <w:ind w:firstLine="560" w:firstLineChars="200"/>
        <w:rPr>
          <w:color w:val="auto"/>
          <w:sz w:val="28"/>
          <w:szCs w:val="28"/>
        </w:rPr>
      </w:pPr>
      <w:r>
        <w:rPr>
          <w:rFonts w:hint="eastAsia"/>
          <w:color w:val="auto"/>
          <w:sz w:val="28"/>
          <w:szCs w:val="28"/>
        </w:rPr>
        <w:t>近期规划到2025年：规划新增供热面积达100万平方米，供热总面积达</w:t>
      </w:r>
      <w:r>
        <w:rPr>
          <w:color w:val="auto"/>
          <w:sz w:val="28"/>
          <w:szCs w:val="28"/>
        </w:rPr>
        <w:t>1</w:t>
      </w:r>
      <w:r>
        <w:rPr>
          <w:rFonts w:hint="eastAsia" w:ascii="Times New Roman" w:eastAsia="宋体"/>
          <w:color w:val="auto"/>
          <w:sz w:val="28"/>
          <w:szCs w:val="28"/>
          <w:lang w:val="en-US" w:eastAsia="zh-CN"/>
        </w:rPr>
        <w:t>046</w:t>
      </w:r>
      <w:r>
        <w:rPr>
          <w:rFonts w:hint="eastAsia"/>
          <w:color w:val="auto"/>
          <w:sz w:val="28"/>
          <w:szCs w:val="28"/>
        </w:rPr>
        <w:t>万平方米，利用辽宁东方发电有限公司在2017年、2019年对1、2号机组分别进行低压缸零出力改造，增加供热能力，2021年9月完成2号机低压缸零出力改造后，最大供热能力</w:t>
      </w:r>
      <w:r>
        <w:rPr>
          <w:color w:val="auto"/>
          <w:sz w:val="28"/>
          <w:szCs w:val="28"/>
        </w:rPr>
        <w:t>921</w:t>
      </w:r>
      <w:r>
        <w:rPr>
          <w:rFonts w:hint="eastAsia"/>
          <w:color w:val="auto"/>
          <w:sz w:val="28"/>
          <w:szCs w:val="28"/>
        </w:rPr>
        <w:t>MW。承担章党地区、前甸地区、城东新区、河东地区供热。</w:t>
      </w:r>
    </w:p>
    <w:p>
      <w:pPr>
        <w:spacing w:line="540" w:lineRule="exact"/>
        <w:ind w:firstLine="560" w:firstLineChars="200"/>
        <w:rPr>
          <w:color w:val="auto"/>
          <w:sz w:val="28"/>
          <w:szCs w:val="28"/>
        </w:rPr>
      </w:pPr>
      <w:r>
        <w:rPr>
          <w:rFonts w:hint="eastAsia"/>
          <w:color w:val="auto"/>
          <w:sz w:val="28"/>
          <w:szCs w:val="28"/>
        </w:rPr>
        <w:t>远期规划到203</w:t>
      </w:r>
      <w:r>
        <w:rPr>
          <w:rFonts w:hint="eastAsia" w:ascii="Times New Roman" w:eastAsia="宋体"/>
          <w:color w:val="auto"/>
          <w:sz w:val="28"/>
          <w:szCs w:val="28"/>
          <w:lang w:val="en-US" w:eastAsia="zh-CN"/>
        </w:rPr>
        <w:t>5</w:t>
      </w:r>
      <w:r>
        <w:rPr>
          <w:rFonts w:hint="eastAsia"/>
          <w:color w:val="auto"/>
          <w:sz w:val="28"/>
          <w:szCs w:val="28"/>
        </w:rPr>
        <w:t>年：规划新增供热面积达</w:t>
      </w:r>
      <w:r>
        <w:rPr>
          <w:rFonts w:hint="eastAsia" w:ascii="Times New Roman" w:eastAsia="宋体"/>
          <w:color w:val="auto"/>
          <w:sz w:val="28"/>
          <w:szCs w:val="28"/>
          <w:lang w:val="en-US" w:eastAsia="zh-CN"/>
        </w:rPr>
        <w:t>323</w:t>
      </w:r>
      <w:r>
        <w:rPr>
          <w:rFonts w:hint="eastAsia"/>
          <w:color w:val="auto"/>
          <w:sz w:val="28"/>
          <w:szCs w:val="28"/>
        </w:rPr>
        <w:t>万平方米，供热总面积达</w:t>
      </w:r>
      <w:r>
        <w:rPr>
          <w:rFonts w:hint="eastAsia" w:ascii="Times New Roman" w:eastAsia="宋体"/>
          <w:color w:val="auto"/>
          <w:sz w:val="28"/>
          <w:szCs w:val="28"/>
          <w:lang w:val="en-US" w:eastAsia="zh-CN"/>
        </w:rPr>
        <w:t>1268</w:t>
      </w:r>
      <w:r>
        <w:rPr>
          <w:rFonts w:hint="eastAsia"/>
          <w:color w:val="auto"/>
          <w:sz w:val="28"/>
          <w:szCs w:val="28"/>
        </w:rPr>
        <w:t>万平方米</w:t>
      </w:r>
      <w:r>
        <w:rPr>
          <w:rFonts w:hint="eastAsia" w:eastAsia="宋体"/>
          <w:color w:val="auto"/>
          <w:sz w:val="28"/>
          <w:szCs w:val="28"/>
          <w:lang w:eastAsia="zh-CN"/>
        </w:rPr>
        <w:t>，设计热负荷达</w:t>
      </w:r>
      <w:r>
        <w:rPr>
          <w:rFonts w:hint="eastAsia" w:ascii="Times New Roman" w:eastAsia="宋体"/>
          <w:color w:val="auto"/>
          <w:sz w:val="28"/>
          <w:szCs w:val="28"/>
          <w:lang w:val="en-US" w:eastAsia="zh-CN"/>
        </w:rPr>
        <w:t>507.6</w:t>
      </w:r>
      <w:r>
        <w:rPr>
          <w:rFonts w:hint="eastAsia" w:eastAsia="宋体"/>
          <w:color w:val="auto"/>
          <w:sz w:val="28"/>
          <w:szCs w:val="28"/>
          <w:lang w:eastAsia="zh-CN"/>
        </w:rPr>
        <w:t>MW</w:t>
      </w:r>
      <w:r>
        <w:rPr>
          <w:rFonts w:hint="eastAsia"/>
          <w:color w:val="auto"/>
          <w:sz w:val="28"/>
          <w:szCs w:val="28"/>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5" w:name="_Toc28689"/>
      <w:r>
        <w:rPr>
          <w:b/>
          <w:color w:val="auto"/>
          <w:sz w:val="28"/>
          <w:szCs w:val="28"/>
        </w:rPr>
        <w:t>2</w:t>
      </w:r>
      <w:r>
        <w:rPr>
          <w:rFonts w:hint="eastAsia"/>
          <w:b/>
          <w:color w:val="auto"/>
          <w:sz w:val="28"/>
          <w:szCs w:val="28"/>
        </w:rPr>
        <w:t>.3 三分区：新华、河东地区</w:t>
      </w:r>
      <w:bookmarkEnd w:id="25"/>
    </w:p>
    <w:p>
      <w:pPr>
        <w:spacing w:line="540" w:lineRule="exact"/>
        <w:ind w:firstLine="700" w:firstLineChars="250"/>
        <w:rPr>
          <w:color w:val="auto"/>
          <w:sz w:val="28"/>
          <w:szCs w:val="28"/>
        </w:rPr>
      </w:pPr>
      <w:r>
        <w:rPr>
          <w:rFonts w:hint="eastAsia"/>
          <w:color w:val="auto"/>
          <w:sz w:val="28"/>
          <w:szCs w:val="28"/>
        </w:rPr>
        <w:t>河东地区、新华、北站地区为一个供热分区，热源为国电投集团东北公司抚顺热电分公司。</w:t>
      </w:r>
    </w:p>
    <w:p>
      <w:pPr>
        <w:spacing w:line="540" w:lineRule="exact"/>
        <w:ind w:firstLine="560" w:firstLineChars="200"/>
        <w:rPr>
          <w:color w:val="auto"/>
          <w:sz w:val="28"/>
          <w:szCs w:val="28"/>
        </w:rPr>
      </w:pPr>
      <w:r>
        <w:rPr>
          <w:rFonts w:hint="eastAsia"/>
          <w:color w:val="auto"/>
          <w:sz w:val="28"/>
          <w:szCs w:val="28"/>
        </w:rPr>
        <w:t>近期规划到2025年：该分区供热面积达</w:t>
      </w:r>
      <w:r>
        <w:rPr>
          <w:rFonts w:hint="eastAsia"/>
          <w:color w:val="auto"/>
          <w:sz w:val="28"/>
          <w:szCs w:val="28"/>
          <w:lang w:val="en-US" w:eastAsia="zh-CN"/>
        </w:rPr>
        <w:t>500</w:t>
      </w:r>
      <w:r>
        <w:rPr>
          <w:rFonts w:hint="eastAsia"/>
          <w:color w:val="auto"/>
          <w:sz w:val="28"/>
          <w:szCs w:val="28"/>
        </w:rPr>
        <w:t>万平方米，设计热负荷为</w:t>
      </w:r>
      <w:r>
        <w:rPr>
          <w:color w:val="auto"/>
          <w:sz w:val="28"/>
          <w:szCs w:val="28"/>
        </w:rPr>
        <w:t>2</w:t>
      </w:r>
      <w:r>
        <w:rPr>
          <w:rFonts w:hint="eastAsia"/>
          <w:color w:val="auto"/>
          <w:sz w:val="28"/>
          <w:szCs w:val="28"/>
          <w:lang w:val="en-US" w:eastAsia="zh-CN"/>
        </w:rPr>
        <w:t>25</w:t>
      </w:r>
      <w:r>
        <w:rPr>
          <w:rFonts w:hint="eastAsia"/>
          <w:color w:val="auto"/>
          <w:sz w:val="28"/>
          <w:szCs w:val="28"/>
        </w:rPr>
        <w:t>MW，抚顺热电分公司热网与新东供暖公司热源出口主干线连通。规划在新东供暖公司院内计划建设一座隔压站，将新东热电一级网与抚热电一级网分开运行。</w:t>
      </w:r>
    </w:p>
    <w:p>
      <w:pPr>
        <w:spacing w:line="540" w:lineRule="exact"/>
        <w:ind w:firstLine="560" w:firstLineChars="200"/>
        <w:rPr>
          <w:color w:val="auto"/>
          <w:sz w:val="28"/>
          <w:szCs w:val="28"/>
        </w:rPr>
      </w:pPr>
      <w:r>
        <w:rPr>
          <w:rFonts w:hint="eastAsia"/>
          <w:color w:val="auto"/>
          <w:sz w:val="28"/>
          <w:szCs w:val="28"/>
        </w:rPr>
        <w:t>远期规划到203</w:t>
      </w:r>
      <w:r>
        <w:rPr>
          <w:rFonts w:hint="eastAsia"/>
          <w:color w:val="auto"/>
          <w:sz w:val="28"/>
          <w:szCs w:val="28"/>
          <w:lang w:val="en-US" w:eastAsia="zh-CN"/>
        </w:rPr>
        <w:t>5</w:t>
      </w:r>
      <w:r>
        <w:rPr>
          <w:rFonts w:hint="eastAsia"/>
          <w:color w:val="auto"/>
          <w:sz w:val="28"/>
          <w:szCs w:val="28"/>
        </w:rPr>
        <w:t>年：该分区供热面积达</w:t>
      </w:r>
      <w:r>
        <w:rPr>
          <w:rFonts w:hint="eastAsia"/>
          <w:color w:val="auto"/>
          <w:sz w:val="28"/>
          <w:szCs w:val="28"/>
          <w:lang w:val="en-US" w:eastAsia="zh-CN"/>
        </w:rPr>
        <w:t>57</w:t>
      </w:r>
      <w:r>
        <w:rPr>
          <w:rFonts w:hint="eastAsia"/>
          <w:color w:val="auto"/>
          <w:sz w:val="28"/>
          <w:szCs w:val="28"/>
        </w:rPr>
        <w:t>0万平方米，设计热负荷为</w:t>
      </w:r>
      <w:r>
        <w:rPr>
          <w:color w:val="auto"/>
          <w:sz w:val="28"/>
          <w:szCs w:val="28"/>
        </w:rPr>
        <w:t>2</w:t>
      </w:r>
      <w:r>
        <w:rPr>
          <w:rFonts w:hint="eastAsia"/>
          <w:color w:val="auto"/>
          <w:sz w:val="28"/>
          <w:szCs w:val="28"/>
          <w:lang w:val="en-US" w:eastAsia="zh-CN"/>
        </w:rPr>
        <w:t>6</w:t>
      </w:r>
      <w:r>
        <w:rPr>
          <w:color w:val="auto"/>
          <w:sz w:val="28"/>
          <w:szCs w:val="28"/>
        </w:rPr>
        <w:t>8</w:t>
      </w:r>
      <w:r>
        <w:rPr>
          <w:rFonts w:hint="eastAsia"/>
          <w:color w:val="auto"/>
          <w:sz w:val="28"/>
          <w:szCs w:val="28"/>
        </w:rPr>
        <w:t>MW。</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6" w:name="_Toc28985"/>
      <w:r>
        <w:rPr>
          <w:b/>
          <w:color w:val="auto"/>
          <w:sz w:val="28"/>
          <w:szCs w:val="28"/>
        </w:rPr>
        <w:t>2</w:t>
      </w:r>
      <w:r>
        <w:rPr>
          <w:rFonts w:hint="eastAsia"/>
          <w:b/>
          <w:color w:val="auto"/>
          <w:sz w:val="28"/>
          <w:szCs w:val="28"/>
        </w:rPr>
        <w:t>.4 四分区：公园、榆林、将军、葛布地区</w:t>
      </w:r>
      <w:bookmarkEnd w:id="26"/>
    </w:p>
    <w:p>
      <w:pPr>
        <w:spacing w:line="540" w:lineRule="exact"/>
        <w:ind w:firstLine="700" w:firstLineChars="250"/>
        <w:rPr>
          <w:color w:val="auto"/>
          <w:sz w:val="28"/>
          <w:szCs w:val="28"/>
        </w:rPr>
      </w:pPr>
      <w:r>
        <w:rPr>
          <w:rFonts w:hint="eastAsia"/>
          <w:color w:val="auto"/>
          <w:sz w:val="28"/>
          <w:szCs w:val="28"/>
        </w:rPr>
        <w:t>公园、榆林、将军、葛布、高山路沿线地区为一个供热分区，热源为国电投集团东北公司抚顺热电分公司。</w:t>
      </w:r>
    </w:p>
    <w:p>
      <w:pPr>
        <w:spacing w:line="540" w:lineRule="exact"/>
        <w:ind w:firstLine="560" w:firstLineChars="200"/>
        <w:rPr>
          <w:color w:val="auto"/>
          <w:sz w:val="28"/>
          <w:szCs w:val="28"/>
        </w:rPr>
      </w:pPr>
      <w:r>
        <w:rPr>
          <w:rFonts w:hint="eastAsia"/>
          <w:color w:val="auto"/>
          <w:sz w:val="28"/>
          <w:szCs w:val="28"/>
        </w:rPr>
        <w:t>近期规划到2025年：该分区供热面积达1</w:t>
      </w:r>
      <w:r>
        <w:rPr>
          <w:rFonts w:hint="eastAsia"/>
          <w:color w:val="auto"/>
          <w:sz w:val="28"/>
          <w:szCs w:val="28"/>
          <w:lang w:val="en-US" w:eastAsia="zh-CN"/>
        </w:rPr>
        <w:t>1</w:t>
      </w:r>
      <w:r>
        <w:rPr>
          <w:rFonts w:hint="eastAsia"/>
          <w:color w:val="auto"/>
          <w:sz w:val="28"/>
          <w:szCs w:val="28"/>
        </w:rPr>
        <w:t>00万平方米，设计热负荷为</w:t>
      </w:r>
      <w:r>
        <w:rPr>
          <w:rFonts w:hint="eastAsia"/>
          <w:color w:val="auto"/>
          <w:sz w:val="28"/>
          <w:szCs w:val="28"/>
          <w:lang w:val="en-US" w:eastAsia="zh-CN"/>
        </w:rPr>
        <w:t>495</w:t>
      </w:r>
      <w:r>
        <w:rPr>
          <w:rFonts w:hint="eastAsia"/>
          <w:color w:val="auto"/>
          <w:sz w:val="28"/>
          <w:szCs w:val="28"/>
        </w:rPr>
        <w:t>MW，利用抚顺热电分公司热网首站提供热源，抚顺热电分公司现有2×300MW发电供热机组，首站配置7台热网循环泵，单泵流量为2230m3/h，扬程为135米。2017年抚顺热电分公司对1号机组进行高背压供热改造，提高了抚顺热电分公司的供热能力和供热经济性。改造后1号机组最大供热能力为466MW，2#机组最大供热能力为</w:t>
      </w:r>
      <w:r>
        <w:rPr>
          <w:color w:val="auto"/>
          <w:sz w:val="28"/>
          <w:szCs w:val="28"/>
        </w:rPr>
        <w:t>517</w:t>
      </w:r>
      <w:r>
        <w:rPr>
          <w:rFonts w:hint="eastAsia"/>
          <w:color w:val="auto"/>
          <w:sz w:val="28"/>
          <w:szCs w:val="28"/>
        </w:rPr>
        <w:t>MW，最大供热能力为</w:t>
      </w:r>
      <w:r>
        <w:rPr>
          <w:color w:val="auto"/>
          <w:sz w:val="28"/>
          <w:szCs w:val="28"/>
        </w:rPr>
        <w:t>983</w:t>
      </w:r>
      <w:r>
        <w:rPr>
          <w:rFonts w:hint="eastAsia"/>
          <w:color w:val="auto"/>
          <w:sz w:val="28"/>
          <w:szCs w:val="28"/>
        </w:rPr>
        <w:t>MW。</w:t>
      </w:r>
    </w:p>
    <w:p>
      <w:pPr>
        <w:spacing w:line="540" w:lineRule="exact"/>
        <w:ind w:firstLine="560" w:firstLineChars="200"/>
        <w:rPr>
          <w:color w:val="auto"/>
          <w:sz w:val="28"/>
          <w:szCs w:val="28"/>
        </w:rPr>
      </w:pPr>
      <w:r>
        <w:rPr>
          <w:rFonts w:hint="eastAsia"/>
          <w:color w:val="auto"/>
          <w:sz w:val="28"/>
          <w:szCs w:val="28"/>
        </w:rPr>
        <w:t>远期规划到203</w:t>
      </w:r>
      <w:r>
        <w:rPr>
          <w:rFonts w:hint="eastAsia"/>
          <w:color w:val="auto"/>
          <w:sz w:val="28"/>
          <w:szCs w:val="28"/>
          <w:lang w:val="en-US" w:eastAsia="zh-CN"/>
        </w:rPr>
        <w:t>5</w:t>
      </w:r>
      <w:r>
        <w:rPr>
          <w:rFonts w:hint="eastAsia"/>
          <w:color w:val="auto"/>
          <w:sz w:val="28"/>
          <w:szCs w:val="28"/>
        </w:rPr>
        <w:t>年：该分区供热面积达1200万平方米，设计热负荷为</w:t>
      </w:r>
      <w:r>
        <w:rPr>
          <w:rFonts w:hint="eastAsia"/>
          <w:color w:val="auto"/>
          <w:sz w:val="28"/>
          <w:szCs w:val="28"/>
          <w:lang w:val="en-US" w:eastAsia="zh-CN"/>
        </w:rPr>
        <w:t>480</w:t>
      </w:r>
      <w:r>
        <w:rPr>
          <w:rFonts w:hint="eastAsia"/>
          <w:color w:val="auto"/>
          <w:sz w:val="28"/>
          <w:szCs w:val="28"/>
        </w:rPr>
        <w:t>MW，抚顺热电公司新1</w:t>
      </w:r>
      <w:r>
        <w:rPr>
          <w:color w:val="auto"/>
          <w:sz w:val="28"/>
          <w:szCs w:val="28"/>
        </w:rPr>
        <w:t>#、</w:t>
      </w:r>
      <w:r>
        <w:rPr>
          <w:rFonts w:hint="eastAsia"/>
          <w:color w:val="auto"/>
          <w:sz w:val="28"/>
          <w:szCs w:val="28"/>
        </w:rPr>
        <w:t>2</w:t>
      </w:r>
      <w:r>
        <w:rPr>
          <w:color w:val="auto"/>
          <w:sz w:val="28"/>
          <w:szCs w:val="28"/>
        </w:rPr>
        <w:t>#机组改造完成</w:t>
      </w:r>
      <w:r>
        <w:rPr>
          <w:rFonts w:hint="eastAsia"/>
          <w:color w:val="auto"/>
          <w:sz w:val="28"/>
          <w:szCs w:val="28"/>
        </w:rPr>
        <w:t>，按</w:t>
      </w:r>
      <w:r>
        <w:rPr>
          <w:color w:val="auto"/>
          <w:sz w:val="28"/>
          <w:szCs w:val="28"/>
        </w:rPr>
        <w:t>热指标</w:t>
      </w:r>
      <w:r>
        <w:rPr>
          <w:rFonts w:hint="eastAsia"/>
          <w:color w:val="auto"/>
          <w:sz w:val="28"/>
          <w:szCs w:val="28"/>
        </w:rPr>
        <w:t>40</w:t>
      </w:r>
      <w:r>
        <w:rPr>
          <w:color w:val="auto"/>
          <w:sz w:val="28"/>
          <w:szCs w:val="28"/>
        </w:rPr>
        <w:t>w/m</w:t>
      </w:r>
      <w:r>
        <w:rPr>
          <w:color w:val="auto"/>
          <w:sz w:val="28"/>
          <w:szCs w:val="28"/>
          <w:vertAlign w:val="superscript"/>
        </w:rPr>
        <w:t>2</w:t>
      </w:r>
      <w:r>
        <w:rPr>
          <w:rFonts w:hint="eastAsia"/>
          <w:color w:val="auto"/>
          <w:sz w:val="28"/>
          <w:szCs w:val="28"/>
        </w:rPr>
        <w:t>计算</w:t>
      </w:r>
      <w:r>
        <w:rPr>
          <w:color w:val="auto"/>
          <w:sz w:val="28"/>
          <w:szCs w:val="28"/>
        </w:rPr>
        <w:t>，</w:t>
      </w:r>
      <w:r>
        <w:rPr>
          <w:rFonts w:hint="eastAsia"/>
          <w:color w:val="auto"/>
          <w:sz w:val="28"/>
          <w:szCs w:val="28"/>
        </w:rPr>
        <w:t>抚顺热电公司供热最大能力达</w:t>
      </w:r>
      <w:r>
        <w:rPr>
          <w:color w:val="auto"/>
          <w:sz w:val="28"/>
          <w:szCs w:val="28"/>
        </w:rPr>
        <w:t>2450</w:t>
      </w:r>
      <w:r>
        <w:rPr>
          <w:rFonts w:hint="eastAsia"/>
          <w:color w:val="auto"/>
          <w:sz w:val="28"/>
          <w:szCs w:val="28"/>
        </w:rPr>
        <w:t>万平方米。</w:t>
      </w:r>
    </w:p>
    <w:p>
      <w:pPr>
        <w:spacing w:line="540" w:lineRule="exact"/>
        <w:ind w:firstLine="560" w:firstLineChars="200"/>
        <w:rPr>
          <w:color w:val="auto"/>
          <w:sz w:val="28"/>
          <w:szCs w:val="28"/>
        </w:rPr>
      </w:pPr>
      <w:r>
        <w:rPr>
          <w:rFonts w:hint="eastAsia"/>
          <w:color w:val="auto"/>
          <w:sz w:val="28"/>
          <w:szCs w:val="28"/>
        </w:rPr>
        <w:t>拟将高山路现有DN800供热</w:t>
      </w:r>
      <w:r>
        <w:rPr>
          <w:color w:val="auto"/>
          <w:sz w:val="28"/>
          <w:szCs w:val="28"/>
        </w:rPr>
        <w:t>管线</w:t>
      </w:r>
      <w:r>
        <w:rPr>
          <w:rFonts w:hint="eastAsia"/>
          <w:color w:val="auto"/>
          <w:sz w:val="28"/>
          <w:szCs w:val="28"/>
        </w:rPr>
        <w:t>扩径</w:t>
      </w:r>
      <w:r>
        <w:rPr>
          <w:color w:val="auto"/>
          <w:sz w:val="28"/>
          <w:szCs w:val="28"/>
        </w:rPr>
        <w:t>至</w:t>
      </w:r>
      <w:r>
        <w:rPr>
          <w:rFonts w:hint="eastAsia"/>
          <w:color w:val="auto"/>
          <w:sz w:val="28"/>
          <w:szCs w:val="28"/>
        </w:rPr>
        <w:t>DN1</w:t>
      </w:r>
      <w:r>
        <w:rPr>
          <w:color w:val="auto"/>
          <w:sz w:val="28"/>
          <w:szCs w:val="28"/>
        </w:rPr>
        <w:t>2</w:t>
      </w:r>
      <w:r>
        <w:rPr>
          <w:rFonts w:hint="eastAsia"/>
          <w:color w:val="auto"/>
          <w:sz w:val="28"/>
          <w:szCs w:val="28"/>
        </w:rPr>
        <w:t>00管线，提高北线</w:t>
      </w:r>
      <w:r>
        <w:rPr>
          <w:color w:val="auto"/>
          <w:sz w:val="28"/>
          <w:szCs w:val="28"/>
        </w:rPr>
        <w:t>供热能力</w:t>
      </w:r>
      <w:r>
        <w:rPr>
          <w:rFonts w:hint="eastAsia"/>
          <w:color w:val="auto"/>
          <w:sz w:val="28"/>
          <w:szCs w:val="28"/>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7" w:name="_Toc10652"/>
      <w:r>
        <w:rPr>
          <w:b/>
          <w:color w:val="auto"/>
          <w:sz w:val="28"/>
          <w:szCs w:val="28"/>
        </w:rPr>
        <w:t>2</w:t>
      </w:r>
      <w:r>
        <w:rPr>
          <w:rFonts w:hint="eastAsia"/>
          <w:b/>
          <w:color w:val="auto"/>
          <w:sz w:val="28"/>
          <w:szCs w:val="28"/>
        </w:rPr>
        <w:t>.5 五分区：站前、道街、南北台地区</w:t>
      </w:r>
      <w:bookmarkEnd w:id="27"/>
    </w:p>
    <w:p>
      <w:pPr>
        <w:spacing w:line="540" w:lineRule="exact"/>
        <w:ind w:firstLine="560" w:firstLineChars="200"/>
        <w:rPr>
          <w:rFonts w:ascii="宋体" w:hAnsi="宋体"/>
          <w:color w:val="auto"/>
          <w:sz w:val="28"/>
          <w:szCs w:val="28"/>
        </w:rPr>
      </w:pPr>
      <w:r>
        <w:rPr>
          <w:rFonts w:hint="eastAsia"/>
          <w:color w:val="auto"/>
          <w:sz w:val="28"/>
          <w:szCs w:val="28"/>
        </w:rPr>
        <w:t>站前、南北台、道街、永济路周边地区规划</w:t>
      </w:r>
      <w:r>
        <w:rPr>
          <w:rFonts w:hint="eastAsia" w:ascii="宋体" w:hAnsi="宋体"/>
          <w:color w:val="auto"/>
          <w:sz w:val="28"/>
          <w:szCs w:val="28"/>
        </w:rPr>
        <w:t>一个供热分区，热源主要由抚矿中机热电</w:t>
      </w:r>
      <w:r>
        <w:rPr>
          <w:rFonts w:ascii="宋体" w:hAnsi="宋体"/>
          <w:color w:val="auto"/>
          <w:sz w:val="28"/>
          <w:szCs w:val="28"/>
        </w:rPr>
        <w:t>有限</w:t>
      </w:r>
      <w:r>
        <w:rPr>
          <w:rFonts w:hint="eastAsia" w:ascii="宋体" w:hAnsi="宋体"/>
          <w:color w:val="auto"/>
          <w:sz w:val="28"/>
          <w:szCs w:val="28"/>
        </w:rPr>
        <w:t>公司提供。</w:t>
      </w:r>
    </w:p>
    <w:p>
      <w:pPr>
        <w:spacing w:line="540" w:lineRule="exact"/>
        <w:ind w:firstLine="560" w:firstLineChars="200"/>
        <w:rPr>
          <w:rFonts w:ascii="宋体" w:hAnsi="宋体"/>
          <w:color w:val="auto"/>
          <w:sz w:val="28"/>
          <w:szCs w:val="28"/>
        </w:rPr>
      </w:pPr>
      <w:r>
        <w:rPr>
          <w:rFonts w:hint="eastAsia"/>
          <w:color w:val="auto"/>
          <w:sz w:val="28"/>
          <w:szCs w:val="28"/>
        </w:rPr>
        <w:t>近期规划到2025年：该分区供热面积达</w:t>
      </w:r>
      <w:r>
        <w:rPr>
          <w:rFonts w:hint="eastAsia" w:ascii="Times New Roman" w:eastAsia="宋体"/>
          <w:color w:val="auto"/>
          <w:sz w:val="28"/>
          <w:szCs w:val="28"/>
          <w:lang w:val="en-US" w:eastAsia="zh-CN"/>
        </w:rPr>
        <w:t>808</w:t>
      </w:r>
      <w:r>
        <w:rPr>
          <w:rFonts w:hint="eastAsia"/>
          <w:color w:val="auto"/>
          <w:sz w:val="28"/>
          <w:szCs w:val="28"/>
        </w:rPr>
        <w:t>万平方米，设计热负荷为</w:t>
      </w:r>
      <w:r>
        <w:rPr>
          <w:color w:val="auto"/>
          <w:sz w:val="28"/>
          <w:szCs w:val="28"/>
        </w:rPr>
        <w:t>456</w:t>
      </w:r>
      <w:r>
        <w:rPr>
          <w:rFonts w:hint="eastAsia"/>
          <w:color w:val="auto"/>
          <w:sz w:val="28"/>
          <w:szCs w:val="28"/>
        </w:rPr>
        <w:t>MW，利用</w:t>
      </w:r>
      <w:r>
        <w:rPr>
          <w:rFonts w:hint="eastAsia" w:ascii="宋体" w:hAnsi="宋体"/>
          <w:color w:val="auto"/>
          <w:sz w:val="28"/>
          <w:szCs w:val="28"/>
        </w:rPr>
        <w:t>抚矿中机热电有限公司</w:t>
      </w:r>
      <w:r>
        <w:rPr>
          <w:rFonts w:hint="eastAsia"/>
          <w:color w:val="auto"/>
          <w:sz w:val="28"/>
          <w:szCs w:val="28"/>
        </w:rPr>
        <w:t>2×300MW首站以及热泵机组对外供热，设计供热能力为</w:t>
      </w:r>
      <w:r>
        <w:rPr>
          <w:color w:val="auto"/>
          <w:sz w:val="28"/>
          <w:szCs w:val="28"/>
        </w:rPr>
        <w:t>900</w:t>
      </w:r>
      <w:r>
        <w:rPr>
          <w:rFonts w:hint="eastAsia"/>
          <w:color w:val="auto"/>
          <w:sz w:val="28"/>
          <w:szCs w:val="28"/>
        </w:rPr>
        <w:t>MW，供热面积达</w:t>
      </w:r>
      <w:r>
        <w:rPr>
          <w:color w:val="auto"/>
          <w:sz w:val="28"/>
          <w:szCs w:val="28"/>
        </w:rPr>
        <w:t>18</w:t>
      </w:r>
      <w:r>
        <w:rPr>
          <w:rFonts w:hint="eastAsia"/>
          <w:color w:val="auto"/>
          <w:sz w:val="28"/>
          <w:szCs w:val="28"/>
        </w:rPr>
        <w:t>00万平方米。远期规划到203</w:t>
      </w:r>
      <w:r>
        <w:rPr>
          <w:rFonts w:hint="eastAsia" w:ascii="Times New Roman" w:eastAsia="宋体"/>
          <w:color w:val="auto"/>
          <w:sz w:val="28"/>
          <w:szCs w:val="28"/>
          <w:lang w:val="en-US" w:eastAsia="zh-CN"/>
        </w:rPr>
        <w:t>5</w:t>
      </w:r>
      <w:r>
        <w:rPr>
          <w:rFonts w:hint="eastAsia"/>
          <w:color w:val="auto"/>
          <w:sz w:val="28"/>
          <w:szCs w:val="28"/>
        </w:rPr>
        <w:t>年：该分区供热面积达1000万平方米，热源维持现状，站前地区主干线规划新建加压泵站一座。</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8" w:name="_Toc11539"/>
      <w:r>
        <w:rPr>
          <w:b/>
          <w:color w:val="auto"/>
          <w:sz w:val="28"/>
          <w:szCs w:val="28"/>
        </w:rPr>
        <w:t>2</w:t>
      </w:r>
      <w:r>
        <w:rPr>
          <w:rFonts w:hint="eastAsia"/>
          <w:b/>
          <w:color w:val="auto"/>
          <w:sz w:val="28"/>
          <w:szCs w:val="28"/>
        </w:rPr>
        <w:t>.6 六分区：万新、老虎台、新屯地区</w:t>
      </w:r>
      <w:bookmarkEnd w:id="28"/>
    </w:p>
    <w:p>
      <w:pPr>
        <w:spacing w:line="540" w:lineRule="exact"/>
        <w:ind w:firstLine="560" w:firstLineChars="200"/>
        <w:rPr>
          <w:color w:val="auto"/>
          <w:sz w:val="28"/>
          <w:szCs w:val="28"/>
        </w:rPr>
      </w:pPr>
      <w:r>
        <w:rPr>
          <w:rFonts w:hint="eastAsia" w:ascii="宋体" w:hAnsi="宋体"/>
          <w:color w:val="auto"/>
          <w:sz w:val="28"/>
          <w:szCs w:val="28"/>
        </w:rPr>
        <w:t>南部矿区南万新、莫地沟、新屯、老虎台、虎西、栗子沟、刘山地区等为一个供热分区，该</w:t>
      </w:r>
      <w:r>
        <w:rPr>
          <w:rFonts w:hint="eastAsia"/>
          <w:color w:val="auto"/>
          <w:sz w:val="28"/>
          <w:szCs w:val="28"/>
        </w:rPr>
        <w:t>分区没有大型热源厂，由抚矿油母页岩炼油厂工业余热</w:t>
      </w:r>
      <w:r>
        <w:rPr>
          <w:color w:val="auto"/>
          <w:sz w:val="28"/>
          <w:szCs w:val="28"/>
        </w:rPr>
        <w:t>提</w:t>
      </w:r>
      <w:r>
        <w:rPr>
          <w:rFonts w:hint="eastAsia"/>
          <w:color w:val="auto"/>
          <w:sz w:val="28"/>
          <w:szCs w:val="28"/>
        </w:rPr>
        <w:t>供热源，供热面积达</w:t>
      </w:r>
      <w:r>
        <w:rPr>
          <w:color w:val="auto"/>
          <w:sz w:val="28"/>
          <w:szCs w:val="28"/>
        </w:rPr>
        <w:t>357</w:t>
      </w:r>
      <w:r>
        <w:rPr>
          <w:rFonts w:hint="eastAsia"/>
          <w:color w:val="auto"/>
          <w:sz w:val="28"/>
          <w:szCs w:val="28"/>
        </w:rPr>
        <w:t>万平方米。</w:t>
      </w:r>
    </w:p>
    <w:p>
      <w:pPr>
        <w:spacing w:line="540" w:lineRule="exact"/>
        <w:ind w:firstLine="560" w:firstLineChars="200"/>
        <w:rPr>
          <w:color w:val="auto"/>
          <w:sz w:val="28"/>
          <w:szCs w:val="28"/>
        </w:rPr>
      </w:pPr>
      <w:r>
        <w:rPr>
          <w:rFonts w:hint="eastAsia"/>
          <w:color w:val="auto"/>
          <w:sz w:val="28"/>
          <w:szCs w:val="28"/>
        </w:rPr>
        <w:t>近期规划到2025年：供热面积达370万平方米，设计热负荷为</w:t>
      </w:r>
      <w:r>
        <w:rPr>
          <w:color w:val="auto"/>
          <w:sz w:val="28"/>
          <w:szCs w:val="28"/>
        </w:rPr>
        <w:t>160.65</w:t>
      </w:r>
      <w:r>
        <w:rPr>
          <w:rFonts w:hint="eastAsia"/>
          <w:color w:val="auto"/>
          <w:sz w:val="28"/>
          <w:szCs w:val="28"/>
        </w:rPr>
        <w:t>MW，抚矿页岩炼油厂有A-D部及E部2座热泵首站，规模为</w:t>
      </w:r>
      <w:r>
        <w:rPr>
          <w:rFonts w:hint="eastAsia" w:ascii="宋体" w:hAnsi="宋体"/>
          <w:color w:val="auto"/>
          <w:sz w:val="28"/>
          <w:szCs w:val="28"/>
        </w:rPr>
        <w:t>6×30MW</w:t>
      </w:r>
      <w:r>
        <w:rPr>
          <w:rFonts w:hint="eastAsia"/>
          <w:color w:val="auto"/>
          <w:sz w:val="28"/>
          <w:szCs w:val="28"/>
        </w:rPr>
        <w:t>，抚矿化工厂院内已建成2×35t/h燃气炉</w:t>
      </w:r>
      <w:r>
        <w:rPr>
          <w:rFonts w:hint="eastAsia"/>
          <w:color w:val="auto"/>
          <w:sz w:val="28"/>
          <w:szCs w:val="28"/>
          <w:lang w:eastAsia="zh-CN"/>
        </w:rPr>
        <w:t>和2×</w:t>
      </w:r>
      <w:r>
        <w:rPr>
          <w:rFonts w:hint="eastAsia"/>
          <w:color w:val="auto"/>
          <w:sz w:val="28"/>
          <w:szCs w:val="28"/>
          <w:lang w:val="en-US" w:eastAsia="zh-CN"/>
        </w:rPr>
        <w:t>100</w:t>
      </w:r>
      <w:r>
        <w:rPr>
          <w:rFonts w:hint="eastAsia"/>
          <w:color w:val="auto"/>
          <w:sz w:val="28"/>
          <w:szCs w:val="28"/>
          <w:lang w:eastAsia="zh-CN"/>
        </w:rPr>
        <w:t>t/h燃煤锅炉</w:t>
      </w:r>
      <w:r>
        <w:rPr>
          <w:rFonts w:hint="eastAsia"/>
          <w:color w:val="auto"/>
          <w:sz w:val="28"/>
          <w:szCs w:val="28"/>
        </w:rPr>
        <w:t>，可驱动炼油厂热泵，供热面积为3</w:t>
      </w:r>
      <w:r>
        <w:rPr>
          <w:color w:val="auto"/>
          <w:sz w:val="28"/>
          <w:szCs w:val="28"/>
        </w:rPr>
        <w:t>9</w:t>
      </w:r>
      <w:r>
        <w:rPr>
          <w:rFonts w:hint="eastAsia"/>
          <w:color w:val="auto"/>
          <w:sz w:val="28"/>
          <w:szCs w:val="28"/>
        </w:rPr>
        <w:t>0万平方米。</w:t>
      </w:r>
    </w:p>
    <w:p>
      <w:pPr>
        <w:spacing w:line="540" w:lineRule="exact"/>
        <w:ind w:firstLine="560" w:firstLineChars="200"/>
        <w:rPr>
          <w:color w:val="auto"/>
          <w:sz w:val="28"/>
          <w:szCs w:val="28"/>
        </w:rPr>
      </w:pPr>
      <w:r>
        <w:rPr>
          <w:rFonts w:hint="eastAsia"/>
          <w:color w:val="auto"/>
          <w:sz w:val="28"/>
          <w:szCs w:val="28"/>
        </w:rPr>
        <w:t>远期规划到203</w:t>
      </w:r>
      <w:r>
        <w:rPr>
          <w:rFonts w:hint="eastAsia" w:ascii="Times New Roman" w:eastAsia="宋体"/>
          <w:color w:val="auto"/>
          <w:sz w:val="28"/>
          <w:szCs w:val="28"/>
          <w:lang w:val="en-US" w:eastAsia="zh-CN"/>
        </w:rPr>
        <w:t>5</w:t>
      </w:r>
      <w:r>
        <w:rPr>
          <w:rFonts w:hint="eastAsia"/>
          <w:color w:val="auto"/>
          <w:sz w:val="28"/>
          <w:szCs w:val="28"/>
        </w:rPr>
        <w:t>年：供热面积达</w:t>
      </w:r>
      <w:r>
        <w:rPr>
          <w:color w:val="auto"/>
          <w:sz w:val="28"/>
          <w:szCs w:val="28"/>
        </w:rPr>
        <w:t>39</w:t>
      </w:r>
      <w:r>
        <w:rPr>
          <w:rFonts w:hint="eastAsia"/>
          <w:color w:val="auto"/>
          <w:sz w:val="28"/>
          <w:szCs w:val="28"/>
        </w:rPr>
        <w:t>0万平方米。抚顺城南热电有限公司热网与页岩炼油厂热网连通，20</w:t>
      </w:r>
      <w:r>
        <w:rPr>
          <w:color w:val="auto"/>
          <w:sz w:val="28"/>
          <w:szCs w:val="28"/>
        </w:rPr>
        <w:t>35</w:t>
      </w:r>
      <w:r>
        <w:rPr>
          <w:rFonts w:hint="eastAsia"/>
          <w:color w:val="auto"/>
          <w:sz w:val="28"/>
          <w:szCs w:val="28"/>
        </w:rPr>
        <w:t>年</w:t>
      </w:r>
      <w:r>
        <w:rPr>
          <w:color w:val="auto"/>
          <w:sz w:val="28"/>
          <w:szCs w:val="28"/>
        </w:rPr>
        <w:t>之前</w:t>
      </w:r>
      <w:r>
        <w:rPr>
          <w:rFonts w:hint="eastAsia"/>
          <w:color w:val="auto"/>
          <w:sz w:val="28"/>
          <w:szCs w:val="28"/>
        </w:rPr>
        <w:t>城南锅炉房</w:t>
      </w:r>
      <w:r>
        <w:rPr>
          <w:color w:val="auto"/>
          <w:sz w:val="28"/>
          <w:szCs w:val="28"/>
        </w:rPr>
        <w:t>关停，</w:t>
      </w:r>
      <w:r>
        <w:rPr>
          <w:rFonts w:hint="eastAsia"/>
          <w:color w:val="auto"/>
          <w:sz w:val="28"/>
          <w:szCs w:val="28"/>
        </w:rPr>
        <w:t>南部地区形成以抚矿中机热电厂与抚矿页岩炼油厂两大热源。</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outlineLvl w:val="1"/>
        <w:rPr>
          <w:b/>
          <w:color w:val="auto"/>
          <w:sz w:val="28"/>
          <w:szCs w:val="28"/>
        </w:rPr>
      </w:pPr>
      <w:bookmarkStart w:id="29" w:name="_Toc15417"/>
      <w:r>
        <w:rPr>
          <w:b/>
          <w:color w:val="auto"/>
          <w:sz w:val="28"/>
          <w:szCs w:val="28"/>
        </w:rPr>
        <w:t>2</w:t>
      </w:r>
      <w:r>
        <w:rPr>
          <w:rFonts w:hint="eastAsia"/>
          <w:b/>
          <w:color w:val="auto"/>
          <w:sz w:val="28"/>
          <w:szCs w:val="28"/>
        </w:rPr>
        <w:t>.7七分区：望花地区</w:t>
      </w:r>
      <w:bookmarkEnd w:id="29"/>
    </w:p>
    <w:p>
      <w:pPr>
        <w:spacing w:line="540" w:lineRule="exact"/>
        <w:ind w:firstLine="560" w:firstLineChars="200"/>
        <w:rPr>
          <w:color w:val="auto"/>
          <w:sz w:val="28"/>
          <w:szCs w:val="28"/>
        </w:rPr>
      </w:pPr>
      <w:r>
        <w:rPr>
          <w:rFonts w:hint="eastAsia" w:ascii="宋体" w:hAnsi="宋体"/>
          <w:color w:val="auto"/>
          <w:sz w:val="28"/>
          <w:szCs w:val="28"/>
        </w:rPr>
        <w:t>该</w:t>
      </w:r>
      <w:r>
        <w:rPr>
          <w:rFonts w:hint="eastAsia"/>
          <w:color w:val="auto"/>
          <w:sz w:val="28"/>
          <w:szCs w:val="28"/>
        </w:rPr>
        <w:t>分区现有建筑面积约1</w:t>
      </w:r>
      <w:r>
        <w:rPr>
          <w:color w:val="auto"/>
          <w:sz w:val="28"/>
          <w:szCs w:val="28"/>
        </w:rPr>
        <w:t>2</w:t>
      </w:r>
      <w:r>
        <w:rPr>
          <w:rFonts w:hint="eastAsia" w:ascii="Times New Roman" w:eastAsia="宋体"/>
          <w:color w:val="auto"/>
          <w:sz w:val="28"/>
          <w:szCs w:val="28"/>
          <w:lang w:val="en-US" w:eastAsia="zh-CN"/>
        </w:rPr>
        <w:t>81</w:t>
      </w:r>
      <w:r>
        <w:rPr>
          <w:rFonts w:hint="eastAsia"/>
          <w:color w:val="auto"/>
          <w:sz w:val="28"/>
          <w:szCs w:val="28"/>
        </w:rPr>
        <w:t>万平方米，规划近期到20</w:t>
      </w:r>
      <w:r>
        <w:rPr>
          <w:color w:val="auto"/>
          <w:sz w:val="28"/>
          <w:szCs w:val="28"/>
        </w:rPr>
        <w:t>25</w:t>
      </w:r>
      <w:r>
        <w:rPr>
          <w:rFonts w:hint="eastAsia"/>
          <w:color w:val="auto"/>
          <w:sz w:val="28"/>
          <w:szCs w:val="28"/>
        </w:rPr>
        <w:t>年供热面积达13</w:t>
      </w:r>
      <w:r>
        <w:rPr>
          <w:rFonts w:hint="eastAsia" w:ascii="Times New Roman" w:eastAsia="宋体"/>
          <w:color w:val="auto"/>
          <w:sz w:val="28"/>
          <w:szCs w:val="28"/>
          <w:lang w:val="en-US" w:eastAsia="zh-CN"/>
        </w:rPr>
        <w:t>60</w:t>
      </w:r>
      <w:r>
        <w:rPr>
          <w:rFonts w:hint="eastAsia"/>
          <w:color w:val="auto"/>
          <w:sz w:val="28"/>
          <w:szCs w:val="28"/>
        </w:rPr>
        <w:t>万平方米，设计热负荷为</w:t>
      </w:r>
      <w:r>
        <w:rPr>
          <w:rFonts w:hint="eastAsia" w:ascii="Times New Roman" w:eastAsia="宋体"/>
          <w:color w:val="auto"/>
          <w:sz w:val="28"/>
          <w:szCs w:val="28"/>
          <w:lang w:val="en-US" w:eastAsia="zh-CN"/>
        </w:rPr>
        <w:t>612</w:t>
      </w:r>
      <w:r>
        <w:rPr>
          <w:rFonts w:hint="eastAsia"/>
          <w:color w:val="auto"/>
          <w:sz w:val="28"/>
          <w:szCs w:val="28"/>
        </w:rPr>
        <w:t>MW；规划远期到203</w:t>
      </w:r>
      <w:r>
        <w:rPr>
          <w:rFonts w:hint="eastAsia" w:ascii="Times New Roman" w:eastAsia="宋体"/>
          <w:color w:val="auto"/>
          <w:sz w:val="28"/>
          <w:szCs w:val="28"/>
          <w:lang w:val="en-US" w:eastAsia="zh-CN"/>
        </w:rPr>
        <w:t>5</w:t>
      </w:r>
      <w:r>
        <w:rPr>
          <w:rFonts w:hint="eastAsia"/>
          <w:color w:val="auto"/>
          <w:sz w:val="28"/>
          <w:szCs w:val="28"/>
        </w:rPr>
        <w:t>年供热面积达</w:t>
      </w:r>
      <w:r>
        <w:rPr>
          <w:color w:val="auto"/>
          <w:sz w:val="28"/>
          <w:szCs w:val="28"/>
        </w:rPr>
        <w:t>1</w:t>
      </w:r>
      <w:r>
        <w:rPr>
          <w:rFonts w:hint="eastAsia" w:ascii="Times New Roman" w:eastAsia="宋体"/>
          <w:color w:val="auto"/>
          <w:sz w:val="28"/>
          <w:szCs w:val="28"/>
          <w:lang w:val="en-US" w:eastAsia="zh-CN"/>
        </w:rPr>
        <w:t>578</w:t>
      </w:r>
      <w:r>
        <w:rPr>
          <w:rFonts w:hint="eastAsia"/>
          <w:color w:val="auto"/>
          <w:sz w:val="28"/>
          <w:szCs w:val="28"/>
        </w:rPr>
        <w:t>万平方米，设计热负荷为</w:t>
      </w:r>
      <w:r>
        <w:rPr>
          <w:rFonts w:hint="eastAsia" w:ascii="Times New Roman" w:eastAsia="宋体"/>
          <w:color w:val="auto"/>
          <w:sz w:val="28"/>
          <w:szCs w:val="28"/>
          <w:lang w:val="en-US" w:eastAsia="zh-CN"/>
        </w:rPr>
        <w:t>631</w:t>
      </w:r>
      <w:r>
        <w:rPr>
          <w:rFonts w:hint="eastAsia"/>
          <w:color w:val="auto"/>
          <w:sz w:val="28"/>
          <w:szCs w:val="28"/>
        </w:rPr>
        <w:t>MW。1200万平方米</w:t>
      </w:r>
      <w:r>
        <w:rPr>
          <w:rFonts w:hint="eastAsia" w:ascii="宋体" w:hAnsi="宋体"/>
          <w:color w:val="auto"/>
          <w:sz w:val="28"/>
          <w:szCs w:val="28"/>
        </w:rPr>
        <w:t>热源由抚矿中机热电有限公司2×300MW机组提供。</w:t>
      </w:r>
      <w:r>
        <w:rPr>
          <w:rFonts w:hint="eastAsia"/>
          <w:color w:val="auto"/>
          <w:sz w:val="28"/>
          <w:szCs w:val="28"/>
        </w:rPr>
        <w:t>2035</w:t>
      </w:r>
      <w:r>
        <w:rPr>
          <w:rFonts w:hint="eastAsia" w:ascii="宋体" w:hAnsi="宋体"/>
          <w:color w:val="auto"/>
          <w:sz w:val="28"/>
          <w:szCs w:val="28"/>
        </w:rPr>
        <w:t>年之前将</w:t>
      </w:r>
      <w:r>
        <w:rPr>
          <w:rFonts w:ascii="宋体" w:hAnsi="宋体"/>
          <w:color w:val="auto"/>
          <w:sz w:val="28"/>
          <w:szCs w:val="28"/>
        </w:rPr>
        <w:t>抚顺城南</w:t>
      </w:r>
      <w:r>
        <w:rPr>
          <w:rFonts w:hint="eastAsia" w:ascii="宋体" w:hAnsi="宋体"/>
          <w:color w:val="auto"/>
          <w:sz w:val="28"/>
          <w:szCs w:val="28"/>
        </w:rPr>
        <w:t>热源厂2×</w:t>
      </w:r>
      <w:r>
        <w:rPr>
          <w:rFonts w:ascii="宋体" w:hAnsi="宋体"/>
          <w:color w:val="auto"/>
          <w:sz w:val="28"/>
          <w:szCs w:val="28"/>
        </w:rPr>
        <w:t>70</w:t>
      </w:r>
      <w:r>
        <w:rPr>
          <w:rFonts w:hint="eastAsia" w:ascii="宋体" w:hAnsi="宋体"/>
          <w:color w:val="auto"/>
          <w:sz w:val="28"/>
          <w:szCs w:val="28"/>
        </w:rPr>
        <w:t>MW热水锅炉房</w:t>
      </w:r>
      <w:r>
        <w:rPr>
          <w:rFonts w:ascii="宋体" w:hAnsi="宋体"/>
          <w:color w:val="auto"/>
          <w:sz w:val="28"/>
          <w:szCs w:val="28"/>
        </w:rPr>
        <w:t>关停，</w:t>
      </w:r>
      <w:r>
        <w:rPr>
          <w:rFonts w:hint="eastAsia" w:ascii="宋体" w:hAnsi="宋体"/>
          <w:color w:val="auto"/>
          <w:sz w:val="28"/>
          <w:szCs w:val="28"/>
        </w:rPr>
        <w:t>抚顺新钢铁公司高余热热源</w:t>
      </w:r>
      <w:r>
        <w:rPr>
          <w:rFonts w:ascii="宋体" w:hAnsi="宋体"/>
          <w:color w:val="auto"/>
          <w:sz w:val="28"/>
          <w:szCs w:val="28"/>
        </w:rPr>
        <w:t>东首站</w:t>
      </w:r>
      <w:r>
        <w:rPr>
          <w:rFonts w:hint="eastAsia" w:ascii="宋体" w:hAnsi="宋体"/>
          <w:color w:val="auto"/>
          <w:sz w:val="28"/>
          <w:szCs w:val="28"/>
        </w:rPr>
        <w:t>供热</w:t>
      </w:r>
      <w:r>
        <w:rPr>
          <w:rFonts w:hint="eastAsia"/>
          <w:color w:val="auto"/>
          <w:sz w:val="28"/>
          <w:szCs w:val="28"/>
        </w:rPr>
        <w:t>230</w:t>
      </w:r>
      <w:r>
        <w:rPr>
          <w:rFonts w:hint="eastAsia" w:ascii="宋体" w:hAnsi="宋体"/>
          <w:color w:val="auto"/>
          <w:sz w:val="28"/>
          <w:szCs w:val="28"/>
        </w:rPr>
        <w:t>万平方米</w:t>
      </w:r>
      <w:r>
        <w:rPr>
          <w:rFonts w:hint="eastAsia"/>
          <w:color w:val="auto"/>
          <w:sz w:val="28"/>
          <w:szCs w:val="28"/>
        </w:rPr>
        <w:t>，抚矿中机热电公司可对新钢余热热源东首站进行备用。</w:t>
      </w:r>
    </w:p>
    <w:p>
      <w:pPr>
        <w:widowControl/>
        <w:spacing w:line="360" w:lineRule="auto"/>
        <w:jc w:val="left"/>
        <w:rPr>
          <w:color w:val="auto"/>
          <w:sz w:val="28"/>
          <w:szCs w:val="28"/>
        </w:rPr>
      </w:pPr>
      <w:r>
        <w:rPr>
          <w:color w:val="auto"/>
          <w:sz w:val="28"/>
          <w:szCs w:val="28"/>
        </w:rPr>
        <w:br w:type="page"/>
      </w:r>
    </w:p>
    <w:p>
      <w:pPr>
        <w:spacing w:line="360" w:lineRule="auto"/>
        <w:jc w:val="center"/>
        <w:outlineLvl w:val="0"/>
        <w:rPr>
          <w:b/>
          <w:color w:val="auto"/>
          <w:sz w:val="30"/>
          <w:szCs w:val="32"/>
        </w:rPr>
      </w:pPr>
      <w:bookmarkStart w:id="30" w:name="_Toc9171"/>
      <w:r>
        <w:rPr>
          <w:b/>
          <w:color w:val="auto"/>
          <w:sz w:val="30"/>
          <w:szCs w:val="32"/>
        </w:rPr>
        <w:t>第</w:t>
      </w:r>
      <w:r>
        <w:rPr>
          <w:rFonts w:hint="eastAsia"/>
          <w:b/>
          <w:color w:val="auto"/>
          <w:sz w:val="30"/>
          <w:szCs w:val="32"/>
        </w:rPr>
        <w:t>四</w:t>
      </w:r>
      <w:r>
        <w:rPr>
          <w:b/>
          <w:color w:val="auto"/>
          <w:sz w:val="30"/>
          <w:szCs w:val="32"/>
        </w:rPr>
        <w:t>章</w:t>
      </w:r>
      <w:r>
        <w:rPr>
          <w:rFonts w:hint="eastAsia"/>
          <w:b/>
          <w:color w:val="auto"/>
          <w:sz w:val="30"/>
          <w:szCs w:val="32"/>
        </w:rPr>
        <w:t xml:space="preserve">  热源</w:t>
      </w:r>
      <w:r>
        <w:rPr>
          <w:b/>
          <w:color w:val="auto"/>
          <w:sz w:val="30"/>
          <w:szCs w:val="32"/>
        </w:rPr>
        <w:t>规划</w:t>
      </w:r>
      <w:bookmarkEnd w:id="30"/>
    </w:p>
    <w:p>
      <w:pPr>
        <w:pStyle w:val="19"/>
        <w:spacing w:line="360" w:lineRule="auto"/>
        <w:ind w:firstLine="562" w:firstLineChars="200"/>
        <w:outlineLvl w:val="1"/>
        <w:rPr>
          <w:rFonts w:ascii="Times New Roman" w:hAnsi="Times New Roman" w:cs="Times New Roman"/>
          <w:b/>
          <w:color w:val="auto"/>
          <w:sz w:val="28"/>
          <w:szCs w:val="28"/>
        </w:rPr>
      </w:pPr>
      <w:bookmarkStart w:id="31" w:name="_Toc18647"/>
      <w:r>
        <w:rPr>
          <w:rFonts w:hint="eastAsia" w:ascii="Times New Roman" w:hAnsi="Times New Roman" w:cs="Times New Roman"/>
          <w:b/>
          <w:color w:val="auto"/>
          <w:sz w:val="28"/>
          <w:szCs w:val="28"/>
        </w:rPr>
        <w:t>一</w:t>
      </w:r>
      <w:r>
        <w:rPr>
          <w:rFonts w:ascii="Times New Roman" w:hAnsi="Times New Roman" w:cs="Times New Roman"/>
          <w:b/>
          <w:color w:val="auto"/>
          <w:sz w:val="28"/>
          <w:szCs w:val="28"/>
        </w:rPr>
        <w:t>、</w:t>
      </w:r>
      <w:r>
        <w:rPr>
          <w:rFonts w:hint="eastAsia" w:ascii="Times New Roman" w:hAnsi="Times New Roman" w:cs="Times New Roman"/>
          <w:b/>
          <w:color w:val="auto"/>
          <w:sz w:val="28"/>
          <w:szCs w:val="28"/>
        </w:rPr>
        <w:t>热源规划原则</w:t>
      </w:r>
      <w:bookmarkEnd w:id="31"/>
    </w:p>
    <w:p>
      <w:pPr>
        <w:spacing w:line="360" w:lineRule="auto"/>
        <w:ind w:firstLine="560" w:firstLineChars="200"/>
        <w:rPr>
          <w:color w:val="auto"/>
          <w:sz w:val="28"/>
          <w:szCs w:val="28"/>
        </w:rPr>
      </w:pPr>
      <w:r>
        <w:rPr>
          <w:rFonts w:hint="eastAsia"/>
          <w:color w:val="auto"/>
          <w:sz w:val="28"/>
          <w:szCs w:val="28"/>
        </w:rPr>
        <w:t>（1）以国家能源产业政策及行业发展指导意见为依据，认真贯彻“双 碳”和“能耗双控”的具体要求，指导本市热电和供热产业向健康、绿色、 低碳及高质量发展。</w:t>
      </w:r>
    </w:p>
    <w:p>
      <w:pPr>
        <w:spacing w:line="360" w:lineRule="auto"/>
        <w:ind w:firstLine="560" w:firstLineChars="200"/>
        <w:rPr>
          <w:color w:val="auto"/>
          <w:sz w:val="28"/>
          <w:szCs w:val="28"/>
        </w:rPr>
      </w:pPr>
      <w:r>
        <w:rPr>
          <w:rFonts w:hint="eastAsia"/>
          <w:color w:val="auto"/>
          <w:sz w:val="28"/>
          <w:szCs w:val="28"/>
        </w:rPr>
        <w:t>（2）在当前能源结构下，煤炭仍将是热电和供热行业的“压舱石”， 有着不可取代的地位，结合本市具体条件，本规划确定将形成“以热电联产及大型工业余热为主、以大型热水锅炉为辅，以其他清洁能源为补充的多元互济”的供热模式。</w:t>
      </w:r>
    </w:p>
    <w:p>
      <w:pPr>
        <w:spacing w:line="360" w:lineRule="auto"/>
        <w:ind w:firstLine="560" w:firstLineChars="200"/>
        <w:rPr>
          <w:color w:val="auto"/>
          <w:sz w:val="28"/>
          <w:szCs w:val="28"/>
        </w:rPr>
      </w:pPr>
      <w:r>
        <w:rPr>
          <w:rFonts w:hint="eastAsia"/>
          <w:color w:val="auto"/>
          <w:sz w:val="28"/>
          <w:szCs w:val="28"/>
        </w:rPr>
        <w:t>（3）立足以煤为主的基本国情，抓好煤炭清洁高效利用，城区内供热仍以热电联产为主，充分挖掘抚顺市现有热电厂的供热潜力。目前抚顺市区内三大热电联产，除抚矿中机热电有限责任公司外，均已进行供热改造，应充分发挥现有热电联产的供热能力，扩大供热范围，达到煤炭的高效利用。</w:t>
      </w:r>
    </w:p>
    <w:p>
      <w:pPr>
        <w:spacing w:line="360" w:lineRule="auto"/>
        <w:ind w:firstLine="560" w:firstLineChars="200"/>
        <w:rPr>
          <w:color w:val="auto"/>
          <w:sz w:val="28"/>
          <w:szCs w:val="28"/>
        </w:rPr>
      </w:pPr>
      <w:r>
        <w:rPr>
          <w:rFonts w:hint="eastAsia"/>
          <w:color w:val="auto"/>
          <w:sz w:val="28"/>
          <w:szCs w:val="28"/>
        </w:rPr>
        <w:t>（4）应充分发挥抚顺市作为老工业基地的优势，利用工业企业的生产余热进行供暖，在保证现有工业余热供热的同时，积极探索并助力新型工业余热利用。推进工业余热的优先利用、充分利用，保证工业余热优先并网供热。</w:t>
      </w:r>
    </w:p>
    <w:p>
      <w:pPr>
        <w:spacing w:line="360" w:lineRule="auto"/>
        <w:ind w:firstLine="560" w:firstLineChars="200"/>
        <w:rPr>
          <w:color w:val="auto"/>
          <w:sz w:val="28"/>
          <w:szCs w:val="28"/>
        </w:rPr>
      </w:pPr>
      <w:r>
        <w:rPr>
          <w:rFonts w:hint="eastAsia"/>
          <w:color w:val="auto"/>
          <w:sz w:val="28"/>
          <w:szCs w:val="28"/>
        </w:rPr>
        <w:t>（</w:t>
      </w:r>
      <w:r>
        <w:rPr>
          <w:color w:val="auto"/>
          <w:sz w:val="28"/>
          <w:szCs w:val="28"/>
        </w:rPr>
        <w:t>5</w:t>
      </w:r>
      <w:r>
        <w:rPr>
          <w:rFonts w:hint="eastAsia"/>
          <w:color w:val="auto"/>
          <w:sz w:val="28"/>
          <w:szCs w:val="28"/>
        </w:rPr>
        <w:t xml:space="preserve">）对已列入规划的集中供热区域内的单位，不再新建单位自用燃煤锅炉。为确保生产安全必须建设自用锅炉时，经批准宜建设燃气或生物质等锅炉，对供热管网难以覆盖的区域，可使用太阳能、空气源热泵等清洁能源。全市做到多能互补、耦合联供、清洁高效。 </w:t>
      </w:r>
    </w:p>
    <w:p>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w:t>
      </w:r>
      <w:r>
        <w:rPr>
          <w:rFonts w:asciiTheme="minorEastAsia" w:hAnsiTheme="minorEastAsia" w:eastAsiaTheme="minorEastAsia"/>
          <w:color w:val="auto"/>
          <w:sz w:val="28"/>
          <w:szCs w:val="28"/>
        </w:rPr>
        <w:t>6</w:t>
      </w:r>
      <w:r>
        <w:rPr>
          <w:rFonts w:hint="eastAsia" w:asciiTheme="minorEastAsia" w:hAnsiTheme="minorEastAsia" w:eastAsiaTheme="minorEastAsia"/>
          <w:color w:val="auto"/>
          <w:sz w:val="28"/>
          <w:szCs w:val="28"/>
        </w:rPr>
        <w:t xml:space="preserve">）实现清洁燃煤集中供暖，规划提出加快已投产项目环保改造步伐，对现有热源及新建热电联产项目均要求达到超低排放标杆水平，即烟尘、二氧化硫、氮氧化物排放浓度(基准含氧量6%)分别不超5mg/m³、35mg/m³、50mg/m³。 </w:t>
      </w:r>
    </w:p>
    <w:p>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w:t>
      </w:r>
      <w:r>
        <w:rPr>
          <w:rFonts w:asciiTheme="minorEastAsia" w:hAnsiTheme="minorEastAsia" w:eastAsiaTheme="minorEastAsia"/>
          <w:color w:val="auto"/>
          <w:sz w:val="28"/>
          <w:szCs w:val="28"/>
        </w:rPr>
        <w:t>7</w:t>
      </w:r>
      <w:r>
        <w:rPr>
          <w:rFonts w:hint="eastAsia" w:asciiTheme="minorEastAsia" w:hAnsiTheme="minorEastAsia" w:eastAsiaTheme="minorEastAsia"/>
          <w:color w:val="auto"/>
          <w:sz w:val="28"/>
          <w:szCs w:val="28"/>
        </w:rPr>
        <w:t xml:space="preserve">）建设“源网荷储一体化”智慧能源系统，构建“零碳”供热能源高效利用，最大效益发挥现有热电联产供热效率，统筹全市能源资源的建设、运营、管理，全面创建“一城一网”供热新格局，利用智慧供热平台精准调度各热源单位向热网送热。 </w:t>
      </w:r>
    </w:p>
    <w:p>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w:t>
      </w:r>
      <w:r>
        <w:rPr>
          <w:rFonts w:asciiTheme="minorEastAsia" w:hAnsiTheme="minorEastAsia" w:eastAsiaTheme="minorEastAsia"/>
          <w:color w:val="auto"/>
          <w:sz w:val="28"/>
          <w:szCs w:val="28"/>
        </w:rPr>
        <w:t>8</w:t>
      </w:r>
      <w:r>
        <w:rPr>
          <w:rFonts w:hint="eastAsia" w:asciiTheme="minorEastAsia" w:hAnsiTheme="minorEastAsia" w:eastAsiaTheme="minorEastAsia"/>
          <w:color w:val="auto"/>
          <w:sz w:val="28"/>
          <w:szCs w:val="28"/>
        </w:rPr>
        <w:t>）加快信息技术与供热产业融合发展，打造智慧供热平台，统筹构建抚顺市清洁供热数据中心，加强资源共享，发挥大数据的服务支撑作用。各供热企业构建安全、可靠、开放、融合、共享的数据生态，赋能城市发展，为百姓提供更智慧、更便捷、更温心的精准供热保障。</w:t>
      </w:r>
    </w:p>
    <w:p>
      <w:pPr>
        <w:pStyle w:val="19"/>
        <w:spacing w:line="360" w:lineRule="auto"/>
        <w:ind w:firstLine="562" w:firstLineChars="200"/>
        <w:outlineLvl w:val="1"/>
        <w:rPr>
          <w:rFonts w:ascii="Times New Roman" w:hAnsi="Times New Roman" w:cs="Times New Roman"/>
          <w:b/>
          <w:color w:val="auto"/>
          <w:sz w:val="28"/>
          <w:szCs w:val="28"/>
        </w:rPr>
      </w:pPr>
      <w:bookmarkStart w:id="32" w:name="_Toc13699"/>
      <w:r>
        <w:rPr>
          <w:rFonts w:hint="eastAsia" w:ascii="Times New Roman" w:hAnsi="Times New Roman" w:cs="Times New Roman"/>
          <w:b/>
          <w:color w:val="auto"/>
          <w:sz w:val="28"/>
          <w:szCs w:val="28"/>
        </w:rPr>
        <w:t>二</w:t>
      </w:r>
      <w:r>
        <w:rPr>
          <w:rFonts w:ascii="Times New Roman" w:hAnsi="Times New Roman" w:cs="Times New Roman"/>
          <w:b/>
          <w:color w:val="auto"/>
          <w:sz w:val="28"/>
          <w:szCs w:val="28"/>
        </w:rPr>
        <w:t>、热源规划</w:t>
      </w:r>
      <w:bookmarkEnd w:id="32"/>
    </w:p>
    <w:p>
      <w:pPr>
        <w:spacing w:line="360" w:lineRule="auto"/>
        <w:ind w:firstLine="562" w:firstLineChars="200"/>
        <w:outlineLvl w:val="1"/>
        <w:rPr>
          <w:b/>
          <w:color w:val="auto"/>
          <w:sz w:val="28"/>
          <w:szCs w:val="28"/>
        </w:rPr>
      </w:pPr>
      <w:bookmarkStart w:id="33" w:name="_Toc20161"/>
      <w:r>
        <w:rPr>
          <w:rFonts w:hint="eastAsia"/>
          <w:b/>
          <w:color w:val="auto"/>
          <w:sz w:val="28"/>
          <w:szCs w:val="28"/>
        </w:rPr>
        <w:t>2.1深挖现有热电联产供热能力</w:t>
      </w:r>
      <w:bookmarkEnd w:id="33"/>
    </w:p>
    <w:p>
      <w:pPr>
        <w:widowControl/>
        <w:spacing w:line="360" w:lineRule="auto"/>
        <w:ind w:firstLine="560" w:firstLineChars="200"/>
        <w:jc w:val="left"/>
        <w:rPr>
          <w:color w:val="auto"/>
          <w:sz w:val="28"/>
          <w:szCs w:val="28"/>
        </w:rPr>
      </w:pPr>
      <w:r>
        <w:rPr>
          <w:rFonts w:hint="eastAsia"/>
          <w:color w:val="auto"/>
          <w:sz w:val="28"/>
          <w:szCs w:val="28"/>
        </w:rPr>
        <w:t>2</w:t>
      </w:r>
      <w:r>
        <w:rPr>
          <w:color w:val="auto"/>
          <w:sz w:val="28"/>
          <w:szCs w:val="28"/>
        </w:rPr>
        <w:t>.1.1</w:t>
      </w:r>
      <w:r>
        <w:rPr>
          <w:rFonts w:hint="eastAsia"/>
          <w:color w:val="auto"/>
          <w:sz w:val="28"/>
          <w:szCs w:val="28"/>
        </w:rPr>
        <w:t>国电投集团东北公司抚顺热电分公司</w:t>
      </w:r>
    </w:p>
    <w:p>
      <w:pPr>
        <w:spacing w:line="360" w:lineRule="auto"/>
        <w:ind w:firstLine="560" w:firstLineChars="200"/>
        <w:rPr>
          <w:color w:val="auto"/>
          <w:sz w:val="28"/>
          <w:szCs w:val="28"/>
        </w:rPr>
      </w:pPr>
      <w:r>
        <w:rPr>
          <w:rFonts w:hint="eastAsia"/>
          <w:color w:val="auto"/>
          <w:sz w:val="28"/>
          <w:szCs w:val="28"/>
        </w:rPr>
        <w:t>国电投集团东北公司抚顺热电分公司现有2×1025t/h炉，配2×300MW机组，并配有4×40MW电蓄热锅炉。1#机组在2017年进行高背压供热改造（背压46KPa），将凝汽器中乏汽的压力提高，提高冷却水温，将凝汽器改为供热系统的热网加热器，而冷却水直接用作热网的循环水，充分利用凝汽式机组排汽的汽化潜热加热循环水，将冷源损失降低为零，从而提高机组的循环热效率，增加了供热量及供热面积，可使电厂效益大为增加。根据机组供热改造可行性研究报告得出1#机组改造后，最大供热量可达到466MW，其中采暖抽汽为210t/h，供热量为152MW；乏汽余热回收量为314MW。</w:t>
      </w:r>
    </w:p>
    <w:p>
      <w:pPr>
        <w:spacing w:line="360" w:lineRule="auto"/>
        <w:ind w:firstLine="560" w:firstLineChars="200"/>
        <w:rPr>
          <w:color w:val="auto"/>
          <w:sz w:val="28"/>
          <w:szCs w:val="28"/>
        </w:rPr>
      </w:pPr>
      <w:r>
        <w:rPr>
          <w:rFonts w:hint="eastAsia"/>
          <w:color w:val="auto"/>
          <w:sz w:val="28"/>
          <w:szCs w:val="28"/>
        </w:rPr>
        <w:t>2#机组在2019年进行低压缸零出力供热改造及高低压旁路联合供热改造，根据机组供热改造可行性研究报告得出，2#机组改造后供热能力达到517MW。低压缸零出力改造后，中压缸排气基本上全部对外供热，可降低低压缸的蒸汽消耗量,可实现供热能力最大化，可增加机组供热抽汽量约154t/h，增加供热能力112MW；高低压旁路联合供热改造即经高旁将部分主蒸汽旁路至高压缸排汽，之后从低压旁路后抽汽作为供热抽汽的补充汽源，可增加机组供热抽汽量约66t/h，增加供热能力48MW。在满足热网面积迅速扩大需求的同时，还可实现机组抽凝运行和背压运行的自动切换，有助于缓解采暖季热电负荷之间的矛盾。现有供热面积1</w:t>
      </w:r>
      <w:r>
        <w:rPr>
          <w:color w:val="auto"/>
          <w:sz w:val="28"/>
          <w:szCs w:val="28"/>
        </w:rPr>
        <w:t>507</w:t>
      </w:r>
      <w:r>
        <w:rPr>
          <w:rFonts w:hint="eastAsia"/>
          <w:color w:val="auto"/>
          <w:sz w:val="28"/>
          <w:szCs w:val="28"/>
        </w:rPr>
        <w:t>万平方米。</w:t>
      </w:r>
    </w:p>
    <w:p>
      <w:pPr>
        <w:spacing w:line="360" w:lineRule="auto"/>
        <w:ind w:firstLine="560" w:firstLineChars="200"/>
        <w:rPr>
          <w:color w:val="auto"/>
          <w:sz w:val="28"/>
          <w:szCs w:val="28"/>
        </w:rPr>
      </w:pPr>
      <w:r>
        <w:rPr>
          <w:rFonts w:hint="eastAsia"/>
          <w:color w:val="auto"/>
          <w:sz w:val="28"/>
          <w:szCs w:val="28"/>
        </w:rPr>
        <w:t>两项改造之后，2×300MW机组供热量可达到983MW以上，按热指标为</w:t>
      </w:r>
      <w:r>
        <w:rPr>
          <w:color w:val="auto"/>
          <w:sz w:val="28"/>
          <w:szCs w:val="28"/>
        </w:rPr>
        <w:t>45</w:t>
      </w:r>
      <w:r>
        <w:rPr>
          <w:rFonts w:hint="eastAsia"/>
          <w:color w:val="auto"/>
          <w:sz w:val="28"/>
          <w:szCs w:val="28"/>
        </w:rPr>
        <w:t>W/㎡计算，供热面积可达到</w:t>
      </w:r>
      <w:r>
        <w:rPr>
          <w:color w:val="auto"/>
          <w:sz w:val="28"/>
          <w:szCs w:val="28"/>
        </w:rPr>
        <w:t>2184</w:t>
      </w:r>
      <w:r>
        <w:rPr>
          <w:rFonts w:hint="eastAsia"/>
          <w:color w:val="auto"/>
          <w:sz w:val="28"/>
          <w:szCs w:val="28"/>
        </w:rPr>
        <w:t>万平方米。如满负荷接网可使热电厂效益大为增加。</w:t>
      </w:r>
    </w:p>
    <w:p>
      <w:pPr>
        <w:spacing w:line="360" w:lineRule="auto"/>
        <w:ind w:firstLine="560" w:firstLineChars="200"/>
        <w:rPr>
          <w:color w:val="auto"/>
          <w:sz w:val="28"/>
          <w:szCs w:val="28"/>
        </w:rPr>
      </w:pPr>
      <w:r>
        <w:rPr>
          <w:rFonts w:hint="eastAsia"/>
          <w:color w:val="auto"/>
          <w:sz w:val="28"/>
          <w:szCs w:val="28"/>
        </w:rPr>
        <w:t>国电投集团东北公司抚顺热电分公司位于抚顺市中部顺城区，相比较抚矿中机热电有限责任公司及辽宁东方发电有限公司，其地理位置更临近热负荷集中区域，所以规划国电投集团东北公司抚顺热电分公司的供热主干网东部与辽宁东方发电有限公司相接，西部与抚矿中机热电有限责任公司主干网相连，充分做到东西管网的中枢调控作用，保证供热的安全可靠。</w:t>
      </w:r>
    </w:p>
    <w:p>
      <w:pPr>
        <w:spacing w:line="360" w:lineRule="auto"/>
        <w:ind w:firstLine="560" w:firstLineChars="200"/>
        <w:rPr>
          <w:color w:val="auto"/>
          <w:sz w:val="28"/>
          <w:szCs w:val="28"/>
        </w:rPr>
      </w:pPr>
      <w:r>
        <w:rPr>
          <w:rFonts w:hint="eastAsia"/>
          <w:color w:val="auto"/>
          <w:sz w:val="28"/>
          <w:szCs w:val="28"/>
        </w:rPr>
        <w:t>2</w:t>
      </w:r>
      <w:r>
        <w:rPr>
          <w:color w:val="auto"/>
          <w:sz w:val="28"/>
          <w:szCs w:val="28"/>
        </w:rPr>
        <w:t>.1.2</w:t>
      </w:r>
      <w:r>
        <w:rPr>
          <w:rFonts w:hint="eastAsia"/>
          <w:color w:val="auto"/>
          <w:sz w:val="28"/>
          <w:szCs w:val="28"/>
        </w:rPr>
        <w:t>抚矿中机热电有限责任公司</w:t>
      </w:r>
    </w:p>
    <w:p>
      <w:pPr>
        <w:spacing w:line="360" w:lineRule="auto"/>
        <w:ind w:firstLine="560" w:firstLineChars="200"/>
        <w:rPr>
          <w:rFonts w:hint="eastAsia"/>
          <w:color w:val="auto"/>
          <w:sz w:val="28"/>
          <w:szCs w:val="28"/>
        </w:rPr>
      </w:pPr>
      <w:r>
        <w:rPr>
          <w:rFonts w:hint="eastAsia"/>
          <w:color w:val="auto"/>
          <w:sz w:val="28"/>
          <w:szCs w:val="28"/>
        </w:rPr>
        <w:t>抚矿中机热电有限责任公司现有2×1025t/h炉，配2×300MW机组，并配有6×60MW电蓄热锅炉。目前抚矿中机热电有限责任公司供热面积已达到17</w:t>
      </w:r>
      <w:r>
        <w:rPr>
          <w:color w:val="auto"/>
          <w:sz w:val="28"/>
          <w:szCs w:val="28"/>
        </w:rPr>
        <w:t>06</w:t>
      </w:r>
      <w:r>
        <w:rPr>
          <w:rFonts w:hint="eastAsia"/>
          <w:color w:val="auto"/>
          <w:sz w:val="28"/>
          <w:szCs w:val="28"/>
        </w:rPr>
        <w:t>万平方米，并为琥珀纸业提供约80t/h工业蒸汽，该热电厂已基本发挥最大供热能力。</w:t>
      </w:r>
    </w:p>
    <w:p>
      <w:pPr>
        <w:spacing w:line="360" w:lineRule="auto"/>
        <w:ind w:firstLine="560" w:firstLineChars="200"/>
        <w:rPr>
          <w:rFonts w:hint="eastAsia"/>
          <w:color w:val="auto"/>
          <w:sz w:val="28"/>
          <w:szCs w:val="28"/>
        </w:rPr>
      </w:pPr>
      <w:r>
        <w:rPr>
          <w:rFonts w:hint="eastAsia"/>
          <w:color w:val="auto"/>
          <w:sz w:val="28"/>
          <w:szCs w:val="28"/>
        </w:rPr>
        <w:t>规划近期，2×300MW机组全部用于供民用采暖。</w:t>
      </w:r>
    </w:p>
    <w:p>
      <w:pPr>
        <w:spacing w:line="360" w:lineRule="auto"/>
        <w:ind w:firstLine="560" w:firstLineChars="200"/>
        <w:rPr>
          <w:rFonts w:hint="eastAsia"/>
          <w:color w:val="auto"/>
          <w:sz w:val="28"/>
          <w:szCs w:val="28"/>
        </w:rPr>
      </w:pPr>
      <w:r>
        <w:rPr>
          <w:rFonts w:hint="eastAsia"/>
          <w:color w:val="auto"/>
          <w:sz w:val="28"/>
          <w:szCs w:val="28"/>
        </w:rPr>
        <w:t>并且近期抚矿中机热电有限责任公司2×300MW机组采用高中低压缸改造+保留旋转隔板方案进行汽轮机通流改造，在不影响机组供热能力的前提下，可提高机组的运行经济性，改善机组调峰性能，实现节能、减排。两台机组改造后每年可节约标煤约3.65万吨，减排二氧化碳9万吨，减排二氧化硫300吨，减排氮氧化物272吨。改造项目已完成可行性研究报告。</w:t>
      </w:r>
    </w:p>
    <w:p>
      <w:pPr>
        <w:spacing w:line="360" w:lineRule="auto"/>
        <w:ind w:firstLine="560" w:firstLineChars="200"/>
        <w:rPr>
          <w:rFonts w:hint="eastAsia"/>
          <w:color w:val="auto"/>
          <w:sz w:val="28"/>
          <w:szCs w:val="28"/>
        </w:rPr>
      </w:pPr>
      <w:r>
        <w:rPr>
          <w:rFonts w:hint="eastAsia"/>
          <w:color w:val="auto"/>
          <w:sz w:val="28"/>
          <w:szCs w:val="28"/>
        </w:rPr>
        <w:t>规划远期，对该机组进行供热灵活性改造，改造后2×300MW机组供热能力可达到850MW以上，同时在热电厂内建设2台70MW的燃气锅炉作为事故备用，按热指标为40W/㎡计算，供热面积可达到2125万平方米。</w:t>
      </w:r>
    </w:p>
    <w:p>
      <w:pPr>
        <w:spacing w:line="360" w:lineRule="auto"/>
        <w:ind w:firstLine="560" w:firstLineChars="200"/>
        <w:rPr>
          <w:color w:val="auto"/>
          <w:sz w:val="28"/>
          <w:szCs w:val="28"/>
        </w:rPr>
      </w:pPr>
      <w:r>
        <w:rPr>
          <w:rFonts w:hint="eastAsia"/>
          <w:color w:val="auto"/>
          <w:sz w:val="28"/>
          <w:szCs w:val="28"/>
        </w:rPr>
        <w:t>2</w:t>
      </w:r>
      <w:r>
        <w:rPr>
          <w:color w:val="auto"/>
          <w:sz w:val="28"/>
          <w:szCs w:val="28"/>
        </w:rPr>
        <w:t>.1.3</w:t>
      </w:r>
      <w:r>
        <w:rPr>
          <w:rFonts w:hint="eastAsia"/>
          <w:color w:val="auto"/>
          <w:sz w:val="28"/>
          <w:szCs w:val="28"/>
        </w:rPr>
        <w:t>辽宁东方发电有限公司</w:t>
      </w:r>
    </w:p>
    <w:p>
      <w:pPr>
        <w:spacing w:line="360" w:lineRule="auto"/>
        <w:ind w:firstLine="560" w:firstLineChars="200"/>
        <w:rPr>
          <w:color w:val="auto"/>
          <w:sz w:val="28"/>
          <w:szCs w:val="28"/>
        </w:rPr>
      </w:pPr>
      <w:r>
        <w:rPr>
          <w:rFonts w:hint="eastAsia"/>
          <w:color w:val="auto"/>
          <w:sz w:val="28"/>
          <w:szCs w:val="28"/>
        </w:rPr>
        <w:t>辽宁东方发电有限公司现有2×1165t/h炉，配2×350MW机组，2005年建成并投产供热。2017年及2021年分别对厂内现有1#、2#机组进行低压缸零出力供热改造，在低压缸高真空运行条件下，采用可完全密封的液压蝶阀切除低压缸原进汽管道进汽，通过新增旁路管道通入少量的冷却蒸汽，用于带走低压缸零出力后低压转子转动产生的鼓风热量。与改造前相比，该改造解除了低压缸最小蒸汽流量的制约，在供热量不变的情况下，可显著降低机组发电功率，实现深度调峰，实现机组抽凝运行和背压运行的自动切换。</w:t>
      </w:r>
    </w:p>
    <w:p>
      <w:pPr>
        <w:spacing w:line="360" w:lineRule="auto"/>
        <w:ind w:firstLine="560" w:firstLineChars="200"/>
        <w:rPr>
          <w:rFonts w:hint="eastAsia"/>
          <w:color w:val="auto"/>
          <w:sz w:val="28"/>
          <w:szCs w:val="28"/>
        </w:rPr>
      </w:pPr>
      <w:r>
        <w:rPr>
          <w:rFonts w:hint="eastAsia"/>
          <w:color w:val="auto"/>
          <w:sz w:val="28"/>
          <w:szCs w:val="28"/>
        </w:rPr>
        <w:t>改造之后，两台机组最大供热量可达到921MW以上，按热指标为</w:t>
      </w:r>
      <w:r>
        <w:rPr>
          <w:color w:val="auto"/>
          <w:sz w:val="28"/>
          <w:szCs w:val="28"/>
        </w:rPr>
        <w:t>45</w:t>
      </w:r>
      <w:r>
        <w:rPr>
          <w:rFonts w:hint="eastAsia"/>
          <w:color w:val="auto"/>
          <w:sz w:val="28"/>
          <w:szCs w:val="28"/>
        </w:rPr>
        <w:t>W/㎡计算，供热面积可达到</w:t>
      </w:r>
      <w:r>
        <w:rPr>
          <w:color w:val="auto"/>
          <w:sz w:val="28"/>
          <w:szCs w:val="28"/>
        </w:rPr>
        <w:t>2046</w:t>
      </w:r>
      <w:r>
        <w:rPr>
          <w:rFonts w:hint="eastAsia"/>
          <w:color w:val="auto"/>
          <w:sz w:val="28"/>
          <w:szCs w:val="28"/>
        </w:rPr>
        <w:t>万平方米。主要覆盖范围包括抚顺抚电能源分公司前甸、城东二期、城东三期地区，东州地区，抚顺辽电热力公司章党地区。目前辽宁东方发电有限公司供热面积1</w:t>
      </w:r>
      <w:r>
        <w:rPr>
          <w:color w:val="auto"/>
          <w:sz w:val="28"/>
          <w:szCs w:val="28"/>
        </w:rPr>
        <w:t>516</w:t>
      </w:r>
      <w:r>
        <w:rPr>
          <w:rFonts w:hint="eastAsia"/>
          <w:color w:val="auto"/>
          <w:sz w:val="28"/>
          <w:szCs w:val="28"/>
        </w:rPr>
        <w:t>万平方米，未达到机组最大供热能力，如满负荷接网可使热电厂效益大为增加。</w:t>
      </w:r>
    </w:p>
    <w:p>
      <w:pPr>
        <w:spacing w:line="540" w:lineRule="exact"/>
        <w:ind w:firstLine="560" w:firstLineChars="200"/>
        <w:rPr>
          <w:color w:val="auto"/>
          <w:sz w:val="28"/>
          <w:szCs w:val="28"/>
        </w:rPr>
      </w:pPr>
      <w:r>
        <w:rPr>
          <w:rFonts w:hint="eastAsia"/>
          <w:color w:val="auto"/>
          <w:sz w:val="28"/>
          <w:szCs w:val="28"/>
        </w:rPr>
        <w:t>2</w:t>
      </w:r>
      <w:r>
        <w:rPr>
          <w:color w:val="auto"/>
          <w:sz w:val="28"/>
          <w:szCs w:val="28"/>
        </w:rPr>
        <w:t>.1.</w:t>
      </w:r>
      <w:r>
        <w:rPr>
          <w:rFonts w:hint="eastAsia" w:ascii="Times New Roman" w:eastAsia="宋体"/>
          <w:color w:val="auto"/>
          <w:sz w:val="28"/>
          <w:szCs w:val="28"/>
          <w:lang w:val="en-US" w:eastAsia="zh-CN"/>
        </w:rPr>
        <w:t>4</w:t>
      </w:r>
      <w:r>
        <w:rPr>
          <w:rFonts w:hint="eastAsia"/>
          <w:color w:val="auto"/>
          <w:sz w:val="28"/>
          <w:szCs w:val="28"/>
        </w:rPr>
        <w:t>高新区公用热电联产项目</w:t>
      </w:r>
    </w:p>
    <w:p>
      <w:pPr>
        <w:spacing w:line="540" w:lineRule="exact"/>
        <w:ind w:firstLine="560" w:firstLineChars="200"/>
        <w:rPr>
          <w:rFonts w:hint="eastAsia"/>
          <w:color w:val="auto"/>
          <w:sz w:val="28"/>
          <w:szCs w:val="28"/>
          <w:lang w:eastAsia="zh-CN"/>
        </w:rPr>
      </w:pPr>
      <w:r>
        <w:rPr>
          <w:rFonts w:hint="eastAsia"/>
          <w:color w:val="auto"/>
          <w:sz w:val="28"/>
          <w:szCs w:val="28"/>
        </w:rPr>
        <w:t>进入“十四五”以来，抚顺高新区处于快速发展阶段，实现规模以上工业总产值 651 亿元，同比增长 30.9%；计划 2023 年规模以上工业总产值实现 710 亿元，同比增长 10%；固定资产投资实现 30 亿元，同比增长 203%</w:t>
      </w:r>
      <w:r>
        <w:rPr>
          <w:rFonts w:hint="eastAsia" w:eastAsia="宋体"/>
          <w:color w:val="auto"/>
          <w:sz w:val="28"/>
          <w:szCs w:val="28"/>
          <w:lang w:eastAsia="zh-CN"/>
        </w:rPr>
        <w:t>。</w:t>
      </w:r>
      <w:r>
        <w:rPr>
          <w:rFonts w:hint="eastAsia"/>
          <w:color w:val="auto"/>
          <w:sz w:val="28"/>
          <w:szCs w:val="28"/>
        </w:rPr>
        <w:t>企业总量达到了 52 户，其中产值超亿元以上企业达到 27 户。根据《辽宁省化工园区认定暂行办法》要求，为满足用汽负荷需求逐年上升的实际情况，向抚顺高新区内企业生产提供稳定用气源，配套统一集中的供热、供电设施，设计建设以工业热负荷为主的市政公用热电厂十分紧迫。在前版《抚顺市城市热电发展总体规划》（2012—2020 年）中已规划在石化新城（即抚顺高新区）内新建热电联产项目，建设规模为 3×50MW 背压机组，本次规划根据现状及发展热负荷重新调整机组规模</w:t>
      </w:r>
      <w:r>
        <w:rPr>
          <w:rFonts w:hint="eastAsia" w:eastAsia="宋体"/>
          <w:color w:val="auto"/>
          <w:sz w:val="28"/>
          <w:szCs w:val="28"/>
          <w:lang w:eastAsia="zh-CN"/>
        </w:rPr>
        <w:t>。</w:t>
      </w:r>
    </w:p>
    <w:p>
      <w:pPr>
        <w:spacing w:line="540" w:lineRule="exact"/>
        <w:ind w:firstLine="560" w:firstLineChars="200"/>
        <w:rPr>
          <w:rFonts w:hint="eastAsia"/>
          <w:color w:val="auto"/>
          <w:sz w:val="28"/>
          <w:szCs w:val="28"/>
          <w:lang w:eastAsia="zh-CN"/>
        </w:rPr>
      </w:pPr>
      <w:r>
        <w:rPr>
          <w:rFonts w:hint="eastAsia" w:eastAsia="宋体"/>
          <w:color w:val="auto"/>
          <w:sz w:val="28"/>
          <w:szCs w:val="28"/>
          <w:lang w:eastAsia="zh-CN"/>
        </w:rPr>
        <w:t>根据热负荷特点并从保证投资效益考虑，热源分近、远两期建设，其规模在满足抚顺高新区近期热负荷需求的基础上，结合远期热负荷的需求来确定，最终实现热电联产和集中供热的目的。</w:t>
      </w:r>
    </w:p>
    <w:p>
      <w:pPr>
        <w:spacing w:line="540" w:lineRule="exact"/>
        <w:ind w:firstLine="560" w:firstLineChars="200"/>
        <w:rPr>
          <w:rFonts w:hint="eastAsia"/>
          <w:color w:val="auto"/>
          <w:sz w:val="28"/>
          <w:szCs w:val="28"/>
          <w:lang w:eastAsia="zh-CN"/>
        </w:rPr>
      </w:pPr>
      <w:r>
        <w:rPr>
          <w:rFonts w:hint="eastAsia" w:eastAsia="宋体"/>
          <w:color w:val="auto"/>
          <w:sz w:val="28"/>
          <w:szCs w:val="28"/>
          <w:lang w:eastAsia="zh-CN"/>
        </w:rPr>
        <w:t>规划 2025 年，该项目第一期建成，项目厂址于抚顺高新区中部，装机规模 2×40MW 等级背压机组，配 3×280t/h 蒸汽锅炉，可外供蒸汽量为630t/h，满足抚顺高新区规划近期 568t/h 的供汽需求，并在厂区内预留扩建条件。</w:t>
      </w:r>
    </w:p>
    <w:p>
      <w:pPr>
        <w:spacing w:line="540" w:lineRule="exact"/>
        <w:ind w:firstLine="560" w:firstLineChars="200"/>
        <w:rPr>
          <w:rFonts w:hint="eastAsia"/>
          <w:color w:val="auto"/>
          <w:sz w:val="28"/>
          <w:szCs w:val="28"/>
          <w:lang w:eastAsia="zh-CN"/>
        </w:rPr>
      </w:pPr>
      <w:r>
        <w:rPr>
          <w:rFonts w:hint="eastAsia" w:eastAsia="宋体"/>
          <w:color w:val="auto"/>
          <w:sz w:val="28"/>
          <w:szCs w:val="28"/>
          <w:lang w:eastAsia="zh-CN"/>
        </w:rPr>
        <w:t>规划 2035 年前，在新建热电联产厂区内扩建 2×50MW 等级背压机组，配 3×420t/h 蒸汽锅炉，最终实现 2×40MW+2×50MW 规模背压机组。据初步测算，四台背压机组可提供蒸汽量约为 1575t/h。在满足抚顺高新区规划远期 1170t/h 的供汽需求后，还富余约 400t/h 蒸汽可为抚顺高新区内其它企业或抚顺石化公司作为备用。</w:t>
      </w:r>
    </w:p>
    <w:p>
      <w:pPr>
        <w:spacing w:line="360" w:lineRule="auto"/>
        <w:ind w:firstLine="560" w:firstLineChars="200"/>
        <w:rPr>
          <w:rFonts w:hint="eastAsia"/>
          <w:color w:val="auto"/>
          <w:sz w:val="28"/>
          <w:szCs w:val="28"/>
        </w:rPr>
      </w:pPr>
    </w:p>
    <w:p>
      <w:pPr>
        <w:spacing w:line="360" w:lineRule="auto"/>
        <w:ind w:firstLine="562" w:firstLineChars="200"/>
        <w:outlineLvl w:val="1"/>
        <w:rPr>
          <w:b/>
          <w:color w:val="auto"/>
          <w:sz w:val="28"/>
          <w:szCs w:val="28"/>
        </w:rPr>
      </w:pPr>
      <w:bookmarkStart w:id="34" w:name="_Toc19953"/>
      <w:r>
        <w:rPr>
          <w:rFonts w:hint="eastAsia"/>
          <w:b/>
          <w:color w:val="auto"/>
          <w:sz w:val="28"/>
          <w:szCs w:val="28"/>
        </w:rPr>
        <w:t>2.2 工业余热规模化</w:t>
      </w:r>
      <w:bookmarkEnd w:id="34"/>
      <w:r>
        <w:rPr>
          <w:rFonts w:hint="eastAsia"/>
          <w:b/>
          <w:color w:val="auto"/>
          <w:sz w:val="28"/>
          <w:szCs w:val="28"/>
        </w:rPr>
        <w:t xml:space="preserve"> </w:t>
      </w:r>
    </w:p>
    <w:p>
      <w:pPr>
        <w:spacing w:line="360" w:lineRule="auto"/>
        <w:ind w:firstLine="560" w:firstLineChars="200"/>
        <w:rPr>
          <w:color w:val="auto"/>
          <w:sz w:val="28"/>
          <w:szCs w:val="28"/>
        </w:rPr>
      </w:pPr>
      <w:r>
        <w:rPr>
          <w:rFonts w:hint="eastAsia"/>
          <w:color w:val="auto"/>
          <w:sz w:val="28"/>
          <w:szCs w:val="28"/>
        </w:rPr>
        <w:t>抚顺市“立足于工业，发展于工业”，应充分发挥抚顺市得天独厚的 资源禀赋，利用产业基础优势，积极探索多种形式的工业余热利用，并推进工业余热在抚顺市城区供热中规模化应用，使工业余热优先利用、充分利用。目前在市中心供热区内，有新钢铁工业余热热源、抚矿页岩炼油厂余热热源，三家大型工业企业，共同为抚顺市城区提供供热面积约637万平方米。</w:t>
      </w:r>
    </w:p>
    <w:p>
      <w:pPr>
        <w:spacing w:line="360" w:lineRule="auto"/>
        <w:ind w:firstLine="560" w:firstLineChars="200"/>
        <w:rPr>
          <w:color w:val="auto"/>
          <w:sz w:val="28"/>
          <w:szCs w:val="28"/>
        </w:rPr>
      </w:pPr>
      <w:r>
        <w:rPr>
          <w:rFonts w:hint="eastAsia"/>
          <w:color w:val="auto"/>
          <w:sz w:val="28"/>
          <w:szCs w:val="28"/>
        </w:rPr>
        <w:t>在规划期探索新型工业余热利用。鼓励全市各类工业企业，开发并有效回收其不同类型、品位的余热，通过直接换热、吸收式换热、电动热泵等组成的热回收系统，补充采暖供热。抚顺市内钢铁厂也可利用冲渣水余热，渣水池温度65-70℃，通过吸收式换热器，可以把20℃回水加热到90℃，全额回收冲渣水热量。钢铁厂需将渣水池覆盖，尽量减少渣水蒸发散热。化工厂可利用冷却水替代冷却塔，冷却水温度30-50℃，通过换热把20℃的回水加热到45℃，再利用热泵实现供热。</w:t>
      </w:r>
    </w:p>
    <w:p>
      <w:pPr>
        <w:spacing w:line="360" w:lineRule="auto"/>
        <w:ind w:firstLine="560" w:firstLineChars="200"/>
        <w:rPr>
          <w:color w:val="auto"/>
          <w:sz w:val="28"/>
          <w:szCs w:val="28"/>
        </w:rPr>
      </w:pPr>
      <w:r>
        <w:rPr>
          <w:rFonts w:hint="eastAsia"/>
          <w:color w:val="auto"/>
          <w:sz w:val="28"/>
          <w:szCs w:val="28"/>
        </w:rPr>
        <w:t>规划近期到2025年，现有三家余热供热企业保持其现状供热能力。新钢铁公司在规划期将继续挖潜余热资源，对未利用的烟气余热、固体显热进行利用技术研发与工程化应用。</w:t>
      </w:r>
    </w:p>
    <w:p>
      <w:pPr>
        <w:spacing w:line="360" w:lineRule="auto"/>
        <w:ind w:firstLine="560" w:firstLineChars="200"/>
        <w:rPr>
          <w:color w:val="auto"/>
          <w:sz w:val="28"/>
          <w:szCs w:val="28"/>
        </w:rPr>
      </w:pPr>
      <w:r>
        <w:rPr>
          <w:rFonts w:hint="eastAsia"/>
          <w:color w:val="auto"/>
          <w:sz w:val="28"/>
          <w:szCs w:val="28"/>
        </w:rPr>
        <w:t>规划远期到203</w:t>
      </w:r>
      <w:r>
        <w:rPr>
          <w:rFonts w:hint="eastAsia"/>
          <w:color w:val="auto"/>
          <w:sz w:val="28"/>
          <w:szCs w:val="28"/>
          <w:lang w:val="en-US" w:eastAsia="zh-CN"/>
        </w:rPr>
        <w:t>5</w:t>
      </w:r>
      <w:r>
        <w:rPr>
          <w:rFonts w:hint="eastAsia"/>
          <w:color w:val="auto"/>
          <w:sz w:val="28"/>
          <w:szCs w:val="28"/>
        </w:rPr>
        <w:t>年，可根据其生产规模的扩大化，增加工业余热利用的规模，抚矿页岩炼油厂可利用干馏工艺对油页岩资源进行炼油的生产过程中产生的种类较多、热负荷较大的生产余热为周边地区供暖，远期可开发不同种类的余热模式：干馏瓦斯发电余热、回收系统循环洗涤水余热、供热系统循环冷却水余热以及干馏污水余热等。规划远期为工业余热预留150万平方米供热负荷，并保证优先接入热网，充分做到绿色能源优先供热。</w:t>
      </w:r>
    </w:p>
    <w:p>
      <w:pPr>
        <w:spacing w:line="360" w:lineRule="auto"/>
        <w:ind w:firstLine="560" w:firstLineChars="200"/>
        <w:rPr>
          <w:color w:val="auto"/>
          <w:sz w:val="28"/>
          <w:szCs w:val="28"/>
        </w:rPr>
      </w:pPr>
      <w:r>
        <w:rPr>
          <w:rFonts w:hint="eastAsia"/>
          <w:color w:val="auto"/>
          <w:sz w:val="28"/>
          <w:szCs w:val="28"/>
        </w:rPr>
        <w:t>针对抚顺市工业余热的具体特点，规划对工业余热利用的进一步开展提出以下五点建议：</w:t>
      </w:r>
    </w:p>
    <w:p>
      <w:pPr>
        <w:spacing w:line="360" w:lineRule="auto"/>
        <w:ind w:firstLine="560" w:firstLineChars="200"/>
        <w:rPr>
          <w:color w:val="auto"/>
          <w:sz w:val="28"/>
          <w:szCs w:val="28"/>
        </w:rPr>
      </w:pPr>
      <w:r>
        <w:rPr>
          <w:rFonts w:hint="eastAsia"/>
          <w:color w:val="auto"/>
          <w:sz w:val="28"/>
          <w:szCs w:val="28"/>
        </w:rPr>
        <w:t>（1）化工企业余热利用是符合节能、环保的国家大方针，政府及各部门应大力支持。</w:t>
      </w:r>
    </w:p>
    <w:p>
      <w:pPr>
        <w:spacing w:line="360" w:lineRule="auto"/>
        <w:ind w:firstLine="560" w:firstLineChars="200"/>
        <w:rPr>
          <w:color w:val="auto"/>
          <w:sz w:val="28"/>
          <w:szCs w:val="28"/>
        </w:rPr>
      </w:pPr>
      <w:r>
        <w:rPr>
          <w:rFonts w:hint="eastAsia"/>
          <w:color w:val="auto"/>
          <w:sz w:val="28"/>
          <w:szCs w:val="28"/>
        </w:rPr>
        <w:t>（2）生产热负荷的波动是由生产工艺（包括订单）决定的，而采暖热负荷的波动是由天气决定的，这两者的差异要在余热利用项目进行时加以认真考虑。</w:t>
      </w:r>
    </w:p>
    <w:p>
      <w:pPr>
        <w:spacing w:line="360" w:lineRule="auto"/>
        <w:ind w:firstLine="560" w:firstLineChars="200"/>
        <w:rPr>
          <w:color w:val="auto"/>
          <w:sz w:val="28"/>
          <w:szCs w:val="28"/>
        </w:rPr>
      </w:pPr>
      <w:r>
        <w:rPr>
          <w:rFonts w:hint="eastAsia"/>
          <w:color w:val="auto"/>
          <w:sz w:val="28"/>
          <w:szCs w:val="28"/>
        </w:rPr>
        <w:t>（3）理论计算可利用热负荷量与实际可利用热负荷量往往是不一致的，尤其是在低温热负荷的获取上，其差异可能还会大一些，所以也要留有余地。</w:t>
      </w:r>
    </w:p>
    <w:p>
      <w:pPr>
        <w:spacing w:line="360" w:lineRule="auto"/>
        <w:ind w:firstLine="560" w:firstLineChars="200"/>
        <w:rPr>
          <w:color w:val="auto"/>
          <w:sz w:val="28"/>
          <w:szCs w:val="28"/>
        </w:rPr>
      </w:pPr>
      <w:r>
        <w:rPr>
          <w:rFonts w:hint="eastAsia"/>
          <w:color w:val="auto"/>
          <w:sz w:val="28"/>
          <w:szCs w:val="28"/>
        </w:rPr>
        <w:t>（4）采用“采暖末端梯级利用”技术，可使低温余热利用工程的投资大幅下降，有利于余热利用的推广。</w:t>
      </w:r>
    </w:p>
    <w:p>
      <w:pPr>
        <w:spacing w:line="360" w:lineRule="auto"/>
        <w:ind w:firstLine="560" w:firstLineChars="200"/>
        <w:rPr>
          <w:color w:val="auto"/>
          <w:sz w:val="28"/>
          <w:szCs w:val="28"/>
        </w:rPr>
      </w:pPr>
      <w:r>
        <w:rPr>
          <w:rFonts w:hint="eastAsia"/>
          <w:color w:val="auto"/>
          <w:sz w:val="28"/>
          <w:szCs w:val="28"/>
        </w:rPr>
        <w:t>（5）对有波动的余热利用规划建议最好设备用热源，以应对克服波动及发生故障之备用。</w:t>
      </w:r>
    </w:p>
    <w:p>
      <w:pPr>
        <w:spacing w:line="360" w:lineRule="auto"/>
        <w:ind w:firstLine="562" w:firstLineChars="200"/>
        <w:outlineLvl w:val="1"/>
        <w:rPr>
          <w:color w:val="auto"/>
          <w:sz w:val="28"/>
          <w:szCs w:val="28"/>
        </w:rPr>
      </w:pPr>
      <w:bookmarkStart w:id="35" w:name="_Toc30104"/>
      <w:r>
        <w:rPr>
          <w:rFonts w:hint="eastAsia"/>
          <w:b/>
          <w:color w:val="auto"/>
          <w:sz w:val="28"/>
          <w:szCs w:val="28"/>
        </w:rPr>
        <w:t>2.3燃煤锅炉取消</w:t>
      </w:r>
      <w:bookmarkEnd w:id="35"/>
    </w:p>
    <w:p>
      <w:pPr>
        <w:spacing w:line="360" w:lineRule="auto"/>
        <w:ind w:firstLine="560" w:firstLineChars="200"/>
        <w:rPr>
          <w:rFonts w:hint="eastAsia"/>
          <w:color w:val="auto"/>
          <w:sz w:val="28"/>
          <w:szCs w:val="28"/>
        </w:rPr>
      </w:pPr>
      <w:r>
        <w:rPr>
          <w:rFonts w:hint="eastAsia"/>
          <w:color w:val="auto"/>
          <w:sz w:val="28"/>
          <w:szCs w:val="28"/>
        </w:rPr>
        <w:t>抚顺城南热源厂内现有2×70MW燃煤锅炉，依据热电规划，城南热源厂在近期2025年前作为备用，远期2035年前淘汰关停，并入热电联产热网，现供热挂网面积为180万平方米，实际供热面积120万平方米。届时抚顺市城区清洁节供暖率可达到100%。</w:t>
      </w:r>
    </w:p>
    <w:p>
      <w:pPr>
        <w:spacing w:line="540" w:lineRule="exact"/>
        <w:ind w:firstLine="602" w:firstLineChars="200"/>
        <w:outlineLvl w:val="1"/>
        <w:rPr>
          <w:rFonts w:hint="eastAsia"/>
          <w:b/>
          <w:color w:val="auto"/>
          <w:sz w:val="30"/>
          <w:szCs w:val="32"/>
        </w:rPr>
      </w:pPr>
      <w:bookmarkStart w:id="36" w:name="_Toc25040"/>
      <w:bookmarkStart w:id="37" w:name="_Toc15664"/>
      <w:r>
        <w:rPr>
          <w:rFonts w:hint="eastAsia" w:ascii="Times New Roman" w:eastAsia="宋体"/>
          <w:b/>
          <w:color w:val="auto"/>
          <w:sz w:val="30"/>
          <w:szCs w:val="32"/>
          <w:lang w:val="en-US" w:eastAsia="zh-CN"/>
        </w:rPr>
        <w:t>2.4</w:t>
      </w:r>
      <w:r>
        <w:rPr>
          <w:rFonts w:hint="eastAsia"/>
          <w:b/>
          <w:color w:val="auto"/>
          <w:sz w:val="30"/>
          <w:szCs w:val="32"/>
        </w:rPr>
        <w:t>清洁能源种类</w:t>
      </w:r>
      <w:bookmarkEnd w:id="36"/>
      <w:bookmarkEnd w:id="37"/>
    </w:p>
    <w:p>
      <w:pPr>
        <w:spacing w:line="540" w:lineRule="exact"/>
        <w:ind w:firstLine="560" w:firstLineChars="200"/>
        <w:rPr>
          <w:rFonts w:hint="eastAsia"/>
          <w:color w:val="auto"/>
          <w:sz w:val="28"/>
          <w:szCs w:val="28"/>
        </w:rPr>
      </w:pPr>
      <w:r>
        <w:rPr>
          <w:rFonts w:hint="eastAsia" w:ascii="Times New Roman" w:eastAsia="宋体"/>
          <w:color w:val="auto"/>
          <w:sz w:val="28"/>
          <w:szCs w:val="28"/>
          <w:lang w:val="en-US" w:eastAsia="zh-CN"/>
        </w:rPr>
        <w:t>2.4.1</w:t>
      </w:r>
      <w:r>
        <w:rPr>
          <w:rFonts w:hint="eastAsia"/>
          <w:color w:val="auto"/>
          <w:sz w:val="28"/>
          <w:szCs w:val="28"/>
        </w:rPr>
        <w:t xml:space="preserve"> 生物质能热源</w:t>
      </w:r>
    </w:p>
    <w:p>
      <w:pPr>
        <w:spacing w:line="540" w:lineRule="exact"/>
        <w:ind w:firstLine="560" w:firstLineChars="200"/>
        <w:rPr>
          <w:rFonts w:hint="eastAsia"/>
          <w:color w:val="auto"/>
          <w:sz w:val="28"/>
          <w:szCs w:val="28"/>
        </w:rPr>
      </w:pPr>
      <w:r>
        <w:rPr>
          <w:rFonts w:hint="eastAsia"/>
          <w:color w:val="auto"/>
          <w:sz w:val="28"/>
          <w:szCs w:val="28"/>
        </w:rPr>
        <w:t>抚顺市县城农村地区生物质资源十分丰富，除去农村炊事取暖、畜牧饲料消耗外，剩余大部分生物质资源被直接烧掉及腐烂消耗。生物质燃料易燃易腐、占地面积大、不易存放等原因，使得大量的剩余生物质燃料堆放于田间地头或直接烧掉，直接影响大气环境和交通安全，造成极大的能源浪费。因此，利用生物质资源供暖既是落实国家节约能源和环境保护政策，实现发展低碳循环经济的实际举措，也是促进经济增长、增加农民收入的有效途径。</w:t>
      </w:r>
    </w:p>
    <w:p>
      <w:pPr>
        <w:spacing w:line="540" w:lineRule="exact"/>
        <w:ind w:firstLine="560" w:firstLineChars="200"/>
        <w:rPr>
          <w:rFonts w:hint="eastAsia"/>
          <w:color w:val="auto"/>
          <w:sz w:val="28"/>
          <w:szCs w:val="28"/>
          <w:lang w:val="en-US" w:eastAsia="zh-CN"/>
        </w:rPr>
      </w:pPr>
      <w:r>
        <w:rPr>
          <w:rFonts w:hint="eastAsia" w:ascii="Times New Roman" w:eastAsia="宋体"/>
          <w:color w:val="auto"/>
          <w:sz w:val="28"/>
          <w:szCs w:val="28"/>
          <w:lang w:val="en-US" w:eastAsia="zh-CN"/>
        </w:rPr>
        <w:t>2.4.2 太阳能等可再生能源</w:t>
      </w:r>
    </w:p>
    <w:p>
      <w:pPr>
        <w:spacing w:line="540" w:lineRule="exact"/>
        <w:ind w:firstLine="560" w:firstLineChars="200"/>
        <w:rPr>
          <w:rFonts w:hint="eastAsia"/>
          <w:color w:val="auto"/>
          <w:sz w:val="28"/>
          <w:szCs w:val="28"/>
        </w:rPr>
      </w:pPr>
      <w:r>
        <w:rPr>
          <w:rFonts w:hint="eastAsia"/>
          <w:color w:val="auto"/>
          <w:sz w:val="28"/>
          <w:szCs w:val="28"/>
        </w:rPr>
        <w:t>辽宁省是我国太阳能资源比较丰富的省份之一，大面积区域处于我国太阳能资源三类地区，具有开发利用价值。全省年平均太阳总辐射量为4950MJ/㎡，受地理位置、地形条件等影响，各地资源状况有所不同，基本呈现由西北至东南减弱的分布形态（4400-5400MJ/㎡）。根据辽宁省太阳能资源区划结果，抚顺市位于Ⅱ级区域，属于资源较丰富区，年均总辐射量一般情况在 4860 MJ/㎡以上，年日照时数一般为 2500-2600h。抚顺市目前正在积极谋划城中村和近郊村利用太阳能替代散煤取暖工程，基于抚顺市丰富的太阳能资源，可在规划期大力推进发展太阳能取暖项目。</w:t>
      </w:r>
    </w:p>
    <w:p>
      <w:pPr>
        <w:spacing w:line="540" w:lineRule="exact"/>
        <w:ind w:firstLine="560" w:firstLineChars="200"/>
        <w:rPr>
          <w:rFonts w:hint="eastAsia"/>
          <w:color w:val="auto"/>
          <w:sz w:val="28"/>
          <w:szCs w:val="28"/>
          <w:lang w:val="en-US" w:eastAsia="zh-CN"/>
        </w:rPr>
      </w:pPr>
      <w:r>
        <w:rPr>
          <w:rFonts w:hint="eastAsia" w:ascii="Times New Roman" w:eastAsia="宋体"/>
          <w:color w:val="auto"/>
          <w:sz w:val="28"/>
          <w:szCs w:val="28"/>
          <w:lang w:val="en-US" w:eastAsia="zh-CN"/>
        </w:rPr>
        <w:t>2.4.3 地岩热热源</w:t>
      </w:r>
    </w:p>
    <w:p>
      <w:pPr>
        <w:spacing w:line="360" w:lineRule="auto"/>
        <w:ind w:firstLine="560" w:firstLineChars="200"/>
        <w:rPr>
          <w:rFonts w:ascii="宋体" w:hAnsi="宋体"/>
          <w:color w:val="auto"/>
          <w:sz w:val="28"/>
          <w:szCs w:val="28"/>
        </w:rPr>
      </w:pPr>
      <w:r>
        <w:rPr>
          <w:rFonts w:hint="eastAsia"/>
          <w:color w:val="auto"/>
          <w:sz w:val="28"/>
          <w:szCs w:val="28"/>
        </w:rPr>
        <w:t>地球内部的温度高达 7000℃，而在 80 至 100 英里的深度处，温度会降至 650 至 1200℃，透过地下水的流动和熔岩涌至离地面 1 至 5 公里的地壳，热力得以被转送至较接近地面的地方。中深层地岩热供暖技术通过从地下中深层岩土层取热，再由地面专用设备系统向建筑物或末端供热，满足人们对采暖、热水、制冷等能源需求。抚顺市可利用现有的露天矿坑，以缩短打井深度，减少施工难度，更快地实现地热开发“井下换热，取热不取水”的利用。</w:t>
      </w:r>
      <w:r>
        <w:rPr>
          <w:color w:val="auto"/>
          <w:sz w:val="32"/>
        </w:rPr>
        <w:br w:type="page"/>
      </w:r>
    </w:p>
    <w:p>
      <w:pPr>
        <w:spacing w:line="360" w:lineRule="auto"/>
        <w:jc w:val="center"/>
        <w:outlineLvl w:val="0"/>
        <w:rPr>
          <w:b/>
          <w:color w:val="auto"/>
          <w:sz w:val="30"/>
          <w:szCs w:val="32"/>
        </w:rPr>
      </w:pPr>
      <w:bookmarkStart w:id="38" w:name="_Toc24622"/>
      <w:r>
        <w:rPr>
          <w:b/>
          <w:color w:val="auto"/>
          <w:sz w:val="30"/>
          <w:szCs w:val="32"/>
        </w:rPr>
        <w:t>第</w:t>
      </w:r>
      <w:r>
        <w:rPr>
          <w:rFonts w:hint="eastAsia"/>
          <w:b/>
          <w:color w:val="auto"/>
          <w:sz w:val="30"/>
          <w:szCs w:val="32"/>
        </w:rPr>
        <w:t>五</w:t>
      </w:r>
      <w:r>
        <w:rPr>
          <w:b/>
          <w:color w:val="auto"/>
          <w:sz w:val="30"/>
          <w:szCs w:val="32"/>
        </w:rPr>
        <w:t>章</w:t>
      </w:r>
      <w:r>
        <w:rPr>
          <w:rFonts w:hint="eastAsia"/>
          <w:b/>
          <w:color w:val="auto"/>
          <w:sz w:val="30"/>
          <w:szCs w:val="32"/>
        </w:rPr>
        <w:t xml:space="preserve">  热力网</w:t>
      </w:r>
      <w:r>
        <w:rPr>
          <w:b/>
          <w:color w:val="auto"/>
          <w:sz w:val="30"/>
          <w:szCs w:val="32"/>
        </w:rPr>
        <w:t>规划</w:t>
      </w:r>
      <w:bookmarkEnd w:id="38"/>
    </w:p>
    <w:p>
      <w:pPr>
        <w:spacing w:line="360" w:lineRule="auto"/>
        <w:ind w:firstLine="562" w:firstLineChars="200"/>
        <w:outlineLvl w:val="1"/>
        <w:rPr>
          <w:b/>
          <w:color w:val="auto"/>
          <w:sz w:val="28"/>
          <w:szCs w:val="28"/>
        </w:rPr>
      </w:pPr>
      <w:bookmarkStart w:id="39" w:name="_Toc10647"/>
      <w:r>
        <w:rPr>
          <w:rFonts w:hint="eastAsia"/>
          <w:b/>
          <w:color w:val="auto"/>
          <w:sz w:val="28"/>
          <w:szCs w:val="28"/>
        </w:rPr>
        <w:t>一、热力网规划原则</w:t>
      </w:r>
      <w:bookmarkEnd w:id="39"/>
    </w:p>
    <w:p>
      <w:pPr>
        <w:spacing w:line="360" w:lineRule="auto"/>
        <w:ind w:firstLine="562" w:firstLineChars="200"/>
        <w:outlineLvl w:val="1"/>
        <w:rPr>
          <w:b/>
          <w:color w:val="auto"/>
          <w:sz w:val="28"/>
          <w:szCs w:val="28"/>
        </w:rPr>
      </w:pPr>
      <w:bookmarkStart w:id="40" w:name="_Toc5920"/>
      <w:r>
        <w:rPr>
          <w:rFonts w:hint="eastAsia"/>
          <w:b/>
          <w:color w:val="auto"/>
          <w:sz w:val="28"/>
          <w:szCs w:val="28"/>
        </w:rPr>
        <w:t>1.</w:t>
      </w:r>
      <w:r>
        <w:rPr>
          <w:b/>
          <w:color w:val="auto"/>
          <w:sz w:val="28"/>
          <w:szCs w:val="28"/>
        </w:rPr>
        <w:t>1供热管网布置要求</w:t>
      </w:r>
      <w:bookmarkEnd w:id="40"/>
    </w:p>
    <w:p>
      <w:pPr>
        <w:spacing w:line="360" w:lineRule="auto"/>
        <w:ind w:firstLine="560" w:firstLineChars="200"/>
        <w:rPr>
          <w:color w:val="auto"/>
          <w:sz w:val="28"/>
          <w:szCs w:val="28"/>
        </w:rPr>
      </w:pPr>
      <w:r>
        <w:rPr>
          <w:color w:val="auto"/>
          <w:sz w:val="28"/>
          <w:szCs w:val="28"/>
        </w:rPr>
        <w:t>(1)</w:t>
      </w:r>
      <w:r>
        <w:rPr>
          <w:rFonts w:hint="eastAsia"/>
          <w:color w:val="auto"/>
          <w:sz w:val="28"/>
          <w:szCs w:val="28"/>
        </w:rPr>
        <w:t xml:space="preserve"> </w:t>
      </w:r>
      <w:r>
        <w:rPr>
          <w:color w:val="auto"/>
          <w:sz w:val="28"/>
          <w:szCs w:val="28"/>
        </w:rPr>
        <w:t>管网布置应在城市总体规划的指导下，深入地研究各功能分区的特点及对管网的要求</w:t>
      </w:r>
      <w:r>
        <w:rPr>
          <w:rFonts w:hint="eastAsia"/>
          <w:color w:val="auto"/>
          <w:sz w:val="28"/>
          <w:szCs w:val="28"/>
        </w:rPr>
        <w:t>。</w:t>
      </w:r>
    </w:p>
    <w:p>
      <w:pPr>
        <w:spacing w:line="360" w:lineRule="auto"/>
        <w:ind w:firstLine="560" w:firstLineChars="200"/>
        <w:rPr>
          <w:color w:val="auto"/>
          <w:sz w:val="28"/>
          <w:szCs w:val="28"/>
        </w:rPr>
      </w:pPr>
      <w:r>
        <w:rPr>
          <w:color w:val="auto"/>
          <w:sz w:val="28"/>
          <w:szCs w:val="28"/>
        </w:rPr>
        <w:t>(2)</w:t>
      </w:r>
      <w:r>
        <w:rPr>
          <w:rFonts w:hint="eastAsia"/>
          <w:color w:val="auto"/>
          <w:sz w:val="28"/>
          <w:szCs w:val="28"/>
        </w:rPr>
        <w:t xml:space="preserve"> </w:t>
      </w:r>
      <w:r>
        <w:rPr>
          <w:color w:val="auto"/>
          <w:sz w:val="28"/>
          <w:szCs w:val="28"/>
        </w:rPr>
        <w:t>管网布置应能与市区发展速度和规模相协调、并在布置上考虑分期实施。</w:t>
      </w:r>
    </w:p>
    <w:p>
      <w:pPr>
        <w:spacing w:line="360" w:lineRule="auto"/>
        <w:ind w:firstLine="560" w:firstLineChars="200"/>
        <w:rPr>
          <w:color w:val="auto"/>
          <w:sz w:val="28"/>
          <w:szCs w:val="28"/>
        </w:rPr>
      </w:pPr>
      <w:r>
        <w:rPr>
          <w:color w:val="auto"/>
          <w:sz w:val="28"/>
          <w:szCs w:val="28"/>
        </w:rPr>
        <w:t>(3)</w:t>
      </w:r>
      <w:r>
        <w:rPr>
          <w:rFonts w:hint="eastAsia"/>
          <w:color w:val="auto"/>
          <w:sz w:val="28"/>
          <w:szCs w:val="28"/>
        </w:rPr>
        <w:t xml:space="preserve"> </w:t>
      </w:r>
      <w:r>
        <w:rPr>
          <w:color w:val="auto"/>
          <w:sz w:val="28"/>
          <w:szCs w:val="28"/>
        </w:rPr>
        <w:t>管网布置应满足生产、生活、采暖、空调等不同热用户对热负荷的要求。</w:t>
      </w:r>
    </w:p>
    <w:p>
      <w:pPr>
        <w:spacing w:line="360" w:lineRule="auto"/>
        <w:ind w:firstLine="560" w:firstLineChars="200"/>
        <w:rPr>
          <w:color w:val="auto"/>
          <w:sz w:val="28"/>
          <w:szCs w:val="28"/>
        </w:rPr>
      </w:pPr>
      <w:r>
        <w:rPr>
          <w:color w:val="auto"/>
          <w:sz w:val="28"/>
          <w:szCs w:val="28"/>
        </w:rPr>
        <w:t>(4)</w:t>
      </w:r>
      <w:r>
        <w:rPr>
          <w:rFonts w:hint="eastAsia"/>
          <w:color w:val="auto"/>
          <w:sz w:val="28"/>
          <w:szCs w:val="28"/>
        </w:rPr>
        <w:t xml:space="preserve"> </w:t>
      </w:r>
      <w:r>
        <w:rPr>
          <w:color w:val="auto"/>
          <w:sz w:val="28"/>
          <w:szCs w:val="28"/>
        </w:rPr>
        <w:t>管网布置要考虑热源的位置、热负荷分布、热负荷密度。</w:t>
      </w:r>
    </w:p>
    <w:p>
      <w:pPr>
        <w:spacing w:line="360" w:lineRule="auto"/>
        <w:ind w:firstLine="560" w:firstLineChars="200"/>
        <w:rPr>
          <w:color w:val="auto"/>
          <w:sz w:val="28"/>
          <w:szCs w:val="28"/>
        </w:rPr>
      </w:pPr>
      <w:r>
        <w:rPr>
          <w:color w:val="auto"/>
          <w:sz w:val="28"/>
          <w:szCs w:val="28"/>
        </w:rPr>
        <w:t>(5)</w:t>
      </w:r>
      <w:r>
        <w:rPr>
          <w:rFonts w:hint="eastAsia"/>
          <w:color w:val="auto"/>
          <w:sz w:val="28"/>
          <w:szCs w:val="28"/>
        </w:rPr>
        <w:t xml:space="preserve"> </w:t>
      </w:r>
      <w:r>
        <w:rPr>
          <w:color w:val="auto"/>
          <w:sz w:val="28"/>
          <w:szCs w:val="28"/>
        </w:rPr>
        <w:t>管网布置充分注意与地上、地</w:t>
      </w:r>
      <w:r>
        <w:rPr>
          <w:rFonts w:hint="eastAsia"/>
          <w:color w:val="auto"/>
          <w:sz w:val="28"/>
          <w:szCs w:val="28"/>
        </w:rPr>
        <w:t>下管道及构筑物、园林绿地的关系。</w:t>
      </w:r>
    </w:p>
    <w:p>
      <w:pPr>
        <w:spacing w:line="360" w:lineRule="auto"/>
        <w:ind w:firstLine="560" w:firstLineChars="200"/>
        <w:rPr>
          <w:color w:val="auto"/>
          <w:sz w:val="28"/>
          <w:szCs w:val="28"/>
        </w:rPr>
      </w:pPr>
      <w:r>
        <w:rPr>
          <w:rFonts w:hint="eastAsia"/>
          <w:color w:val="auto"/>
          <w:sz w:val="28"/>
          <w:szCs w:val="28"/>
        </w:rPr>
        <w:t>(6) 管网布置要认真分析当地地形、水文、地质等条件。</w:t>
      </w:r>
    </w:p>
    <w:p>
      <w:pPr>
        <w:spacing w:line="360" w:lineRule="auto"/>
        <w:ind w:firstLine="562" w:firstLineChars="200"/>
        <w:outlineLvl w:val="1"/>
        <w:rPr>
          <w:b/>
          <w:color w:val="auto"/>
          <w:sz w:val="28"/>
          <w:szCs w:val="28"/>
        </w:rPr>
      </w:pPr>
      <w:bookmarkStart w:id="41" w:name="_Toc3686"/>
      <w:r>
        <w:rPr>
          <w:rFonts w:hint="eastAsia"/>
          <w:b/>
          <w:color w:val="auto"/>
          <w:sz w:val="28"/>
          <w:szCs w:val="28"/>
        </w:rPr>
        <w:t>1.2管网布置原则</w:t>
      </w:r>
      <w:bookmarkEnd w:id="41"/>
    </w:p>
    <w:p>
      <w:pPr>
        <w:spacing w:line="360" w:lineRule="auto"/>
        <w:ind w:firstLine="560" w:firstLineChars="200"/>
        <w:rPr>
          <w:color w:val="auto"/>
          <w:sz w:val="28"/>
          <w:szCs w:val="28"/>
        </w:rPr>
      </w:pPr>
      <w:r>
        <w:rPr>
          <w:rFonts w:hint="eastAsia"/>
          <w:color w:val="auto"/>
          <w:sz w:val="28"/>
          <w:szCs w:val="28"/>
        </w:rPr>
        <w:t>(1) 管网主干线尽可能通过热负荷中心。</w:t>
      </w:r>
    </w:p>
    <w:p>
      <w:pPr>
        <w:spacing w:line="360" w:lineRule="auto"/>
        <w:ind w:firstLine="560" w:firstLineChars="200"/>
        <w:rPr>
          <w:color w:val="auto"/>
          <w:sz w:val="28"/>
          <w:szCs w:val="28"/>
        </w:rPr>
      </w:pPr>
      <w:r>
        <w:rPr>
          <w:rFonts w:hint="eastAsia"/>
          <w:color w:val="auto"/>
          <w:sz w:val="28"/>
          <w:szCs w:val="28"/>
        </w:rPr>
        <w:t>(2) 管网力求线路短直。</w:t>
      </w:r>
    </w:p>
    <w:p>
      <w:pPr>
        <w:spacing w:line="360" w:lineRule="auto"/>
        <w:ind w:firstLine="560" w:firstLineChars="200"/>
        <w:rPr>
          <w:color w:val="auto"/>
          <w:sz w:val="28"/>
          <w:szCs w:val="28"/>
        </w:rPr>
      </w:pPr>
      <w:r>
        <w:rPr>
          <w:rFonts w:hint="eastAsia"/>
          <w:color w:val="auto"/>
          <w:sz w:val="28"/>
          <w:szCs w:val="28"/>
        </w:rPr>
        <w:t>(3) 管网敷设应力求施工方便，工程量少。</w:t>
      </w:r>
    </w:p>
    <w:p>
      <w:pPr>
        <w:spacing w:line="360" w:lineRule="auto"/>
        <w:ind w:firstLine="560" w:firstLineChars="200"/>
        <w:rPr>
          <w:color w:val="auto"/>
          <w:sz w:val="28"/>
          <w:szCs w:val="28"/>
        </w:rPr>
      </w:pPr>
      <w:r>
        <w:rPr>
          <w:rFonts w:hint="eastAsia"/>
          <w:color w:val="auto"/>
          <w:sz w:val="28"/>
          <w:szCs w:val="28"/>
        </w:rPr>
        <w:t>(4) 在满足安全运行、维修简便的前提下，应节约用地。</w:t>
      </w:r>
    </w:p>
    <w:p>
      <w:pPr>
        <w:spacing w:line="360" w:lineRule="auto"/>
        <w:ind w:firstLine="560" w:firstLineChars="200"/>
        <w:rPr>
          <w:color w:val="auto"/>
          <w:sz w:val="28"/>
          <w:szCs w:val="28"/>
        </w:rPr>
      </w:pPr>
      <w:r>
        <w:rPr>
          <w:rFonts w:hint="eastAsia"/>
          <w:color w:val="auto"/>
          <w:sz w:val="28"/>
          <w:szCs w:val="28"/>
        </w:rPr>
        <w:t>(5) 在管网改建、扩建过程中，应尽可能做到新设计的管线不影响原有管道正常运行。</w:t>
      </w:r>
    </w:p>
    <w:p>
      <w:pPr>
        <w:spacing w:line="360" w:lineRule="auto"/>
        <w:ind w:firstLine="560" w:firstLineChars="200"/>
        <w:rPr>
          <w:color w:val="auto"/>
          <w:sz w:val="28"/>
          <w:szCs w:val="28"/>
        </w:rPr>
      </w:pPr>
      <w:r>
        <w:rPr>
          <w:rFonts w:hint="eastAsia"/>
          <w:color w:val="auto"/>
          <w:sz w:val="28"/>
          <w:szCs w:val="28"/>
        </w:rPr>
        <w:t>(6) 管线一般应沿道路敷设，不应穿过仓库、堆场以及发展扩建的预留地段。</w:t>
      </w:r>
    </w:p>
    <w:p>
      <w:pPr>
        <w:spacing w:line="360" w:lineRule="auto"/>
        <w:ind w:firstLine="560" w:firstLineChars="200"/>
        <w:rPr>
          <w:color w:val="auto"/>
          <w:sz w:val="28"/>
          <w:szCs w:val="28"/>
        </w:rPr>
      </w:pPr>
      <w:r>
        <w:rPr>
          <w:rFonts w:hint="eastAsia"/>
          <w:color w:val="auto"/>
          <w:sz w:val="28"/>
          <w:szCs w:val="28"/>
        </w:rPr>
        <w:t>(7) 管线尽可能不通过铁路、公路及其他管线、管沟等，并应适当地注意整齐美观。</w:t>
      </w:r>
    </w:p>
    <w:p>
      <w:pPr>
        <w:spacing w:line="360" w:lineRule="auto"/>
        <w:ind w:firstLine="560" w:firstLineChars="200"/>
        <w:rPr>
          <w:color w:val="auto"/>
          <w:sz w:val="28"/>
          <w:szCs w:val="28"/>
        </w:rPr>
      </w:pPr>
      <w:r>
        <w:rPr>
          <w:rFonts w:hint="eastAsia"/>
          <w:color w:val="auto"/>
          <w:sz w:val="28"/>
          <w:szCs w:val="28"/>
        </w:rPr>
        <w:t>(8) 地沟敷设的供热管线，一般不应同地下敷设的其他供热管线(如通行、不通行、无沟敷设)重合。</w:t>
      </w:r>
    </w:p>
    <w:p>
      <w:pPr>
        <w:spacing w:line="360" w:lineRule="auto"/>
        <w:ind w:firstLine="560" w:firstLineChars="200"/>
        <w:rPr>
          <w:color w:val="auto"/>
          <w:sz w:val="28"/>
          <w:szCs w:val="28"/>
        </w:rPr>
      </w:pPr>
      <w:r>
        <w:rPr>
          <w:rFonts w:hint="eastAsia"/>
          <w:color w:val="auto"/>
          <w:sz w:val="28"/>
          <w:szCs w:val="28"/>
        </w:rPr>
        <w:t>(9) 管径小于或等于300mm的热力网管道，可穿过建筑物的地下室或用开槽施工法自建筑下专门敷设的通行管沟内穿过。用暗挖法施工穿过建筑物时不受管径限制。</w:t>
      </w:r>
    </w:p>
    <w:p>
      <w:pPr>
        <w:spacing w:line="360" w:lineRule="auto"/>
        <w:ind w:firstLine="560" w:firstLineChars="200"/>
        <w:rPr>
          <w:color w:val="auto"/>
          <w:sz w:val="28"/>
          <w:szCs w:val="28"/>
        </w:rPr>
      </w:pPr>
      <w:r>
        <w:rPr>
          <w:rFonts w:hint="eastAsia"/>
          <w:color w:val="auto"/>
          <w:sz w:val="28"/>
          <w:szCs w:val="28"/>
        </w:rPr>
        <w:t>(10) 热力网管道可与自来水管道、电压10kv以下的电力电缆、通信线路、压缩空气管道、</w:t>
      </w:r>
      <w:r>
        <w:rPr>
          <w:rFonts w:hint="eastAsia"/>
          <w:color w:val="auto"/>
          <w:sz w:val="28"/>
          <w:szCs w:val="28"/>
          <w:lang w:eastAsia="zh-CN"/>
        </w:rPr>
        <w:t>压</w:t>
      </w:r>
      <w:r>
        <w:rPr>
          <w:rFonts w:hint="eastAsia"/>
          <w:color w:val="auto"/>
          <w:sz w:val="28"/>
          <w:szCs w:val="28"/>
        </w:rPr>
        <w:t>力排水管道和重油管道一起敷设在综合管沟内。但热力管道应高于自来水管道和重油管道，并自来水管道应做保温层和防水层。</w:t>
      </w:r>
    </w:p>
    <w:p>
      <w:pPr>
        <w:spacing w:line="360" w:lineRule="auto"/>
        <w:ind w:firstLine="560" w:firstLineChars="200"/>
        <w:rPr>
          <w:color w:val="auto"/>
          <w:sz w:val="28"/>
          <w:szCs w:val="28"/>
        </w:rPr>
      </w:pPr>
      <w:r>
        <w:rPr>
          <w:rFonts w:hint="eastAsia"/>
          <w:color w:val="auto"/>
          <w:sz w:val="28"/>
          <w:szCs w:val="28"/>
        </w:rPr>
        <w:t>(11) 地上敷设的城市热力网管道可与其他管道敷设在同一管架上，但应便于检修，且不得架设在腐蚀性介质管道的下方。</w:t>
      </w:r>
    </w:p>
    <w:p>
      <w:pPr>
        <w:spacing w:line="360" w:lineRule="auto"/>
        <w:ind w:firstLine="562" w:firstLineChars="200"/>
        <w:outlineLvl w:val="1"/>
        <w:rPr>
          <w:b/>
          <w:color w:val="auto"/>
          <w:sz w:val="28"/>
          <w:szCs w:val="28"/>
        </w:rPr>
      </w:pPr>
      <w:bookmarkStart w:id="42" w:name="_Toc20837"/>
      <w:r>
        <w:rPr>
          <w:b/>
          <w:color w:val="auto"/>
          <w:sz w:val="28"/>
          <w:szCs w:val="28"/>
        </w:rPr>
        <w:t>1.3</w:t>
      </w:r>
      <w:r>
        <w:rPr>
          <w:rFonts w:hint="eastAsia"/>
          <w:b/>
          <w:color w:val="auto"/>
          <w:sz w:val="28"/>
          <w:szCs w:val="28"/>
        </w:rPr>
        <w:t>热力网形式</w:t>
      </w:r>
      <w:bookmarkEnd w:id="42"/>
    </w:p>
    <w:p>
      <w:pPr>
        <w:spacing w:line="360" w:lineRule="auto"/>
        <w:ind w:firstLine="560" w:firstLineChars="200"/>
        <w:rPr>
          <w:color w:val="auto"/>
          <w:sz w:val="28"/>
          <w:szCs w:val="28"/>
        </w:rPr>
      </w:pPr>
      <w:r>
        <w:rPr>
          <w:rFonts w:hint="eastAsia"/>
          <w:color w:val="auto"/>
          <w:sz w:val="28"/>
          <w:szCs w:val="28"/>
        </w:rPr>
        <w:t>（1）区域供热建筑面积大于1000万平方米的供热系统应采用多热源供热，且各热源热力干线应连通。在技术经济合理时，热力网干线宜连接成环状管网。</w:t>
      </w:r>
    </w:p>
    <w:p>
      <w:pPr>
        <w:spacing w:line="360" w:lineRule="auto"/>
        <w:ind w:firstLine="560" w:firstLineChars="200"/>
        <w:rPr>
          <w:color w:val="auto"/>
          <w:sz w:val="28"/>
          <w:szCs w:val="28"/>
        </w:rPr>
      </w:pPr>
      <w:r>
        <w:rPr>
          <w:rFonts w:hint="eastAsia"/>
          <w:color w:val="auto"/>
          <w:sz w:val="28"/>
          <w:szCs w:val="28"/>
        </w:rPr>
        <w:t>（2）供热系统的主环线或多热源供热系统中热源间的连通干线，在各种事故工况下的最低供热量保证率应不低于65%，并具备不同事故工况下的切换手段。</w:t>
      </w:r>
    </w:p>
    <w:p>
      <w:pPr>
        <w:spacing w:line="360" w:lineRule="auto"/>
        <w:ind w:firstLine="560" w:firstLineChars="200"/>
        <w:rPr>
          <w:color w:val="auto"/>
          <w:sz w:val="28"/>
          <w:szCs w:val="28"/>
        </w:rPr>
      </w:pPr>
      <w:r>
        <w:rPr>
          <w:rFonts w:hint="eastAsia"/>
          <w:color w:val="auto"/>
          <w:sz w:val="28"/>
          <w:szCs w:val="28"/>
        </w:rPr>
        <w:t>（3）自热源向同一方向引出的干线之间宜设连通管线。连通管线应结合分段阀门设置。</w:t>
      </w:r>
    </w:p>
    <w:p>
      <w:pPr>
        <w:spacing w:line="360" w:lineRule="auto"/>
        <w:ind w:firstLine="562" w:firstLineChars="200"/>
        <w:outlineLvl w:val="1"/>
        <w:rPr>
          <w:b/>
          <w:color w:val="auto"/>
          <w:sz w:val="28"/>
          <w:szCs w:val="28"/>
        </w:rPr>
      </w:pPr>
      <w:bookmarkStart w:id="43" w:name="_Toc5282"/>
      <w:r>
        <w:rPr>
          <w:rFonts w:hint="eastAsia"/>
          <w:b/>
          <w:color w:val="auto"/>
          <w:sz w:val="28"/>
          <w:szCs w:val="28"/>
        </w:rPr>
        <w:t>二、热力网规划</w:t>
      </w:r>
      <w:bookmarkEnd w:id="43"/>
    </w:p>
    <w:p>
      <w:pPr>
        <w:spacing w:line="360" w:lineRule="auto"/>
        <w:ind w:firstLine="562" w:firstLineChars="200"/>
        <w:outlineLvl w:val="1"/>
        <w:rPr>
          <w:b/>
          <w:color w:val="auto"/>
          <w:sz w:val="28"/>
          <w:szCs w:val="28"/>
        </w:rPr>
      </w:pPr>
      <w:bookmarkStart w:id="44" w:name="_Toc21036"/>
      <w:r>
        <w:rPr>
          <w:rFonts w:hint="eastAsia"/>
          <w:b/>
          <w:color w:val="auto"/>
          <w:sz w:val="28"/>
          <w:szCs w:val="28"/>
        </w:rPr>
        <w:t>2.1各区热力网规划</w:t>
      </w:r>
      <w:bookmarkEnd w:id="44"/>
    </w:p>
    <w:p>
      <w:pPr>
        <w:spacing w:line="360" w:lineRule="auto"/>
        <w:ind w:firstLine="560" w:firstLineChars="200"/>
        <w:rPr>
          <w:color w:val="auto"/>
          <w:sz w:val="28"/>
          <w:szCs w:val="28"/>
        </w:rPr>
      </w:pPr>
      <w:r>
        <w:rPr>
          <w:rFonts w:hint="eastAsia"/>
          <w:color w:val="auto"/>
          <w:sz w:val="28"/>
          <w:szCs w:val="28"/>
        </w:rPr>
        <w:t>2</w:t>
      </w:r>
      <w:r>
        <w:rPr>
          <w:color w:val="auto"/>
          <w:sz w:val="28"/>
          <w:szCs w:val="28"/>
        </w:rPr>
        <w:t>.1.1</w:t>
      </w:r>
      <w:r>
        <w:rPr>
          <w:rFonts w:hint="eastAsia"/>
          <w:color w:val="auto"/>
          <w:sz w:val="28"/>
          <w:szCs w:val="28"/>
        </w:rPr>
        <w:t>东洲区</w:t>
      </w:r>
    </w:p>
    <w:p>
      <w:pPr>
        <w:spacing w:line="360" w:lineRule="auto"/>
        <w:ind w:firstLine="560" w:firstLineChars="200"/>
        <w:rPr>
          <w:color w:val="auto"/>
          <w:sz w:val="28"/>
          <w:szCs w:val="28"/>
        </w:rPr>
      </w:pPr>
      <w:r>
        <w:rPr>
          <w:rFonts w:hint="eastAsia"/>
          <w:color w:val="auto"/>
          <w:sz w:val="28"/>
          <w:szCs w:val="28"/>
        </w:rPr>
        <w:t>拟由员工街现有DN600管线向</w:t>
      </w:r>
      <w:r>
        <w:rPr>
          <w:color w:val="auto"/>
          <w:sz w:val="28"/>
          <w:szCs w:val="28"/>
        </w:rPr>
        <w:t>西南敷设至新屯，与抚顺中</w:t>
      </w:r>
      <w:r>
        <w:rPr>
          <w:rFonts w:hint="eastAsia"/>
          <w:color w:val="auto"/>
          <w:sz w:val="28"/>
          <w:szCs w:val="28"/>
        </w:rPr>
        <w:t>机</w:t>
      </w:r>
      <w:r>
        <w:rPr>
          <w:color w:val="auto"/>
          <w:sz w:val="28"/>
          <w:szCs w:val="28"/>
        </w:rPr>
        <w:t>热力现有DN400</w:t>
      </w:r>
      <w:r>
        <w:rPr>
          <w:rFonts w:hint="eastAsia"/>
          <w:color w:val="auto"/>
          <w:sz w:val="28"/>
          <w:szCs w:val="28"/>
        </w:rPr>
        <w:t>管连接</w:t>
      </w:r>
      <w:r>
        <w:rPr>
          <w:color w:val="auto"/>
          <w:sz w:val="28"/>
          <w:szCs w:val="28"/>
        </w:rPr>
        <w:t>，由辽宁东方发电有限公司</w:t>
      </w:r>
      <w:r>
        <w:rPr>
          <w:rFonts w:hint="eastAsia"/>
          <w:color w:val="auto"/>
          <w:sz w:val="28"/>
          <w:szCs w:val="28"/>
        </w:rPr>
        <w:t>首站</w:t>
      </w:r>
      <w:r>
        <w:rPr>
          <w:color w:val="auto"/>
          <w:sz w:val="28"/>
          <w:szCs w:val="28"/>
        </w:rPr>
        <w:t>对新屯地区进行备用</w:t>
      </w:r>
      <w:r>
        <w:rPr>
          <w:rFonts w:hint="eastAsia"/>
          <w:color w:val="auto"/>
          <w:sz w:val="28"/>
          <w:szCs w:val="28"/>
        </w:rPr>
        <w:t>。管径为DN400，管道开沟</w:t>
      </w:r>
      <w:r>
        <w:rPr>
          <w:color w:val="auto"/>
          <w:sz w:val="28"/>
          <w:szCs w:val="28"/>
        </w:rPr>
        <w:t>长度</w:t>
      </w:r>
      <w:r>
        <w:rPr>
          <w:rFonts w:hint="eastAsia"/>
          <w:color w:val="auto"/>
          <w:sz w:val="28"/>
          <w:szCs w:val="28"/>
        </w:rPr>
        <w:t>3.5公里</w:t>
      </w:r>
      <w:r>
        <w:rPr>
          <w:color w:val="auto"/>
          <w:sz w:val="28"/>
          <w:szCs w:val="28"/>
        </w:rPr>
        <w:t>。</w:t>
      </w:r>
    </w:p>
    <w:p>
      <w:pPr>
        <w:spacing w:line="360" w:lineRule="auto"/>
        <w:ind w:firstLine="560" w:firstLineChars="200"/>
        <w:rPr>
          <w:color w:val="auto"/>
          <w:sz w:val="28"/>
          <w:szCs w:val="28"/>
        </w:rPr>
      </w:pPr>
      <w:r>
        <w:rPr>
          <w:rFonts w:hint="eastAsia"/>
          <w:color w:val="auto"/>
          <w:sz w:val="28"/>
          <w:szCs w:val="28"/>
        </w:rPr>
        <w:t>2</w:t>
      </w:r>
      <w:r>
        <w:rPr>
          <w:color w:val="auto"/>
          <w:sz w:val="28"/>
          <w:szCs w:val="28"/>
        </w:rPr>
        <w:t>.1.2</w:t>
      </w:r>
      <w:r>
        <w:rPr>
          <w:rFonts w:hint="eastAsia"/>
          <w:color w:val="auto"/>
          <w:sz w:val="28"/>
          <w:szCs w:val="28"/>
        </w:rPr>
        <w:t>新抚区</w:t>
      </w:r>
    </w:p>
    <w:p>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在</w:t>
      </w:r>
      <w:r>
        <w:rPr>
          <w:rFonts w:asciiTheme="minorEastAsia" w:hAnsiTheme="minorEastAsia" w:eastAsiaTheme="minorEastAsia"/>
          <w:color w:val="auto"/>
          <w:sz w:val="28"/>
          <w:szCs w:val="28"/>
        </w:rPr>
        <w:t>将军桥南</w:t>
      </w:r>
      <w:r>
        <w:rPr>
          <w:rFonts w:hint="eastAsia" w:asciiTheme="minorEastAsia" w:hAnsiTheme="minorEastAsia" w:eastAsiaTheme="minorEastAsia"/>
          <w:color w:val="auto"/>
          <w:sz w:val="28"/>
          <w:szCs w:val="28"/>
        </w:rPr>
        <w:t>侧</w:t>
      </w:r>
      <w:r>
        <w:rPr>
          <w:rFonts w:asciiTheme="minorEastAsia" w:hAnsiTheme="minorEastAsia" w:eastAsiaTheme="minorEastAsia"/>
          <w:color w:val="auto"/>
          <w:sz w:val="28"/>
          <w:szCs w:val="28"/>
        </w:rPr>
        <w:t>，将抚顺热电有限公司</w:t>
      </w:r>
      <w:r>
        <w:rPr>
          <w:rFonts w:hint="eastAsia" w:asciiTheme="minorEastAsia" w:hAnsiTheme="minorEastAsia" w:eastAsiaTheme="minorEastAsia"/>
          <w:color w:val="auto"/>
          <w:sz w:val="28"/>
          <w:szCs w:val="28"/>
        </w:rPr>
        <w:t>DN800管</w:t>
      </w:r>
      <w:r>
        <w:rPr>
          <w:rFonts w:asciiTheme="minorEastAsia" w:hAnsiTheme="minorEastAsia" w:eastAsiaTheme="minorEastAsia"/>
          <w:color w:val="auto"/>
          <w:sz w:val="28"/>
          <w:szCs w:val="28"/>
        </w:rPr>
        <w:t>与</w:t>
      </w:r>
      <w:r>
        <w:rPr>
          <w:rFonts w:hint="eastAsia" w:asciiTheme="minorEastAsia" w:hAnsiTheme="minorEastAsia" w:eastAsiaTheme="minorEastAsia"/>
          <w:color w:val="auto"/>
          <w:sz w:val="28"/>
          <w:szCs w:val="28"/>
        </w:rPr>
        <w:t>抚</w:t>
      </w:r>
      <w:r>
        <w:rPr>
          <w:rFonts w:asciiTheme="minorEastAsia" w:hAnsiTheme="minorEastAsia" w:eastAsiaTheme="minorEastAsia"/>
          <w:color w:val="auto"/>
          <w:sz w:val="28"/>
          <w:szCs w:val="28"/>
        </w:rPr>
        <w:t>矿</w:t>
      </w:r>
      <w:r>
        <w:rPr>
          <w:rFonts w:hint="eastAsia" w:asciiTheme="minorEastAsia" w:hAnsiTheme="minorEastAsia" w:eastAsiaTheme="minorEastAsia"/>
          <w:color w:val="auto"/>
          <w:sz w:val="28"/>
          <w:szCs w:val="28"/>
        </w:rPr>
        <w:t>中机DN800管连接，</w:t>
      </w:r>
      <w:r>
        <w:rPr>
          <w:rFonts w:asciiTheme="minorEastAsia" w:hAnsiTheme="minorEastAsia" w:eastAsiaTheme="minorEastAsia"/>
          <w:color w:val="auto"/>
          <w:sz w:val="28"/>
          <w:szCs w:val="28"/>
        </w:rPr>
        <w:t>互为备用，</w:t>
      </w:r>
      <w:r>
        <w:rPr>
          <w:rFonts w:hint="eastAsia" w:asciiTheme="minorEastAsia" w:hAnsiTheme="minorEastAsia" w:eastAsiaTheme="minorEastAsia"/>
          <w:color w:val="auto"/>
          <w:sz w:val="28"/>
          <w:szCs w:val="28"/>
        </w:rPr>
        <w:t>管径为DN800，管道开沟长度</w:t>
      </w:r>
      <w:r>
        <w:rPr>
          <w:rFonts w:asciiTheme="minorEastAsia" w:hAnsiTheme="minorEastAsia" w:eastAsiaTheme="minorEastAsia"/>
          <w:color w:val="auto"/>
          <w:sz w:val="28"/>
          <w:szCs w:val="28"/>
        </w:rPr>
        <w:t>0.5</w:t>
      </w:r>
      <w:r>
        <w:rPr>
          <w:rFonts w:hint="eastAsia" w:asciiTheme="minorEastAsia" w:hAnsiTheme="minorEastAsia" w:eastAsiaTheme="minorEastAsia"/>
          <w:color w:val="auto"/>
          <w:sz w:val="28"/>
          <w:szCs w:val="28"/>
        </w:rPr>
        <w:t>公里，</w:t>
      </w:r>
      <w:r>
        <w:rPr>
          <w:rFonts w:asciiTheme="minorEastAsia" w:hAnsiTheme="minorEastAsia" w:eastAsiaTheme="minorEastAsia"/>
          <w:color w:val="auto"/>
          <w:sz w:val="28"/>
          <w:szCs w:val="28"/>
        </w:rPr>
        <w:t>并加设计量装置。</w:t>
      </w:r>
    </w:p>
    <w:p>
      <w:pPr>
        <w:spacing w:line="360" w:lineRule="auto"/>
        <w:ind w:firstLine="560" w:firstLineChars="200"/>
        <w:rPr>
          <w:rFonts w:asciiTheme="minorEastAsia" w:hAnsiTheme="minorEastAsia" w:eastAsiaTheme="minorEastAsia"/>
          <w:color w:val="auto"/>
          <w:sz w:val="28"/>
          <w:szCs w:val="28"/>
        </w:rPr>
      </w:pPr>
      <w:r>
        <w:rPr>
          <w:rFonts w:hint="eastAsia"/>
          <w:color w:val="auto"/>
          <w:sz w:val="28"/>
          <w:szCs w:val="28"/>
        </w:rPr>
        <w:t>2</w:t>
      </w:r>
      <w:r>
        <w:rPr>
          <w:color w:val="auto"/>
          <w:sz w:val="28"/>
          <w:szCs w:val="28"/>
        </w:rPr>
        <w:t>.1.3</w:t>
      </w:r>
      <w:r>
        <w:rPr>
          <w:rFonts w:hint="eastAsia" w:asciiTheme="minorEastAsia" w:hAnsiTheme="minorEastAsia" w:eastAsiaTheme="minorEastAsia"/>
          <w:color w:val="auto"/>
          <w:sz w:val="28"/>
          <w:szCs w:val="28"/>
        </w:rPr>
        <w:t>顺城区</w:t>
      </w:r>
    </w:p>
    <w:p>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将</w:t>
      </w:r>
      <w:r>
        <w:rPr>
          <w:rFonts w:asciiTheme="minorEastAsia" w:hAnsiTheme="minorEastAsia" w:eastAsiaTheme="minorEastAsia"/>
          <w:color w:val="auto"/>
          <w:sz w:val="28"/>
          <w:szCs w:val="28"/>
        </w:rPr>
        <w:t>高山路</w:t>
      </w:r>
      <w:r>
        <w:rPr>
          <w:rFonts w:hint="eastAsia" w:asciiTheme="minorEastAsia" w:hAnsiTheme="minorEastAsia" w:eastAsiaTheme="minorEastAsia"/>
          <w:color w:val="auto"/>
          <w:sz w:val="28"/>
          <w:szCs w:val="28"/>
        </w:rPr>
        <w:t>现有DN800管线</w:t>
      </w:r>
      <w:r>
        <w:rPr>
          <w:rFonts w:asciiTheme="minorEastAsia" w:hAnsiTheme="minorEastAsia" w:eastAsiaTheme="minorEastAsia"/>
          <w:color w:val="auto"/>
          <w:sz w:val="28"/>
          <w:szCs w:val="28"/>
        </w:rPr>
        <w:t>扩径至</w:t>
      </w:r>
      <w:r>
        <w:rPr>
          <w:rFonts w:hint="eastAsia" w:asciiTheme="minorEastAsia" w:hAnsiTheme="minorEastAsia" w:eastAsiaTheme="minorEastAsia"/>
          <w:color w:val="auto"/>
          <w:sz w:val="28"/>
          <w:szCs w:val="28"/>
        </w:rPr>
        <w:t>DN1200，管道开沟长度</w:t>
      </w:r>
      <w:r>
        <w:rPr>
          <w:rFonts w:asciiTheme="minorEastAsia" w:hAnsiTheme="minorEastAsia" w:eastAsiaTheme="minorEastAsia"/>
          <w:color w:val="auto"/>
          <w:sz w:val="28"/>
          <w:szCs w:val="28"/>
        </w:rPr>
        <w:t>7.3</w:t>
      </w:r>
      <w:r>
        <w:rPr>
          <w:rFonts w:hint="eastAsia" w:asciiTheme="minorEastAsia" w:hAnsiTheme="minorEastAsia" w:eastAsiaTheme="minorEastAsia"/>
          <w:color w:val="auto"/>
          <w:sz w:val="28"/>
          <w:szCs w:val="28"/>
        </w:rPr>
        <w:t>公里，</w:t>
      </w:r>
      <w:r>
        <w:rPr>
          <w:rFonts w:asciiTheme="minorEastAsia" w:hAnsiTheme="minorEastAsia" w:eastAsiaTheme="minorEastAsia"/>
          <w:color w:val="auto"/>
          <w:sz w:val="28"/>
          <w:szCs w:val="28"/>
        </w:rPr>
        <w:t>满足高山路沿线及</w:t>
      </w:r>
      <w:r>
        <w:rPr>
          <w:rFonts w:hint="eastAsia" w:asciiTheme="minorEastAsia" w:hAnsiTheme="minorEastAsia" w:eastAsiaTheme="minorEastAsia"/>
          <w:color w:val="auto"/>
          <w:sz w:val="28"/>
          <w:szCs w:val="28"/>
        </w:rPr>
        <w:t>葛布</w:t>
      </w:r>
      <w:r>
        <w:rPr>
          <w:rFonts w:asciiTheme="minorEastAsia" w:hAnsiTheme="minorEastAsia" w:eastAsiaTheme="minorEastAsia"/>
          <w:color w:val="auto"/>
          <w:sz w:val="28"/>
          <w:szCs w:val="28"/>
        </w:rPr>
        <w:t>地区的规划发展。</w:t>
      </w:r>
    </w:p>
    <w:p>
      <w:pPr>
        <w:spacing w:line="360" w:lineRule="auto"/>
        <w:ind w:firstLine="560" w:firstLineChars="200"/>
        <w:rPr>
          <w:rFonts w:asciiTheme="minorEastAsia" w:hAnsiTheme="minorEastAsia" w:eastAsiaTheme="minorEastAsia"/>
          <w:color w:val="auto"/>
          <w:sz w:val="28"/>
          <w:szCs w:val="28"/>
        </w:rPr>
      </w:pPr>
      <w:r>
        <w:rPr>
          <w:rFonts w:hint="eastAsia"/>
          <w:color w:val="auto"/>
          <w:sz w:val="28"/>
          <w:szCs w:val="28"/>
        </w:rPr>
        <w:t>2</w:t>
      </w:r>
      <w:r>
        <w:rPr>
          <w:color w:val="auto"/>
          <w:sz w:val="28"/>
          <w:szCs w:val="28"/>
        </w:rPr>
        <w:t>.1.4</w:t>
      </w:r>
      <w:r>
        <w:rPr>
          <w:rFonts w:hint="eastAsia" w:asciiTheme="minorEastAsia" w:hAnsiTheme="minorEastAsia" w:eastAsiaTheme="minorEastAsia"/>
          <w:color w:val="auto"/>
          <w:sz w:val="28"/>
          <w:szCs w:val="28"/>
        </w:rPr>
        <w:t>望花区</w:t>
      </w:r>
    </w:p>
    <w:p>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由抚矿热电厂建设</w:t>
      </w:r>
      <w:r>
        <w:rPr>
          <w:rFonts w:asciiTheme="minorEastAsia" w:hAnsiTheme="minorEastAsia" w:eastAsiaTheme="minorEastAsia"/>
          <w:color w:val="auto"/>
          <w:sz w:val="28"/>
          <w:szCs w:val="28"/>
        </w:rPr>
        <w:t>一条</w:t>
      </w:r>
      <w:r>
        <w:rPr>
          <w:rFonts w:hint="eastAsia" w:asciiTheme="minorEastAsia" w:hAnsiTheme="minorEastAsia" w:eastAsiaTheme="minorEastAsia"/>
          <w:color w:val="auto"/>
          <w:sz w:val="28"/>
          <w:szCs w:val="28"/>
        </w:rPr>
        <w:t>DN800管线经过演武、古城子、南沟、刘山、花园、平山、至抚矿页岩炼油厂，管道开沟长度约为16公里，</w:t>
      </w:r>
      <w:r>
        <w:rPr>
          <w:rFonts w:asciiTheme="minorEastAsia" w:hAnsiTheme="minorEastAsia" w:eastAsiaTheme="minorEastAsia"/>
          <w:color w:val="auto"/>
          <w:sz w:val="28"/>
          <w:szCs w:val="28"/>
        </w:rPr>
        <w:t>将两个热源的管线对接</w:t>
      </w:r>
      <w:r>
        <w:rPr>
          <w:rFonts w:hint="eastAsia" w:asciiTheme="minorEastAsia" w:hAnsiTheme="minorEastAsia" w:eastAsiaTheme="minorEastAsia"/>
          <w:color w:val="auto"/>
          <w:sz w:val="28"/>
          <w:szCs w:val="28"/>
        </w:rPr>
        <w:t>并加设</w:t>
      </w:r>
      <w:r>
        <w:rPr>
          <w:rFonts w:asciiTheme="minorEastAsia" w:hAnsiTheme="minorEastAsia" w:eastAsiaTheme="minorEastAsia"/>
          <w:color w:val="auto"/>
          <w:sz w:val="28"/>
          <w:szCs w:val="28"/>
        </w:rPr>
        <w:t>热计量装，沿线将</w:t>
      </w:r>
      <w:r>
        <w:rPr>
          <w:rFonts w:hint="eastAsia" w:asciiTheme="minorEastAsia" w:hAnsiTheme="minorEastAsia" w:eastAsiaTheme="minorEastAsia"/>
          <w:color w:val="auto"/>
          <w:sz w:val="28"/>
          <w:szCs w:val="28"/>
        </w:rPr>
        <w:t>抚顺城南热源厂</w:t>
      </w:r>
      <w:r>
        <w:rPr>
          <w:rFonts w:asciiTheme="minorEastAsia" w:hAnsiTheme="minorEastAsia" w:eastAsiaTheme="minorEastAsia"/>
          <w:color w:val="auto"/>
          <w:sz w:val="28"/>
          <w:szCs w:val="28"/>
        </w:rPr>
        <w:t>供热面积</w:t>
      </w:r>
      <w:r>
        <w:rPr>
          <w:rFonts w:hint="eastAsia" w:asciiTheme="minorEastAsia" w:hAnsiTheme="minorEastAsia" w:eastAsiaTheme="minorEastAsia"/>
          <w:color w:val="auto"/>
          <w:sz w:val="28"/>
          <w:szCs w:val="28"/>
        </w:rPr>
        <w:t>并入</w:t>
      </w:r>
      <w:r>
        <w:rPr>
          <w:rFonts w:asciiTheme="minorEastAsia" w:hAnsiTheme="minorEastAsia" w:eastAsiaTheme="minorEastAsia"/>
          <w:color w:val="auto"/>
          <w:sz w:val="28"/>
          <w:szCs w:val="28"/>
        </w:rPr>
        <w:t>，城南</w:t>
      </w:r>
      <w:r>
        <w:rPr>
          <w:rFonts w:hint="eastAsia" w:asciiTheme="minorEastAsia" w:hAnsiTheme="minorEastAsia" w:eastAsiaTheme="minorEastAsia"/>
          <w:color w:val="auto"/>
          <w:sz w:val="28"/>
          <w:szCs w:val="28"/>
        </w:rPr>
        <w:t>热源厂2台70MW锅炉2</w:t>
      </w:r>
      <w:r>
        <w:rPr>
          <w:rFonts w:asciiTheme="minorEastAsia" w:hAnsiTheme="minorEastAsia" w:eastAsiaTheme="minorEastAsia"/>
          <w:color w:val="auto"/>
          <w:sz w:val="28"/>
          <w:szCs w:val="28"/>
        </w:rPr>
        <w:t>035</w:t>
      </w:r>
      <w:r>
        <w:rPr>
          <w:rFonts w:hint="eastAsia" w:asciiTheme="minorEastAsia" w:hAnsiTheme="minorEastAsia" w:eastAsiaTheme="minorEastAsia"/>
          <w:color w:val="auto"/>
          <w:sz w:val="28"/>
          <w:szCs w:val="28"/>
        </w:rPr>
        <w:t>年</w:t>
      </w:r>
      <w:r>
        <w:rPr>
          <w:rFonts w:asciiTheme="minorEastAsia" w:hAnsiTheme="minorEastAsia" w:eastAsiaTheme="minorEastAsia"/>
          <w:color w:val="auto"/>
          <w:sz w:val="28"/>
          <w:szCs w:val="28"/>
        </w:rPr>
        <w:t>前淘汰关停。</w:t>
      </w:r>
      <w:r>
        <w:rPr>
          <w:rFonts w:hint="eastAsia" w:asciiTheme="minorEastAsia" w:hAnsiTheme="minorEastAsia" w:eastAsiaTheme="minorEastAsia"/>
          <w:color w:val="auto"/>
          <w:sz w:val="28"/>
          <w:szCs w:val="28"/>
        </w:rPr>
        <w:t>在康平街</w:t>
      </w:r>
      <w:r>
        <w:rPr>
          <w:rFonts w:asciiTheme="minorEastAsia" w:hAnsiTheme="minorEastAsia" w:eastAsiaTheme="minorEastAsia"/>
          <w:color w:val="auto"/>
          <w:sz w:val="28"/>
          <w:szCs w:val="28"/>
        </w:rPr>
        <w:t>与雷锋路</w:t>
      </w:r>
      <w:r>
        <w:rPr>
          <w:rFonts w:hint="eastAsia" w:asciiTheme="minorEastAsia" w:hAnsiTheme="minorEastAsia" w:eastAsiaTheme="minorEastAsia"/>
          <w:color w:val="auto"/>
          <w:sz w:val="28"/>
          <w:szCs w:val="28"/>
        </w:rPr>
        <w:t>将抚矿中机热力公司与</w:t>
      </w:r>
      <w:r>
        <w:rPr>
          <w:rFonts w:asciiTheme="minorEastAsia" w:hAnsiTheme="minorEastAsia" w:eastAsiaTheme="minorEastAsia"/>
          <w:color w:val="auto"/>
          <w:sz w:val="28"/>
          <w:szCs w:val="28"/>
        </w:rPr>
        <w:t>新钢铁公司</w:t>
      </w:r>
      <w:r>
        <w:rPr>
          <w:rFonts w:hint="eastAsia" w:asciiTheme="minorEastAsia" w:hAnsiTheme="minorEastAsia" w:eastAsiaTheme="minorEastAsia"/>
          <w:color w:val="auto"/>
          <w:sz w:val="28"/>
          <w:szCs w:val="28"/>
        </w:rPr>
        <w:t>DN900管</w:t>
      </w:r>
      <w:r>
        <w:rPr>
          <w:rFonts w:asciiTheme="minorEastAsia" w:hAnsiTheme="minorEastAsia" w:eastAsiaTheme="minorEastAsia"/>
          <w:color w:val="auto"/>
          <w:sz w:val="28"/>
          <w:szCs w:val="28"/>
        </w:rPr>
        <w:t>连接</w:t>
      </w:r>
      <w:r>
        <w:rPr>
          <w:rFonts w:hint="eastAsia" w:asciiTheme="minorEastAsia" w:hAnsiTheme="minorEastAsia" w:eastAsiaTheme="minorEastAsia"/>
          <w:color w:val="auto"/>
          <w:sz w:val="28"/>
          <w:szCs w:val="28"/>
        </w:rPr>
        <w:t>并加设热计量装</w:t>
      </w:r>
      <w:r>
        <w:rPr>
          <w:rFonts w:asciiTheme="minorEastAsia" w:hAnsiTheme="minorEastAsia" w:eastAsiaTheme="minorEastAsia"/>
          <w:color w:val="auto"/>
          <w:sz w:val="28"/>
          <w:szCs w:val="28"/>
        </w:rPr>
        <w:t>，连接管管径规格</w:t>
      </w:r>
      <w:r>
        <w:rPr>
          <w:rFonts w:hint="eastAsia" w:asciiTheme="minorEastAsia" w:hAnsiTheme="minorEastAsia" w:eastAsiaTheme="minorEastAsia"/>
          <w:color w:val="auto"/>
          <w:sz w:val="28"/>
          <w:szCs w:val="28"/>
        </w:rPr>
        <w:t>DN</w:t>
      </w:r>
      <w:r>
        <w:rPr>
          <w:rFonts w:asciiTheme="minorEastAsia" w:hAnsiTheme="minorEastAsia" w:eastAsiaTheme="minorEastAsia"/>
          <w:color w:val="auto"/>
          <w:sz w:val="28"/>
          <w:szCs w:val="28"/>
        </w:rPr>
        <w:t>900</w:t>
      </w:r>
      <w:r>
        <w:rPr>
          <w:rFonts w:hint="eastAsia" w:asciiTheme="minorEastAsia" w:hAnsiTheme="minorEastAsia" w:eastAsiaTheme="minorEastAsia"/>
          <w:color w:val="auto"/>
          <w:sz w:val="28"/>
          <w:szCs w:val="28"/>
        </w:rPr>
        <w:t>，管道</w:t>
      </w:r>
      <w:r>
        <w:rPr>
          <w:rFonts w:asciiTheme="minorEastAsia" w:hAnsiTheme="minorEastAsia" w:eastAsiaTheme="minorEastAsia"/>
          <w:color w:val="auto"/>
          <w:sz w:val="28"/>
          <w:szCs w:val="28"/>
        </w:rPr>
        <w:t>开沟长度</w:t>
      </w:r>
      <w:r>
        <w:rPr>
          <w:rFonts w:hint="eastAsia" w:asciiTheme="minorEastAsia" w:hAnsiTheme="minorEastAsia" w:eastAsiaTheme="minorEastAsia"/>
          <w:color w:val="auto"/>
          <w:sz w:val="28"/>
          <w:szCs w:val="28"/>
        </w:rPr>
        <w:t>0.6公里</w:t>
      </w:r>
      <w:r>
        <w:rPr>
          <w:rFonts w:asciiTheme="minorEastAsia" w:hAnsiTheme="minorEastAsia" w:eastAsiaTheme="minorEastAsia"/>
          <w:color w:val="auto"/>
          <w:sz w:val="28"/>
          <w:szCs w:val="28"/>
        </w:rPr>
        <w:t>。</w:t>
      </w:r>
    </w:p>
    <w:p>
      <w:pPr>
        <w:spacing w:line="360" w:lineRule="auto"/>
        <w:ind w:firstLine="560" w:firstLineChars="200"/>
        <w:rPr>
          <w:rFonts w:hint="eastAsia"/>
          <w:color w:val="auto"/>
          <w:sz w:val="28"/>
          <w:szCs w:val="28"/>
          <w:lang w:val="en-US" w:eastAsia="zh-CN"/>
        </w:rPr>
      </w:pPr>
      <w:bookmarkStart w:id="45" w:name="_Toc28792"/>
      <w:r>
        <w:rPr>
          <w:rFonts w:hint="eastAsia"/>
          <w:color w:val="auto"/>
          <w:sz w:val="28"/>
          <w:szCs w:val="28"/>
          <w:lang w:val="en-US" w:eastAsia="zh-CN"/>
        </w:rPr>
        <w:t>2.1.5抚顺高新区蒸汽管网</w:t>
      </w:r>
      <w:bookmarkEnd w:id="45"/>
    </w:p>
    <w:p>
      <w:pPr>
        <w:spacing w:line="540" w:lineRule="exact"/>
        <w:ind w:firstLine="560" w:firstLineChars="200"/>
        <w:rPr>
          <w:rFonts w:hint="default"/>
          <w:b/>
          <w:color w:val="auto"/>
          <w:sz w:val="28"/>
          <w:szCs w:val="28"/>
          <w:lang w:val="en-US" w:eastAsia="zh-CN"/>
        </w:rPr>
      </w:pPr>
      <w:r>
        <w:rPr>
          <w:rFonts w:hint="default"/>
          <w:color w:val="auto"/>
          <w:sz w:val="28"/>
          <w:szCs w:val="28"/>
          <w:lang w:val="en-US" w:eastAsia="zh-CN"/>
        </w:rPr>
        <w:t>抚顺高新区内新建中压、低压各两根蒸汽主干线。向西敷设的中压 DN500（4.5MPa）、低压 DN700（1.0MPa）主干线过东洲河后沿同益南路向西敷设直至经三街，沿线长约 2.4km，负担集中在东洲河西侧的新增用汽企业,包括江苏三木集团项目及辽宁同益石化等企业；向东敷设的中压DN400（3.5MPa）、低压 DN700（1.0MPa）主干线沿纬六路向东敷设直至东科街，沿线长约 1.98km，负担集中在东洲河东侧的新增用汽企业，包括抚顺东科新能源科技有限公司、抚顺东联安信化学有限公司、抚顺方泰精密碳材料有限公司等企业。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 w:val="28"/>
          <w:szCs w:val="28"/>
          <w:lang w:val="en-US" w:eastAsia="zh-CN"/>
        </w:rPr>
      </w:pPr>
      <w:r>
        <w:rPr>
          <w:rFonts w:hint="default"/>
          <w:color w:val="auto"/>
          <w:sz w:val="28"/>
          <w:szCs w:val="28"/>
          <w:lang w:val="en-US" w:eastAsia="zh-CN"/>
        </w:rPr>
        <w:t>根据各抚顺高新区工业热负荷的发展，如需新建蒸汽管网，其蒸汽参数主要根据各工业企业对蒸汽品质的要求而定，蒸汽网供汽参数的确定应在满足用户压力和温度需要的情况下，尽量降低供气压力和温度，以保证热电厂的运行经济性，同时考虑到输送至各用户距离带来的压降和温降，供汽参数待电厂建设时根据热用户具体要求由电厂自行决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 w:val="28"/>
          <w:szCs w:val="28"/>
          <w:lang w:val="en-US" w:eastAsia="zh-CN"/>
        </w:rPr>
      </w:pPr>
      <w:r>
        <w:rPr>
          <w:rFonts w:hint="default"/>
          <w:color w:val="auto"/>
          <w:sz w:val="28"/>
          <w:szCs w:val="28"/>
          <w:lang w:val="en-US" w:eastAsia="zh-CN"/>
        </w:rPr>
        <w:t>根据抚顺高新区蒸汽热用户用汽参数要求，抚顺高新区内各热用户不单独设园区管网，由各用户在低压蒸汽管网接出，经减温减压后使用。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auto"/>
          <w:sz w:val="28"/>
          <w:szCs w:val="28"/>
          <w:lang w:val="en-US" w:eastAsia="zh-CN"/>
        </w:rPr>
      </w:pPr>
      <w:r>
        <w:rPr>
          <w:rFonts w:hint="default"/>
          <w:color w:val="auto"/>
          <w:sz w:val="28"/>
          <w:szCs w:val="28"/>
          <w:lang w:val="en-US" w:eastAsia="zh-CN"/>
        </w:rPr>
        <w:t>布置管网时，对于不允许中断用汽的部分企业，设两条蒸汽管道</w:t>
      </w:r>
      <w:r>
        <w:rPr>
          <w:rFonts w:hint="eastAsia" w:ascii="Times New Roman" w:eastAsia="宋体"/>
          <w:color w:val="auto"/>
          <w:sz w:val="28"/>
          <w:szCs w:val="28"/>
          <w:lang w:val="en-US" w:eastAsia="zh-CN"/>
        </w:rPr>
        <w:t>，</w:t>
      </w:r>
      <w:r>
        <w:rPr>
          <w:rFonts w:hint="default"/>
          <w:color w:val="auto"/>
          <w:sz w:val="28"/>
          <w:szCs w:val="28"/>
          <w:lang w:val="en-US" w:eastAsia="zh-CN"/>
        </w:rPr>
        <w:t>每条管道的供热能力取实际需要热负荷的 65％，保证企业在任意一条管道出现故障或检修时，能够减负荷运行</w:t>
      </w:r>
      <w:r>
        <w:rPr>
          <w:rFonts w:hint="eastAsia"/>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b/>
          <w:color w:val="auto"/>
          <w:sz w:val="28"/>
          <w:szCs w:val="28"/>
        </w:rPr>
      </w:pPr>
      <w:bookmarkStart w:id="46" w:name="_Toc16380"/>
      <w:r>
        <w:rPr>
          <w:b/>
          <w:color w:val="auto"/>
          <w:sz w:val="28"/>
          <w:szCs w:val="28"/>
        </w:rPr>
        <w:t>2.2</w:t>
      </w:r>
      <w:r>
        <w:rPr>
          <w:rFonts w:hint="eastAsia"/>
          <w:b/>
          <w:color w:val="auto"/>
          <w:sz w:val="28"/>
          <w:szCs w:val="28"/>
        </w:rPr>
        <w:t>热力网建设方案</w:t>
      </w:r>
      <w:bookmarkEnd w:id="46"/>
    </w:p>
    <w:p>
      <w:pPr>
        <w:spacing w:line="360" w:lineRule="auto"/>
        <w:ind w:firstLine="560" w:firstLineChars="200"/>
        <w:rPr>
          <w:color w:val="auto"/>
          <w:sz w:val="28"/>
          <w:szCs w:val="28"/>
        </w:rPr>
      </w:pPr>
      <w:r>
        <w:rPr>
          <w:color w:val="auto"/>
          <w:sz w:val="28"/>
          <w:szCs w:val="28"/>
        </w:rPr>
        <w:t>2.2</w:t>
      </w:r>
      <w:r>
        <w:rPr>
          <w:rFonts w:hint="eastAsia"/>
          <w:color w:val="auto"/>
          <w:sz w:val="28"/>
          <w:szCs w:val="28"/>
        </w:rPr>
        <w:t>.1 供热介质及设计参数</w:t>
      </w:r>
    </w:p>
    <w:p>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供热系统实行三环制运行，即一环为蒸汽-凝结水系统；二环(一级</w:t>
      </w:r>
    </w:p>
    <w:p>
      <w:pPr>
        <w:spacing w:line="36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网)为110/70℃（120/60℃）高温水系统；三环(二级网)为55/40℃（地热采暖为50/40℃）低温水系统，供至终端用户。</w:t>
      </w:r>
    </w:p>
    <w:p>
      <w:pPr>
        <w:spacing w:line="360" w:lineRule="auto"/>
        <w:ind w:firstLine="560" w:firstLineChars="200"/>
        <w:rPr>
          <w:color w:val="auto"/>
          <w:sz w:val="28"/>
          <w:szCs w:val="28"/>
        </w:rPr>
      </w:pPr>
      <w:r>
        <w:rPr>
          <w:color w:val="auto"/>
          <w:sz w:val="28"/>
          <w:szCs w:val="28"/>
        </w:rPr>
        <w:t>2.2.</w:t>
      </w:r>
      <w:r>
        <w:rPr>
          <w:rFonts w:hint="eastAsia"/>
          <w:color w:val="auto"/>
          <w:sz w:val="28"/>
          <w:szCs w:val="28"/>
        </w:rPr>
        <w:t>2 管材及阀门选择</w:t>
      </w:r>
    </w:p>
    <w:p>
      <w:pPr>
        <w:spacing w:line="360" w:lineRule="auto"/>
        <w:ind w:firstLine="560" w:firstLineChars="200"/>
        <w:rPr>
          <w:color w:val="auto"/>
          <w:sz w:val="28"/>
          <w:szCs w:val="28"/>
        </w:rPr>
      </w:pPr>
      <w:r>
        <w:rPr>
          <w:rFonts w:hint="eastAsia"/>
          <w:color w:val="auto"/>
          <w:sz w:val="28"/>
          <w:szCs w:val="28"/>
        </w:rPr>
        <w:t>（1）管材选择</w:t>
      </w:r>
    </w:p>
    <w:p>
      <w:pPr>
        <w:spacing w:line="360" w:lineRule="auto"/>
        <w:ind w:firstLine="560" w:firstLineChars="200"/>
        <w:rPr>
          <w:color w:val="auto"/>
          <w:sz w:val="28"/>
          <w:szCs w:val="28"/>
        </w:rPr>
      </w:pPr>
      <w:r>
        <w:rPr>
          <w:rFonts w:hint="eastAsia"/>
          <w:color w:val="auto"/>
          <w:sz w:val="28"/>
          <w:szCs w:val="28"/>
        </w:rPr>
        <w:t>城镇供热管道应采用无缝钢管、电弧焊或高频焊焊接钢管。根据本</w:t>
      </w:r>
    </w:p>
    <w:p>
      <w:pPr>
        <w:spacing w:line="360" w:lineRule="auto"/>
        <w:rPr>
          <w:color w:val="auto"/>
          <w:sz w:val="28"/>
          <w:szCs w:val="28"/>
        </w:rPr>
      </w:pPr>
      <w:r>
        <w:rPr>
          <w:rFonts w:hint="eastAsia"/>
          <w:color w:val="auto"/>
          <w:sz w:val="28"/>
          <w:szCs w:val="28"/>
        </w:rPr>
        <w:t>期工程热媒设计参数及管道规格，推荐采用双面螺旋高频焊焊接钢管，</w:t>
      </w:r>
    </w:p>
    <w:p>
      <w:pPr>
        <w:spacing w:line="360" w:lineRule="auto"/>
        <w:rPr>
          <w:color w:val="auto"/>
          <w:sz w:val="28"/>
          <w:szCs w:val="28"/>
        </w:rPr>
      </w:pPr>
      <w:r>
        <w:rPr>
          <w:rFonts w:hint="eastAsia"/>
          <w:color w:val="auto"/>
          <w:sz w:val="28"/>
          <w:szCs w:val="28"/>
        </w:rPr>
        <w:t>管道材质采用Q235-B，管材设计压力为1.60MPa，适用温度为≤300℃。</w:t>
      </w:r>
    </w:p>
    <w:p>
      <w:pPr>
        <w:spacing w:line="360" w:lineRule="auto"/>
        <w:rPr>
          <w:color w:val="auto"/>
          <w:sz w:val="28"/>
          <w:szCs w:val="28"/>
        </w:rPr>
      </w:pPr>
      <w:r>
        <w:rPr>
          <w:rFonts w:hint="eastAsia"/>
          <w:color w:val="auto"/>
          <w:sz w:val="28"/>
          <w:szCs w:val="28"/>
        </w:rPr>
        <w:t>热力网管道的连接一般原则下采用焊接，对公称直径小于或等于25mm 的放气阀采用螺纹连接，但连接放气阀的管道应采用厚壁管。钢管三通、弯头、变径管等均采用预制成品管件，管件壁厚均不应小于管道壁厚。</w:t>
      </w:r>
    </w:p>
    <w:p>
      <w:pPr>
        <w:spacing w:line="360" w:lineRule="auto"/>
        <w:ind w:firstLine="560" w:firstLineChars="200"/>
        <w:rPr>
          <w:color w:val="auto"/>
          <w:sz w:val="28"/>
          <w:szCs w:val="28"/>
        </w:rPr>
      </w:pPr>
      <w:r>
        <w:rPr>
          <w:rFonts w:hint="eastAsia"/>
          <w:color w:val="auto"/>
          <w:sz w:val="28"/>
          <w:szCs w:val="28"/>
        </w:rPr>
        <w:t>（2）管道阀门选择</w:t>
      </w:r>
    </w:p>
    <w:p>
      <w:pPr>
        <w:spacing w:line="360" w:lineRule="auto"/>
        <w:ind w:firstLine="560" w:firstLineChars="200"/>
        <w:rPr>
          <w:color w:val="auto"/>
          <w:sz w:val="28"/>
          <w:szCs w:val="28"/>
        </w:rPr>
      </w:pPr>
      <w:r>
        <w:rPr>
          <w:rFonts w:hint="eastAsia"/>
          <w:color w:val="auto"/>
          <w:sz w:val="28"/>
          <w:szCs w:val="28"/>
        </w:rPr>
        <w:t>本工程阀门选型主要依据其使用功能确定，热力网管道干线、支干线起点均安装关断阀门，阀门形式为钢制全焊接球阀，公称压力按2.5MPa 选取。</w:t>
      </w:r>
    </w:p>
    <w:p>
      <w:pPr>
        <w:spacing w:line="360" w:lineRule="auto"/>
        <w:ind w:firstLine="560" w:firstLineChars="200"/>
        <w:rPr>
          <w:color w:val="auto"/>
          <w:sz w:val="28"/>
          <w:szCs w:val="28"/>
        </w:rPr>
      </w:pPr>
      <w:r>
        <w:rPr>
          <w:rFonts w:hint="eastAsia"/>
          <w:color w:val="auto"/>
          <w:sz w:val="28"/>
          <w:szCs w:val="28"/>
        </w:rPr>
        <w:t>（3）固定节选择</w:t>
      </w:r>
    </w:p>
    <w:p>
      <w:pPr>
        <w:spacing w:line="360" w:lineRule="auto"/>
        <w:ind w:firstLine="560" w:firstLineChars="200"/>
        <w:rPr>
          <w:color w:val="auto"/>
          <w:sz w:val="28"/>
          <w:szCs w:val="28"/>
        </w:rPr>
      </w:pPr>
      <w:r>
        <w:rPr>
          <w:rFonts w:hint="eastAsia"/>
          <w:color w:val="auto"/>
          <w:sz w:val="28"/>
          <w:szCs w:val="28"/>
        </w:rPr>
        <w:t>本工程采用供水有固定、回水无固定的安装方式，固定节均为固定</w:t>
      </w:r>
    </w:p>
    <w:p>
      <w:pPr>
        <w:spacing w:line="360" w:lineRule="auto"/>
        <w:rPr>
          <w:color w:val="auto"/>
          <w:sz w:val="28"/>
          <w:szCs w:val="28"/>
        </w:rPr>
      </w:pPr>
      <w:r>
        <w:rPr>
          <w:rFonts w:hint="eastAsia"/>
          <w:color w:val="auto"/>
          <w:sz w:val="28"/>
          <w:szCs w:val="28"/>
        </w:rPr>
        <w:t>卡板与工作管道一体的成型产品，不得现场焊制。</w:t>
      </w:r>
    </w:p>
    <w:p>
      <w:pPr>
        <w:spacing w:line="360" w:lineRule="auto"/>
        <w:ind w:firstLine="560" w:firstLineChars="200"/>
        <w:rPr>
          <w:color w:val="auto"/>
          <w:sz w:val="28"/>
          <w:szCs w:val="28"/>
        </w:rPr>
      </w:pPr>
      <w:r>
        <w:rPr>
          <w:color w:val="auto"/>
          <w:sz w:val="28"/>
          <w:szCs w:val="28"/>
        </w:rPr>
        <w:t>2.2</w:t>
      </w:r>
      <w:r>
        <w:rPr>
          <w:rFonts w:hint="eastAsia"/>
          <w:color w:val="auto"/>
          <w:sz w:val="28"/>
          <w:szCs w:val="28"/>
        </w:rPr>
        <w:t>.3 热力网形式与敷设</w:t>
      </w:r>
    </w:p>
    <w:p>
      <w:pPr>
        <w:spacing w:line="360" w:lineRule="auto"/>
        <w:ind w:firstLine="560" w:firstLineChars="200"/>
        <w:rPr>
          <w:color w:val="auto"/>
          <w:sz w:val="28"/>
          <w:szCs w:val="28"/>
        </w:rPr>
      </w:pPr>
      <w:r>
        <w:rPr>
          <w:color w:val="auto"/>
          <w:sz w:val="28"/>
          <w:szCs w:val="28"/>
        </w:rPr>
        <w:t>1</w:t>
      </w:r>
      <w:r>
        <w:rPr>
          <w:rFonts w:hint="eastAsia"/>
          <w:color w:val="auto"/>
          <w:sz w:val="28"/>
          <w:szCs w:val="28"/>
        </w:rPr>
        <w:t>）热力网形式</w:t>
      </w:r>
    </w:p>
    <w:p>
      <w:pPr>
        <w:spacing w:line="360" w:lineRule="auto"/>
        <w:ind w:firstLine="560" w:firstLineChars="200"/>
        <w:rPr>
          <w:color w:val="auto"/>
          <w:sz w:val="28"/>
          <w:szCs w:val="28"/>
        </w:rPr>
      </w:pPr>
      <w:r>
        <w:rPr>
          <w:rFonts w:hint="eastAsia"/>
          <w:color w:val="auto"/>
          <w:sz w:val="28"/>
          <w:szCs w:val="28"/>
        </w:rPr>
        <w:t xml:space="preserve">根据《城镇供热管网设计标准》规定，热水供暖系统热力网型式采用闭式双管制。 </w:t>
      </w:r>
    </w:p>
    <w:p>
      <w:pPr>
        <w:spacing w:line="360" w:lineRule="auto"/>
        <w:ind w:firstLine="560" w:firstLineChars="200"/>
        <w:rPr>
          <w:color w:val="auto"/>
          <w:sz w:val="28"/>
          <w:szCs w:val="28"/>
        </w:rPr>
      </w:pPr>
      <w:r>
        <w:rPr>
          <w:color w:val="auto"/>
          <w:sz w:val="28"/>
          <w:szCs w:val="28"/>
        </w:rPr>
        <w:t>2</w:t>
      </w:r>
      <w:r>
        <w:rPr>
          <w:rFonts w:hint="eastAsia"/>
          <w:color w:val="auto"/>
          <w:sz w:val="28"/>
          <w:szCs w:val="28"/>
        </w:rPr>
        <w:t xml:space="preserve">）热力网敷设方式 </w:t>
      </w:r>
    </w:p>
    <w:p>
      <w:pPr>
        <w:spacing w:line="360" w:lineRule="auto"/>
        <w:ind w:firstLine="560" w:firstLineChars="200"/>
        <w:rPr>
          <w:color w:val="auto"/>
          <w:sz w:val="28"/>
          <w:szCs w:val="28"/>
        </w:rPr>
      </w:pPr>
      <w:r>
        <w:rPr>
          <w:rFonts w:hint="eastAsia"/>
          <w:color w:val="auto"/>
          <w:sz w:val="28"/>
          <w:szCs w:val="28"/>
        </w:rPr>
        <w:t>（</w:t>
      </w:r>
      <w:r>
        <w:rPr>
          <w:color w:val="auto"/>
          <w:sz w:val="28"/>
          <w:szCs w:val="28"/>
        </w:rPr>
        <w:t>1</w:t>
      </w:r>
      <w:r>
        <w:rPr>
          <w:rFonts w:hint="eastAsia"/>
          <w:color w:val="auto"/>
          <w:sz w:val="28"/>
          <w:szCs w:val="28"/>
        </w:rPr>
        <w:t xml:space="preserve">）热力网敷设 </w:t>
      </w:r>
    </w:p>
    <w:p>
      <w:pPr>
        <w:spacing w:line="360" w:lineRule="auto"/>
        <w:ind w:firstLine="560" w:firstLineChars="200"/>
        <w:rPr>
          <w:color w:val="auto"/>
          <w:sz w:val="28"/>
          <w:szCs w:val="28"/>
        </w:rPr>
      </w:pPr>
      <w:r>
        <w:rPr>
          <w:rFonts w:hint="eastAsia"/>
          <w:color w:val="auto"/>
          <w:sz w:val="28"/>
          <w:szCs w:val="28"/>
        </w:rPr>
        <w:t>城市热力网的布置应在城市规划的指导下，考虑热负荷分布，热源</w:t>
      </w:r>
    </w:p>
    <w:p>
      <w:pPr>
        <w:spacing w:line="360" w:lineRule="auto"/>
        <w:rPr>
          <w:color w:val="auto"/>
          <w:sz w:val="28"/>
          <w:szCs w:val="28"/>
        </w:rPr>
      </w:pPr>
      <w:r>
        <w:rPr>
          <w:rFonts w:hint="eastAsia"/>
          <w:color w:val="auto"/>
          <w:sz w:val="28"/>
          <w:szCs w:val="28"/>
        </w:rPr>
        <w:t>位置，与各种地上、地下管道及构筑物、园林绿地的关系和水文、地质</w:t>
      </w:r>
    </w:p>
    <w:p>
      <w:pPr>
        <w:spacing w:line="360" w:lineRule="auto"/>
        <w:rPr>
          <w:color w:val="auto"/>
          <w:sz w:val="28"/>
          <w:szCs w:val="28"/>
        </w:rPr>
      </w:pPr>
      <w:r>
        <w:rPr>
          <w:rFonts w:hint="eastAsia"/>
          <w:color w:val="auto"/>
          <w:sz w:val="28"/>
          <w:szCs w:val="28"/>
        </w:rPr>
        <w:t>条件等多种因素，经技术经济比较确定。</w:t>
      </w:r>
    </w:p>
    <w:p>
      <w:pPr>
        <w:spacing w:line="360" w:lineRule="auto"/>
        <w:rPr>
          <w:color w:val="auto"/>
          <w:sz w:val="28"/>
          <w:szCs w:val="28"/>
        </w:rPr>
      </w:pPr>
      <w:r>
        <w:rPr>
          <w:rFonts w:hint="eastAsia"/>
          <w:color w:val="auto"/>
          <w:sz w:val="28"/>
          <w:szCs w:val="28"/>
        </w:rPr>
        <w:t>根据《城镇供热直埋热水管道技术规程》（</w:t>
      </w:r>
      <w:r>
        <w:rPr>
          <w:color w:val="auto"/>
          <w:sz w:val="28"/>
          <w:szCs w:val="28"/>
        </w:rPr>
        <w:t>CJJ/T81-2013</w:t>
      </w:r>
      <w:r>
        <w:rPr>
          <w:rFonts w:hint="eastAsia"/>
          <w:color w:val="auto"/>
          <w:sz w:val="28"/>
          <w:szCs w:val="28"/>
        </w:rPr>
        <w:t>）及《城镇供热管网设计标准》（</w:t>
      </w:r>
      <w:r>
        <w:rPr>
          <w:color w:val="auto"/>
          <w:sz w:val="28"/>
          <w:szCs w:val="28"/>
        </w:rPr>
        <w:t>CJJ34-2022</w:t>
      </w:r>
      <w:r>
        <w:rPr>
          <w:rFonts w:hint="eastAsia"/>
          <w:color w:val="auto"/>
          <w:sz w:val="28"/>
          <w:szCs w:val="28"/>
        </w:rPr>
        <w:t>）相关规定，结合本期工程管网布置方案，管道敷设推荐采用直埋方式敷设。</w:t>
      </w:r>
    </w:p>
    <w:p>
      <w:pPr>
        <w:spacing w:line="360" w:lineRule="auto"/>
        <w:ind w:firstLine="560" w:firstLineChars="200"/>
        <w:rPr>
          <w:color w:val="auto"/>
          <w:sz w:val="28"/>
          <w:szCs w:val="28"/>
        </w:rPr>
      </w:pPr>
      <w:r>
        <w:rPr>
          <w:rFonts w:hint="eastAsia"/>
          <w:color w:val="auto"/>
          <w:sz w:val="28"/>
          <w:szCs w:val="28"/>
        </w:rPr>
        <w:t>（2）管道的补偿方式</w:t>
      </w:r>
    </w:p>
    <w:p>
      <w:pPr>
        <w:spacing w:line="360" w:lineRule="auto"/>
        <w:ind w:firstLine="560" w:firstLineChars="200"/>
        <w:rPr>
          <w:color w:val="auto"/>
          <w:sz w:val="28"/>
          <w:szCs w:val="28"/>
        </w:rPr>
      </w:pPr>
      <w:r>
        <w:rPr>
          <w:rFonts w:hint="eastAsia"/>
          <w:color w:val="auto"/>
          <w:sz w:val="28"/>
          <w:szCs w:val="28"/>
        </w:rPr>
        <w:t>①供热管道的热位移计算</w:t>
      </w:r>
    </w:p>
    <w:p>
      <w:pPr>
        <w:spacing w:line="360" w:lineRule="auto"/>
        <w:ind w:firstLine="560" w:firstLineChars="200"/>
        <w:rPr>
          <w:color w:val="auto"/>
          <w:sz w:val="28"/>
          <w:szCs w:val="28"/>
        </w:rPr>
      </w:pPr>
      <w:r>
        <w:rPr>
          <w:rFonts w:hint="eastAsia"/>
          <w:color w:val="auto"/>
          <w:sz w:val="28"/>
          <w:szCs w:val="28"/>
        </w:rPr>
        <w:t>根据供热管道设计手册中推荐的固定墩布置间距，本工程按</w:t>
      </w:r>
      <w:r>
        <w:rPr>
          <w:color w:val="auto"/>
          <w:sz w:val="28"/>
          <w:szCs w:val="28"/>
        </w:rPr>
        <w:t>120</w:t>
      </w:r>
      <w:r>
        <w:rPr>
          <w:rFonts w:hint="eastAsia"/>
          <w:color w:val="auto"/>
          <w:sz w:val="28"/>
          <w:szCs w:val="28"/>
        </w:rPr>
        <w:t>米计算，则该管段的热伸长量按下式计算：</w:t>
      </w:r>
      <w:r>
        <w:rPr>
          <w:color w:val="auto"/>
          <w:sz w:val="28"/>
          <w:szCs w:val="28"/>
        </w:rPr>
        <w:t>ΔL=αLΔt</w:t>
      </w:r>
    </w:p>
    <w:p>
      <w:pPr>
        <w:spacing w:line="360" w:lineRule="auto"/>
        <w:ind w:firstLine="560" w:firstLineChars="200"/>
        <w:rPr>
          <w:color w:val="auto"/>
          <w:sz w:val="28"/>
          <w:szCs w:val="28"/>
        </w:rPr>
      </w:pPr>
      <w:r>
        <w:rPr>
          <w:rFonts w:hint="eastAsia"/>
          <w:color w:val="auto"/>
          <w:sz w:val="28"/>
          <w:szCs w:val="28"/>
        </w:rPr>
        <w:t>式中：</w:t>
      </w:r>
      <w:r>
        <w:rPr>
          <w:color w:val="auto"/>
          <w:sz w:val="28"/>
          <w:szCs w:val="28"/>
        </w:rPr>
        <w:t>ΔL—</w:t>
      </w:r>
      <w:r>
        <w:rPr>
          <w:rFonts w:hint="eastAsia"/>
          <w:color w:val="auto"/>
          <w:sz w:val="28"/>
          <w:szCs w:val="28"/>
        </w:rPr>
        <w:t>管段的伸长量，</w:t>
      </w:r>
      <w:r>
        <w:rPr>
          <w:color w:val="auto"/>
          <w:sz w:val="28"/>
          <w:szCs w:val="28"/>
        </w:rPr>
        <w:t>mm</w:t>
      </w:r>
      <w:r>
        <w:rPr>
          <w:rFonts w:hint="eastAsia"/>
          <w:color w:val="auto"/>
          <w:sz w:val="28"/>
          <w:szCs w:val="28"/>
        </w:rPr>
        <w:t>；</w:t>
      </w:r>
    </w:p>
    <w:p>
      <w:pPr>
        <w:spacing w:line="360" w:lineRule="auto"/>
        <w:ind w:firstLine="560" w:firstLineChars="200"/>
        <w:rPr>
          <w:color w:val="auto"/>
          <w:sz w:val="28"/>
          <w:szCs w:val="28"/>
        </w:rPr>
      </w:pPr>
      <w:r>
        <w:rPr>
          <w:color w:val="auto"/>
          <w:sz w:val="28"/>
          <w:szCs w:val="28"/>
        </w:rPr>
        <w:t>α—</w:t>
      </w:r>
      <w:r>
        <w:rPr>
          <w:rFonts w:hint="eastAsia"/>
          <w:color w:val="auto"/>
          <w:sz w:val="28"/>
          <w:szCs w:val="28"/>
        </w:rPr>
        <w:t>管在设计温度</w:t>
      </w:r>
      <w:r>
        <w:rPr>
          <w:color w:val="auto"/>
          <w:sz w:val="28"/>
          <w:szCs w:val="28"/>
        </w:rPr>
        <w:t>t</w:t>
      </w:r>
      <w:r>
        <w:rPr>
          <w:rFonts w:hint="eastAsia"/>
          <w:color w:val="auto"/>
          <w:sz w:val="28"/>
          <w:szCs w:val="28"/>
        </w:rPr>
        <w:t>时的线膨胀系数，</w:t>
      </w:r>
      <w:r>
        <w:rPr>
          <w:color w:val="auto"/>
          <w:sz w:val="28"/>
          <w:szCs w:val="28"/>
        </w:rPr>
        <w:t>mm/(m•</w:t>
      </w:r>
      <w:r>
        <w:rPr>
          <w:rFonts w:hint="eastAsia"/>
          <w:color w:val="auto"/>
          <w:sz w:val="28"/>
          <w:szCs w:val="28"/>
        </w:rPr>
        <w:t>℃</w:t>
      </w:r>
      <w:r>
        <w:rPr>
          <w:color w:val="auto"/>
          <w:sz w:val="28"/>
          <w:szCs w:val="28"/>
        </w:rPr>
        <w:t>)</w:t>
      </w:r>
      <w:r>
        <w:rPr>
          <w:rFonts w:hint="eastAsia"/>
          <w:color w:val="auto"/>
          <w:sz w:val="28"/>
          <w:szCs w:val="28"/>
        </w:rPr>
        <w:t>，</w:t>
      </w:r>
      <w:r>
        <w:rPr>
          <w:color w:val="auto"/>
          <w:sz w:val="28"/>
          <w:szCs w:val="28"/>
        </w:rPr>
        <w:t>0.012</w:t>
      </w:r>
      <w:r>
        <w:rPr>
          <w:rFonts w:hint="eastAsia"/>
          <w:color w:val="auto"/>
          <w:sz w:val="28"/>
          <w:szCs w:val="28"/>
        </w:rPr>
        <w:t>；</w:t>
      </w:r>
    </w:p>
    <w:p>
      <w:pPr>
        <w:spacing w:line="360" w:lineRule="auto"/>
        <w:ind w:firstLine="560" w:firstLineChars="200"/>
        <w:rPr>
          <w:color w:val="auto"/>
          <w:sz w:val="28"/>
          <w:szCs w:val="28"/>
        </w:rPr>
      </w:pPr>
      <w:r>
        <w:rPr>
          <w:color w:val="auto"/>
          <w:sz w:val="28"/>
          <w:szCs w:val="28"/>
        </w:rPr>
        <w:t>Δt—</w:t>
      </w:r>
      <w:r>
        <w:rPr>
          <w:rFonts w:hint="eastAsia"/>
          <w:color w:val="auto"/>
          <w:sz w:val="28"/>
          <w:szCs w:val="28"/>
        </w:rPr>
        <w:t>管道介质温度与环境温度差，</w:t>
      </w:r>
      <w:r>
        <w:rPr>
          <w:color w:val="auto"/>
          <w:sz w:val="28"/>
          <w:szCs w:val="28"/>
        </w:rPr>
        <w:t>100</w:t>
      </w:r>
      <w:r>
        <w:rPr>
          <w:rFonts w:hint="eastAsia"/>
          <w:color w:val="auto"/>
          <w:sz w:val="28"/>
          <w:szCs w:val="28"/>
        </w:rPr>
        <w:t>℃；</w:t>
      </w:r>
    </w:p>
    <w:p>
      <w:pPr>
        <w:spacing w:line="360" w:lineRule="auto"/>
        <w:ind w:firstLine="560" w:firstLineChars="200"/>
        <w:rPr>
          <w:color w:val="auto"/>
          <w:sz w:val="28"/>
          <w:szCs w:val="28"/>
        </w:rPr>
      </w:pPr>
      <w:r>
        <w:rPr>
          <w:rFonts w:hint="eastAsia"/>
          <w:color w:val="auto"/>
          <w:sz w:val="28"/>
          <w:szCs w:val="28"/>
        </w:rPr>
        <w:t>一级网供水管道：ΔL=144mm。</w:t>
      </w:r>
    </w:p>
    <w:p>
      <w:pPr>
        <w:spacing w:line="360" w:lineRule="auto"/>
        <w:ind w:firstLine="560" w:firstLineChars="200"/>
        <w:rPr>
          <w:color w:val="auto"/>
          <w:sz w:val="28"/>
          <w:szCs w:val="28"/>
        </w:rPr>
      </w:pPr>
      <w:r>
        <w:rPr>
          <w:rFonts w:hint="eastAsia"/>
          <w:color w:val="auto"/>
          <w:sz w:val="28"/>
          <w:szCs w:val="28"/>
        </w:rPr>
        <w:t>②补偿器选择</w:t>
      </w:r>
    </w:p>
    <w:p>
      <w:pPr>
        <w:spacing w:line="360" w:lineRule="auto"/>
        <w:ind w:firstLine="560" w:firstLineChars="200"/>
        <w:rPr>
          <w:color w:val="auto"/>
          <w:sz w:val="28"/>
          <w:szCs w:val="28"/>
        </w:rPr>
      </w:pPr>
      <w:r>
        <w:rPr>
          <w:rFonts w:hint="eastAsia"/>
          <w:color w:val="auto"/>
          <w:sz w:val="28"/>
          <w:szCs w:val="28"/>
        </w:rPr>
        <w:t>供热管道在设计过程中，应充分利用管道本身的自然弯曲来补偿管</w:t>
      </w:r>
    </w:p>
    <w:p>
      <w:pPr>
        <w:spacing w:line="360" w:lineRule="auto"/>
        <w:rPr>
          <w:color w:val="auto"/>
          <w:sz w:val="28"/>
          <w:szCs w:val="28"/>
        </w:rPr>
      </w:pPr>
      <w:r>
        <w:rPr>
          <w:rFonts w:hint="eastAsia"/>
          <w:color w:val="auto"/>
          <w:sz w:val="28"/>
          <w:szCs w:val="28"/>
        </w:rPr>
        <w:t>道热伸长。当无条件利用自然弯曲来补偿管道的热伸长时，应采用合适</w:t>
      </w:r>
    </w:p>
    <w:p>
      <w:pPr>
        <w:spacing w:line="360" w:lineRule="auto"/>
        <w:rPr>
          <w:color w:val="auto"/>
          <w:sz w:val="28"/>
          <w:szCs w:val="28"/>
        </w:rPr>
      </w:pPr>
      <w:r>
        <w:rPr>
          <w:rFonts w:hint="eastAsia"/>
          <w:color w:val="auto"/>
          <w:sz w:val="28"/>
          <w:szCs w:val="28"/>
        </w:rPr>
        <w:t>的补偿器，以降低管道在运行过程中的作用力，减少管道应力和作用于</w:t>
      </w:r>
    </w:p>
    <w:p>
      <w:pPr>
        <w:spacing w:line="360" w:lineRule="auto"/>
        <w:rPr>
          <w:color w:val="auto"/>
          <w:sz w:val="28"/>
          <w:szCs w:val="28"/>
        </w:rPr>
      </w:pPr>
      <w:r>
        <w:rPr>
          <w:rFonts w:hint="eastAsia"/>
          <w:color w:val="auto"/>
          <w:sz w:val="28"/>
          <w:szCs w:val="28"/>
        </w:rPr>
        <w:t>阀门及支架结构上的作用力，保证管道的稳定和安全运行。</w:t>
      </w:r>
    </w:p>
    <w:p>
      <w:pPr>
        <w:spacing w:line="360" w:lineRule="auto"/>
        <w:ind w:firstLine="560" w:firstLineChars="200"/>
        <w:rPr>
          <w:color w:val="auto"/>
          <w:sz w:val="28"/>
          <w:szCs w:val="28"/>
        </w:rPr>
      </w:pPr>
      <w:r>
        <w:rPr>
          <w:rFonts w:hint="eastAsia"/>
          <w:color w:val="auto"/>
          <w:sz w:val="28"/>
          <w:szCs w:val="28"/>
        </w:rPr>
        <w:t>本工程自然补偿有Z型管道和L型管道两种方式。</w:t>
      </w:r>
    </w:p>
    <w:p>
      <w:pPr>
        <w:spacing w:line="360" w:lineRule="auto"/>
        <w:ind w:firstLine="560" w:firstLineChars="200"/>
        <w:rPr>
          <w:color w:val="auto"/>
          <w:sz w:val="28"/>
          <w:szCs w:val="28"/>
        </w:rPr>
      </w:pPr>
      <w:r>
        <w:rPr>
          <w:rFonts w:hint="eastAsia"/>
          <w:color w:val="auto"/>
          <w:sz w:val="28"/>
          <w:szCs w:val="28"/>
        </w:rPr>
        <w:t>直线管段补偿器的选择经过各类补偿器优缺点比较，选择直埋套筒</w:t>
      </w:r>
    </w:p>
    <w:p>
      <w:pPr>
        <w:spacing w:line="360" w:lineRule="auto"/>
        <w:rPr>
          <w:color w:val="auto"/>
          <w:sz w:val="28"/>
          <w:szCs w:val="28"/>
        </w:rPr>
      </w:pPr>
      <w:r>
        <w:rPr>
          <w:rFonts w:hint="eastAsia"/>
          <w:color w:val="auto"/>
          <w:sz w:val="28"/>
          <w:szCs w:val="28"/>
        </w:rPr>
        <w:t>补偿器，这种补偿器具有补偿能力大、结构简单、占地面积小、流动阻</w:t>
      </w:r>
    </w:p>
    <w:p>
      <w:pPr>
        <w:spacing w:line="360" w:lineRule="auto"/>
        <w:rPr>
          <w:color w:val="auto"/>
          <w:sz w:val="28"/>
          <w:szCs w:val="28"/>
        </w:rPr>
      </w:pPr>
      <w:r>
        <w:rPr>
          <w:rFonts w:hint="eastAsia"/>
          <w:color w:val="auto"/>
          <w:sz w:val="28"/>
          <w:szCs w:val="28"/>
        </w:rPr>
        <w:t>力小、安装方便等优点，在解决渗漏方面，工艺上采用注入式柔性石墨</w:t>
      </w:r>
    </w:p>
    <w:p>
      <w:pPr>
        <w:spacing w:line="360" w:lineRule="auto"/>
        <w:rPr>
          <w:color w:val="auto"/>
          <w:sz w:val="28"/>
          <w:szCs w:val="28"/>
        </w:rPr>
      </w:pPr>
      <w:r>
        <w:rPr>
          <w:rFonts w:hint="eastAsia"/>
          <w:color w:val="auto"/>
          <w:sz w:val="28"/>
          <w:szCs w:val="28"/>
        </w:rPr>
        <w:t>填料。</w:t>
      </w:r>
    </w:p>
    <w:p>
      <w:pPr>
        <w:spacing w:line="360" w:lineRule="auto"/>
        <w:ind w:firstLine="560" w:firstLineChars="200"/>
        <w:rPr>
          <w:color w:val="auto"/>
          <w:sz w:val="28"/>
          <w:szCs w:val="28"/>
        </w:rPr>
      </w:pPr>
      <w:r>
        <w:rPr>
          <w:rFonts w:hint="eastAsia"/>
          <w:color w:val="auto"/>
          <w:sz w:val="28"/>
          <w:szCs w:val="28"/>
        </w:rPr>
        <w:t>根据热网水流方向，对环网部分及存在双向供热部分的管道采用双</w:t>
      </w:r>
    </w:p>
    <w:p>
      <w:pPr>
        <w:spacing w:line="360" w:lineRule="auto"/>
        <w:rPr>
          <w:color w:val="auto"/>
          <w:sz w:val="28"/>
          <w:szCs w:val="28"/>
        </w:rPr>
      </w:pPr>
      <w:r>
        <w:rPr>
          <w:rFonts w:hint="eastAsia"/>
          <w:color w:val="auto"/>
          <w:sz w:val="28"/>
          <w:szCs w:val="28"/>
        </w:rPr>
        <w:t>向直埋套筒补偿器，对于仅单向供热的管网采用单向直埋套筒补偿器。</w:t>
      </w:r>
    </w:p>
    <w:p>
      <w:pPr>
        <w:spacing w:line="360" w:lineRule="auto"/>
        <w:ind w:firstLine="560" w:firstLineChars="200"/>
        <w:rPr>
          <w:color w:val="auto"/>
          <w:sz w:val="28"/>
          <w:szCs w:val="28"/>
        </w:rPr>
      </w:pPr>
      <w:r>
        <w:rPr>
          <w:rFonts w:hint="eastAsia"/>
          <w:color w:val="auto"/>
          <w:sz w:val="28"/>
          <w:szCs w:val="28"/>
        </w:rPr>
        <w:t>供水管道套筒补偿器补偿量选择200mm；</w:t>
      </w:r>
    </w:p>
    <w:p>
      <w:pPr>
        <w:spacing w:line="360" w:lineRule="auto"/>
        <w:ind w:firstLine="560" w:firstLineChars="200"/>
        <w:rPr>
          <w:color w:val="auto"/>
          <w:sz w:val="28"/>
          <w:szCs w:val="28"/>
        </w:rPr>
      </w:pPr>
      <w:r>
        <w:rPr>
          <w:rFonts w:hint="eastAsia"/>
          <w:color w:val="auto"/>
          <w:sz w:val="28"/>
          <w:szCs w:val="28"/>
        </w:rPr>
        <w:t>补偿器工作压力为1.60MPa，适用温度≤300℃。</w:t>
      </w:r>
    </w:p>
    <w:p>
      <w:pPr>
        <w:spacing w:line="360" w:lineRule="auto"/>
        <w:ind w:firstLine="560" w:firstLineChars="200"/>
        <w:rPr>
          <w:color w:val="auto"/>
          <w:sz w:val="28"/>
          <w:szCs w:val="28"/>
        </w:rPr>
      </w:pPr>
      <w:r>
        <w:rPr>
          <w:rFonts w:hint="eastAsia"/>
          <w:color w:val="auto"/>
          <w:sz w:val="28"/>
          <w:szCs w:val="28"/>
        </w:rPr>
        <w:t>③补偿器的推力计算</w:t>
      </w:r>
    </w:p>
    <w:p>
      <w:pPr>
        <w:spacing w:line="360" w:lineRule="auto"/>
        <w:ind w:firstLine="560" w:firstLineChars="200"/>
        <w:rPr>
          <w:color w:val="auto"/>
          <w:sz w:val="28"/>
          <w:szCs w:val="28"/>
        </w:rPr>
      </w:pPr>
      <w:r>
        <w:rPr>
          <w:rFonts w:hint="eastAsia"/>
          <w:color w:val="auto"/>
          <w:sz w:val="28"/>
          <w:szCs w:val="28"/>
        </w:rPr>
        <w:t>A、套筒补偿器由内压产生的摩擦力</w:t>
      </w:r>
    </w:p>
    <w:p>
      <w:pPr>
        <w:spacing w:line="360" w:lineRule="auto"/>
        <w:ind w:firstLine="560" w:firstLineChars="200"/>
        <w:rPr>
          <w:color w:val="auto"/>
          <w:sz w:val="28"/>
          <w:szCs w:val="28"/>
        </w:rPr>
      </w:pPr>
      <w:r>
        <w:rPr>
          <w:rFonts w:hint="eastAsia"/>
          <w:color w:val="auto"/>
          <w:sz w:val="28"/>
          <w:szCs w:val="28"/>
        </w:rPr>
        <w:t>对于DN=150-400的管道：Fn=2πPDμL</w:t>
      </w:r>
    </w:p>
    <w:p>
      <w:pPr>
        <w:spacing w:line="360" w:lineRule="auto"/>
        <w:ind w:firstLine="560" w:firstLineChars="200"/>
        <w:rPr>
          <w:color w:val="auto"/>
          <w:sz w:val="28"/>
          <w:szCs w:val="28"/>
        </w:rPr>
      </w:pPr>
      <w:r>
        <w:rPr>
          <w:rFonts w:hint="eastAsia"/>
          <w:color w:val="auto"/>
          <w:sz w:val="28"/>
          <w:szCs w:val="28"/>
        </w:rPr>
        <w:t>对于DN=400-1200的管道：Fn=1.75πPDμL</w:t>
      </w:r>
    </w:p>
    <w:p>
      <w:pPr>
        <w:spacing w:line="360" w:lineRule="auto"/>
        <w:ind w:firstLine="560" w:firstLineChars="200"/>
        <w:rPr>
          <w:color w:val="auto"/>
          <w:sz w:val="28"/>
          <w:szCs w:val="28"/>
        </w:rPr>
      </w:pPr>
      <w:r>
        <w:rPr>
          <w:rFonts w:hint="eastAsia"/>
          <w:color w:val="auto"/>
          <w:sz w:val="28"/>
          <w:szCs w:val="28"/>
        </w:rPr>
        <w:t>式中：Fn—由内压产生的摩擦力，N；</w:t>
      </w:r>
    </w:p>
    <w:p>
      <w:pPr>
        <w:spacing w:line="360" w:lineRule="auto"/>
        <w:ind w:firstLine="560" w:firstLineChars="200"/>
        <w:rPr>
          <w:color w:val="auto"/>
          <w:sz w:val="28"/>
          <w:szCs w:val="28"/>
        </w:rPr>
      </w:pPr>
      <w:r>
        <w:rPr>
          <w:rFonts w:hint="eastAsia"/>
          <w:color w:val="auto"/>
          <w:sz w:val="28"/>
          <w:szCs w:val="28"/>
        </w:rPr>
        <w:t>P—工作压力，MPa；</w:t>
      </w:r>
    </w:p>
    <w:p>
      <w:pPr>
        <w:spacing w:line="360" w:lineRule="auto"/>
        <w:ind w:firstLine="560" w:firstLineChars="200"/>
        <w:rPr>
          <w:color w:val="auto"/>
          <w:sz w:val="28"/>
          <w:szCs w:val="28"/>
        </w:rPr>
      </w:pPr>
      <w:r>
        <w:rPr>
          <w:rFonts w:hint="eastAsia"/>
          <w:color w:val="auto"/>
          <w:sz w:val="28"/>
          <w:szCs w:val="28"/>
        </w:rPr>
        <w:t>D—套筒补偿器的套管外径，cm；</w:t>
      </w:r>
    </w:p>
    <w:p>
      <w:pPr>
        <w:spacing w:line="360" w:lineRule="auto"/>
        <w:ind w:firstLine="560" w:firstLineChars="200"/>
        <w:rPr>
          <w:color w:val="auto"/>
          <w:sz w:val="28"/>
          <w:szCs w:val="28"/>
        </w:rPr>
      </w:pPr>
      <w:r>
        <w:rPr>
          <w:rFonts w:hint="eastAsia"/>
          <w:color w:val="auto"/>
          <w:sz w:val="28"/>
          <w:szCs w:val="28"/>
        </w:rPr>
        <w:t>L—套筒补偿器沿轴线方向的填料长度，cm；</w:t>
      </w:r>
    </w:p>
    <w:p>
      <w:pPr>
        <w:spacing w:line="360" w:lineRule="auto"/>
        <w:ind w:firstLine="560" w:firstLineChars="200"/>
        <w:rPr>
          <w:color w:val="auto"/>
          <w:sz w:val="28"/>
          <w:szCs w:val="28"/>
        </w:rPr>
      </w:pPr>
      <w:r>
        <w:rPr>
          <w:rFonts w:hint="eastAsia"/>
          <w:color w:val="auto"/>
          <w:sz w:val="28"/>
          <w:szCs w:val="28"/>
        </w:rPr>
        <w:t>μ—填料对金属的摩擦系数，μ=0.15；</w:t>
      </w:r>
    </w:p>
    <w:p>
      <w:pPr>
        <w:spacing w:line="360" w:lineRule="auto"/>
        <w:ind w:firstLine="560" w:firstLineChars="200"/>
        <w:rPr>
          <w:color w:val="auto"/>
          <w:sz w:val="28"/>
          <w:szCs w:val="28"/>
        </w:rPr>
      </w:pPr>
      <w:r>
        <w:rPr>
          <w:rFonts w:hint="eastAsia"/>
          <w:color w:val="auto"/>
          <w:sz w:val="28"/>
          <w:szCs w:val="28"/>
        </w:rPr>
        <w:t>B、套筒补偿器由拉紧螺栓产生的摩擦力</w:t>
      </w:r>
    </w:p>
    <w:p>
      <w:pPr>
        <w:spacing w:line="360" w:lineRule="auto"/>
        <w:ind w:firstLine="560" w:firstLineChars="200"/>
        <w:rPr>
          <w:color w:val="auto"/>
          <w:sz w:val="28"/>
          <w:szCs w:val="28"/>
        </w:rPr>
      </w:pPr>
      <w:r>
        <w:rPr>
          <w:color w:val="auto"/>
          <w:sz w:val="28"/>
          <w:szCs w:val="28"/>
        </w:rPr>
        <w:t>Fl=400nπDμL/A</w:t>
      </w:r>
    </w:p>
    <w:p>
      <w:pPr>
        <w:spacing w:line="360" w:lineRule="auto"/>
        <w:ind w:firstLine="560" w:firstLineChars="200"/>
        <w:rPr>
          <w:color w:val="auto"/>
          <w:sz w:val="28"/>
          <w:szCs w:val="28"/>
        </w:rPr>
      </w:pPr>
      <w:r>
        <w:rPr>
          <w:color w:val="auto"/>
          <w:sz w:val="28"/>
          <w:szCs w:val="28"/>
        </w:rPr>
        <w:t>A=</w:t>
      </w:r>
      <w:r>
        <w:rPr>
          <w:color w:val="auto"/>
        </w:rPr>
        <w:t xml:space="preserve"> </w:t>
      </w:r>
      <w:r>
        <w:rPr>
          <w:color w:val="auto"/>
          <w:sz w:val="28"/>
          <w:szCs w:val="28"/>
        </w:rPr>
        <w:t>0.785(D</w:t>
      </w:r>
      <w:r>
        <w:rPr>
          <w:color w:val="auto"/>
          <w:sz w:val="28"/>
          <w:szCs w:val="28"/>
          <w:vertAlign w:val="subscript"/>
        </w:rPr>
        <w:t>2</w:t>
      </w:r>
      <w:r>
        <w:rPr>
          <w:color w:val="auto"/>
          <w:sz w:val="28"/>
          <w:szCs w:val="28"/>
        </w:rPr>
        <w:t>-D</w:t>
      </w:r>
      <w:r>
        <w:rPr>
          <w:color w:val="auto"/>
          <w:sz w:val="28"/>
          <w:szCs w:val="28"/>
          <w:vertAlign w:val="subscript"/>
        </w:rPr>
        <w:t>0</w:t>
      </w:r>
      <w:r>
        <w:rPr>
          <w:color w:val="auto"/>
          <w:sz w:val="28"/>
          <w:szCs w:val="28"/>
        </w:rPr>
        <w:t>)</w:t>
      </w:r>
    </w:p>
    <w:p>
      <w:pPr>
        <w:spacing w:line="360" w:lineRule="auto"/>
        <w:ind w:firstLine="560" w:firstLineChars="200"/>
        <w:rPr>
          <w:color w:val="auto"/>
          <w:sz w:val="28"/>
          <w:szCs w:val="28"/>
        </w:rPr>
      </w:pPr>
      <w:r>
        <w:rPr>
          <w:rFonts w:hint="eastAsia"/>
          <w:color w:val="auto"/>
          <w:sz w:val="28"/>
          <w:szCs w:val="28"/>
        </w:rPr>
        <w:t>式中：Fn—由拉紧螺栓产生的摩擦力，N；</w:t>
      </w:r>
    </w:p>
    <w:p>
      <w:pPr>
        <w:spacing w:line="360" w:lineRule="auto"/>
        <w:ind w:firstLine="560" w:firstLineChars="200"/>
        <w:rPr>
          <w:color w:val="auto"/>
          <w:sz w:val="28"/>
          <w:szCs w:val="28"/>
        </w:rPr>
      </w:pPr>
      <w:r>
        <w:rPr>
          <w:rFonts w:hint="eastAsia"/>
          <w:color w:val="auto"/>
          <w:sz w:val="28"/>
          <w:szCs w:val="28"/>
        </w:rPr>
        <w:t>A—填料的横截面积，cm</w:t>
      </w:r>
      <w:r>
        <w:rPr>
          <w:rFonts w:hint="eastAsia"/>
          <w:color w:val="auto"/>
          <w:sz w:val="28"/>
          <w:szCs w:val="28"/>
          <w:vertAlign w:val="superscript"/>
        </w:rPr>
        <w:t>2</w:t>
      </w:r>
      <w:r>
        <w:rPr>
          <w:rFonts w:hint="eastAsia"/>
          <w:color w:val="auto"/>
          <w:sz w:val="28"/>
          <w:szCs w:val="28"/>
        </w:rPr>
        <w:t>；</w:t>
      </w:r>
    </w:p>
    <w:p>
      <w:pPr>
        <w:spacing w:line="360" w:lineRule="auto"/>
        <w:ind w:firstLine="560" w:firstLineChars="200"/>
        <w:rPr>
          <w:color w:val="auto"/>
          <w:sz w:val="28"/>
          <w:szCs w:val="28"/>
        </w:rPr>
      </w:pPr>
      <w:r>
        <w:rPr>
          <w:rFonts w:hint="eastAsia"/>
          <w:color w:val="auto"/>
          <w:sz w:val="28"/>
          <w:szCs w:val="28"/>
        </w:rPr>
        <w:t>D</w:t>
      </w:r>
      <w:r>
        <w:rPr>
          <w:rFonts w:hint="eastAsia"/>
          <w:color w:val="auto"/>
          <w:sz w:val="28"/>
          <w:szCs w:val="28"/>
          <w:vertAlign w:val="subscript"/>
        </w:rPr>
        <w:t>0</w:t>
      </w:r>
      <w:r>
        <w:rPr>
          <w:rFonts w:hint="eastAsia"/>
          <w:color w:val="auto"/>
          <w:sz w:val="28"/>
          <w:szCs w:val="28"/>
        </w:rPr>
        <w:t>—套筒补偿器的壳体内径，cm；</w:t>
      </w:r>
    </w:p>
    <w:p>
      <w:pPr>
        <w:spacing w:line="360" w:lineRule="auto"/>
        <w:ind w:firstLine="560" w:firstLineChars="200"/>
        <w:rPr>
          <w:color w:val="auto"/>
          <w:sz w:val="28"/>
          <w:szCs w:val="28"/>
        </w:rPr>
      </w:pPr>
      <w:r>
        <w:rPr>
          <w:rFonts w:hint="eastAsia"/>
          <w:color w:val="auto"/>
          <w:sz w:val="28"/>
          <w:szCs w:val="28"/>
        </w:rPr>
        <w:t>n—补偿器螺栓个数；</w:t>
      </w:r>
    </w:p>
    <w:p>
      <w:pPr>
        <w:spacing w:line="360" w:lineRule="auto"/>
        <w:ind w:firstLine="560" w:firstLineChars="200"/>
        <w:rPr>
          <w:color w:val="auto"/>
          <w:sz w:val="28"/>
          <w:szCs w:val="28"/>
        </w:rPr>
      </w:pPr>
      <w:r>
        <w:rPr>
          <w:rFonts w:hint="eastAsia"/>
          <w:color w:val="auto"/>
          <w:sz w:val="28"/>
          <w:szCs w:val="28"/>
        </w:rPr>
        <w:t>结论：套筒补偿器的推力取拉紧螺栓产生的摩擦力和内压产生的摩</w:t>
      </w:r>
    </w:p>
    <w:p>
      <w:pPr>
        <w:spacing w:line="360" w:lineRule="auto"/>
        <w:rPr>
          <w:color w:val="auto"/>
          <w:sz w:val="28"/>
          <w:szCs w:val="28"/>
        </w:rPr>
      </w:pPr>
      <w:r>
        <w:rPr>
          <w:rFonts w:hint="eastAsia"/>
          <w:color w:val="auto"/>
          <w:sz w:val="28"/>
          <w:szCs w:val="28"/>
        </w:rPr>
        <w:t>擦力两者中较大值，经过计算，内压产生的摩擦力远大于拉紧螺栓产生</w:t>
      </w:r>
    </w:p>
    <w:p>
      <w:pPr>
        <w:spacing w:line="360" w:lineRule="auto"/>
        <w:rPr>
          <w:color w:val="auto"/>
          <w:sz w:val="28"/>
          <w:szCs w:val="28"/>
        </w:rPr>
      </w:pPr>
      <w:r>
        <w:rPr>
          <w:rFonts w:hint="eastAsia"/>
          <w:color w:val="auto"/>
          <w:sz w:val="28"/>
          <w:szCs w:val="28"/>
        </w:rPr>
        <w:t>的摩擦力，则补偿器的推力按照由内压产生的摩擦力选取。</w:t>
      </w:r>
    </w:p>
    <w:p>
      <w:pPr>
        <w:spacing w:line="360" w:lineRule="auto"/>
        <w:ind w:firstLine="560" w:firstLineChars="200"/>
        <w:rPr>
          <w:color w:val="auto"/>
          <w:sz w:val="28"/>
          <w:szCs w:val="28"/>
        </w:rPr>
      </w:pPr>
      <w:r>
        <w:rPr>
          <w:rFonts w:hint="eastAsia"/>
          <w:color w:val="auto"/>
          <w:sz w:val="28"/>
          <w:szCs w:val="28"/>
        </w:rPr>
        <w:t>④作用在固定支架上的轴向推力计算</w:t>
      </w:r>
    </w:p>
    <w:p>
      <w:pPr>
        <w:spacing w:line="360" w:lineRule="auto"/>
        <w:ind w:firstLine="560" w:firstLineChars="200"/>
        <w:rPr>
          <w:color w:val="auto"/>
          <w:sz w:val="28"/>
          <w:szCs w:val="28"/>
        </w:rPr>
      </w:pPr>
      <w:r>
        <w:rPr>
          <w:color w:val="auto"/>
          <w:sz w:val="28"/>
          <w:szCs w:val="28"/>
        </w:rPr>
        <w:t>Fg=Fg</w:t>
      </w:r>
      <w:r>
        <w:rPr>
          <w:color w:val="auto"/>
          <w:sz w:val="28"/>
          <w:szCs w:val="28"/>
          <w:vertAlign w:val="subscript"/>
        </w:rPr>
        <w:t>1</w:t>
      </w:r>
      <w:r>
        <w:rPr>
          <w:color w:val="auto"/>
          <w:sz w:val="28"/>
          <w:szCs w:val="28"/>
        </w:rPr>
        <w:t>-0.5Fg</w:t>
      </w:r>
      <w:r>
        <w:rPr>
          <w:color w:val="auto"/>
          <w:sz w:val="28"/>
          <w:szCs w:val="28"/>
          <w:vertAlign w:val="subscript"/>
        </w:rPr>
        <w:t>2</w:t>
      </w:r>
    </w:p>
    <w:p>
      <w:pPr>
        <w:spacing w:line="360" w:lineRule="auto"/>
        <w:ind w:firstLine="560" w:firstLineChars="200"/>
        <w:rPr>
          <w:color w:val="auto"/>
          <w:sz w:val="28"/>
          <w:szCs w:val="28"/>
        </w:rPr>
      </w:pPr>
      <w:r>
        <w:rPr>
          <w:rFonts w:hint="eastAsia"/>
          <w:color w:val="auto"/>
          <w:sz w:val="28"/>
          <w:szCs w:val="28"/>
        </w:rPr>
        <w:t>式中：Fg—作用在固定支架上的轴向推力，N；</w:t>
      </w:r>
    </w:p>
    <w:p>
      <w:pPr>
        <w:spacing w:line="360" w:lineRule="auto"/>
        <w:ind w:firstLine="560" w:firstLineChars="200"/>
        <w:rPr>
          <w:color w:val="auto"/>
          <w:sz w:val="28"/>
          <w:szCs w:val="28"/>
        </w:rPr>
      </w:pPr>
      <w:r>
        <w:rPr>
          <w:rFonts w:hint="eastAsia"/>
          <w:color w:val="auto"/>
          <w:sz w:val="28"/>
          <w:szCs w:val="28"/>
        </w:rPr>
        <w:t>Fg</w:t>
      </w:r>
      <w:r>
        <w:rPr>
          <w:rFonts w:hint="eastAsia"/>
          <w:color w:val="auto"/>
          <w:sz w:val="28"/>
          <w:szCs w:val="28"/>
          <w:vertAlign w:val="subscript"/>
        </w:rPr>
        <w:t>1</w:t>
      </w:r>
      <w:r>
        <w:rPr>
          <w:rFonts w:hint="eastAsia"/>
          <w:color w:val="auto"/>
          <w:sz w:val="28"/>
          <w:szCs w:val="28"/>
        </w:rPr>
        <w:t>—作用在固定支架较大侧的轴向推力，N；</w:t>
      </w:r>
    </w:p>
    <w:p>
      <w:pPr>
        <w:spacing w:line="360" w:lineRule="auto"/>
        <w:ind w:firstLine="560" w:firstLineChars="200"/>
        <w:rPr>
          <w:color w:val="auto"/>
          <w:sz w:val="28"/>
          <w:szCs w:val="28"/>
        </w:rPr>
      </w:pPr>
      <w:r>
        <w:rPr>
          <w:rFonts w:hint="eastAsia"/>
          <w:color w:val="auto"/>
          <w:sz w:val="28"/>
          <w:szCs w:val="28"/>
        </w:rPr>
        <w:t>Fg</w:t>
      </w:r>
      <w:r>
        <w:rPr>
          <w:rFonts w:hint="eastAsia"/>
          <w:color w:val="auto"/>
          <w:sz w:val="28"/>
          <w:szCs w:val="28"/>
          <w:vertAlign w:val="subscript"/>
        </w:rPr>
        <w:t>2</w:t>
      </w:r>
      <w:r>
        <w:rPr>
          <w:rFonts w:hint="eastAsia"/>
          <w:color w:val="auto"/>
          <w:sz w:val="28"/>
          <w:szCs w:val="28"/>
        </w:rPr>
        <w:t>—作用在固定支架较小侧的轴向推力，N；</w:t>
      </w:r>
    </w:p>
    <w:p>
      <w:pPr>
        <w:spacing w:line="360" w:lineRule="auto"/>
        <w:ind w:firstLine="560" w:firstLineChars="200"/>
        <w:rPr>
          <w:color w:val="auto"/>
          <w:sz w:val="28"/>
          <w:szCs w:val="28"/>
        </w:rPr>
      </w:pPr>
      <w:r>
        <w:rPr>
          <w:rFonts w:hint="eastAsia"/>
          <w:color w:val="auto"/>
          <w:sz w:val="28"/>
          <w:szCs w:val="28"/>
        </w:rPr>
        <w:t>小管径</w:t>
      </w:r>
      <w:r>
        <w:rPr>
          <w:color w:val="auto"/>
          <w:sz w:val="28"/>
          <w:szCs w:val="28"/>
        </w:rPr>
        <w:t>（</w:t>
      </w:r>
      <w:r>
        <w:rPr>
          <w:rFonts w:hint="eastAsia"/>
          <w:color w:val="auto"/>
          <w:sz w:val="28"/>
          <w:szCs w:val="28"/>
        </w:rPr>
        <w:t>小于DN500</w:t>
      </w:r>
      <w:r>
        <w:rPr>
          <w:color w:val="auto"/>
          <w:sz w:val="28"/>
          <w:szCs w:val="28"/>
        </w:rPr>
        <w:t>）</w:t>
      </w:r>
      <w:r>
        <w:rPr>
          <w:rFonts w:hint="eastAsia"/>
          <w:color w:val="auto"/>
          <w:sz w:val="28"/>
          <w:szCs w:val="28"/>
        </w:rPr>
        <w:t>管线</w:t>
      </w:r>
      <w:r>
        <w:rPr>
          <w:color w:val="auto"/>
          <w:sz w:val="28"/>
          <w:szCs w:val="28"/>
        </w:rPr>
        <w:t>敷设采用无补偿直埋方式。</w:t>
      </w:r>
    </w:p>
    <w:p>
      <w:pPr>
        <w:spacing w:line="360" w:lineRule="auto"/>
        <w:ind w:firstLine="560" w:firstLineChars="200"/>
        <w:rPr>
          <w:color w:val="auto"/>
          <w:sz w:val="28"/>
          <w:szCs w:val="28"/>
        </w:rPr>
      </w:pPr>
      <w:r>
        <w:rPr>
          <w:rFonts w:hint="eastAsia"/>
          <w:color w:val="auto"/>
          <w:sz w:val="28"/>
          <w:szCs w:val="28"/>
        </w:rPr>
        <w:t>3）管道的特殊跨越方式</w:t>
      </w:r>
    </w:p>
    <w:p>
      <w:pPr>
        <w:spacing w:line="360" w:lineRule="auto"/>
        <w:ind w:firstLine="560" w:firstLineChars="200"/>
        <w:rPr>
          <w:color w:val="auto"/>
          <w:sz w:val="28"/>
          <w:szCs w:val="28"/>
        </w:rPr>
      </w:pPr>
      <w:r>
        <w:rPr>
          <w:rFonts w:hint="eastAsia"/>
          <w:color w:val="auto"/>
          <w:sz w:val="28"/>
          <w:szCs w:val="28"/>
        </w:rPr>
        <w:t>管道的特殊跨越有穿越公路、主要道路、穿越铁路、穿越河道。跨</w:t>
      </w:r>
    </w:p>
    <w:p>
      <w:pPr>
        <w:spacing w:line="360" w:lineRule="auto"/>
        <w:rPr>
          <w:color w:val="auto"/>
          <w:sz w:val="28"/>
          <w:szCs w:val="28"/>
        </w:rPr>
      </w:pPr>
      <w:r>
        <w:rPr>
          <w:rFonts w:hint="eastAsia"/>
          <w:color w:val="auto"/>
          <w:sz w:val="28"/>
          <w:szCs w:val="28"/>
        </w:rPr>
        <w:t>越方式为：</w:t>
      </w:r>
    </w:p>
    <w:p>
      <w:pPr>
        <w:spacing w:line="360" w:lineRule="auto"/>
        <w:ind w:firstLine="560" w:firstLineChars="200"/>
        <w:rPr>
          <w:color w:val="auto"/>
          <w:sz w:val="28"/>
          <w:szCs w:val="28"/>
        </w:rPr>
      </w:pPr>
      <w:r>
        <w:rPr>
          <w:rFonts w:hint="eastAsia"/>
          <w:color w:val="auto"/>
          <w:sz w:val="28"/>
          <w:szCs w:val="28"/>
        </w:rPr>
        <w:t>（1）穿越一般的城市道路或公路采取钢筋混凝土套管或钢套管；</w:t>
      </w:r>
    </w:p>
    <w:p>
      <w:pPr>
        <w:spacing w:line="360" w:lineRule="auto"/>
        <w:ind w:firstLine="560" w:firstLineChars="200"/>
        <w:rPr>
          <w:color w:val="auto"/>
          <w:sz w:val="28"/>
          <w:szCs w:val="28"/>
        </w:rPr>
      </w:pPr>
      <w:r>
        <w:rPr>
          <w:rFonts w:hint="eastAsia"/>
          <w:color w:val="auto"/>
          <w:sz w:val="28"/>
          <w:szCs w:val="28"/>
        </w:rPr>
        <w:t>（2）穿越不允许开挖的城市道路或公路采取顶管方式。</w:t>
      </w:r>
    </w:p>
    <w:p>
      <w:pPr>
        <w:spacing w:line="360" w:lineRule="auto"/>
        <w:ind w:firstLine="560" w:firstLineChars="200"/>
        <w:rPr>
          <w:color w:val="auto"/>
          <w:sz w:val="28"/>
          <w:szCs w:val="28"/>
        </w:rPr>
      </w:pPr>
      <w:r>
        <w:rPr>
          <w:rFonts w:hint="eastAsia"/>
          <w:color w:val="auto"/>
          <w:sz w:val="28"/>
          <w:szCs w:val="28"/>
        </w:rPr>
        <w:t>（3）穿越铁路采取顶管方式，由铁路部门设计施工。</w:t>
      </w:r>
    </w:p>
    <w:p>
      <w:pPr>
        <w:spacing w:line="360" w:lineRule="auto"/>
        <w:ind w:firstLine="560" w:firstLineChars="200"/>
        <w:rPr>
          <w:color w:val="auto"/>
          <w:sz w:val="28"/>
          <w:szCs w:val="28"/>
        </w:rPr>
      </w:pPr>
      <w:r>
        <w:rPr>
          <w:rFonts w:hint="eastAsia"/>
          <w:color w:val="auto"/>
          <w:sz w:val="28"/>
          <w:szCs w:val="28"/>
        </w:rPr>
        <w:t>（4）穿越河道采用开挖方式直埋敷设，管顶在河床下3.0米，管道</w:t>
      </w:r>
    </w:p>
    <w:p>
      <w:pPr>
        <w:spacing w:line="360" w:lineRule="auto"/>
        <w:rPr>
          <w:color w:val="auto"/>
          <w:sz w:val="28"/>
          <w:szCs w:val="28"/>
        </w:rPr>
      </w:pPr>
      <w:r>
        <w:rPr>
          <w:rFonts w:hint="eastAsia"/>
          <w:color w:val="auto"/>
          <w:sz w:val="28"/>
          <w:szCs w:val="28"/>
        </w:rPr>
        <w:t>外部做混凝土包裹，上部做毛石笼加固。</w:t>
      </w:r>
    </w:p>
    <w:p>
      <w:pPr>
        <w:spacing w:line="360" w:lineRule="auto"/>
        <w:ind w:firstLine="560" w:firstLineChars="200"/>
        <w:rPr>
          <w:color w:val="auto"/>
          <w:sz w:val="28"/>
          <w:szCs w:val="28"/>
        </w:rPr>
      </w:pPr>
      <w:r>
        <w:rPr>
          <w:color w:val="auto"/>
          <w:sz w:val="28"/>
          <w:szCs w:val="28"/>
        </w:rPr>
        <w:t>2.2</w:t>
      </w:r>
      <w:r>
        <w:rPr>
          <w:rFonts w:hint="eastAsia"/>
          <w:color w:val="auto"/>
          <w:sz w:val="28"/>
          <w:szCs w:val="28"/>
        </w:rPr>
        <w:t>.4 管道保温及土建工程</w:t>
      </w:r>
    </w:p>
    <w:p>
      <w:pPr>
        <w:spacing w:line="360" w:lineRule="auto"/>
        <w:ind w:firstLine="560" w:firstLineChars="200"/>
        <w:rPr>
          <w:color w:val="auto"/>
          <w:sz w:val="28"/>
          <w:szCs w:val="28"/>
        </w:rPr>
      </w:pPr>
      <w:r>
        <w:rPr>
          <w:rFonts w:hint="eastAsia"/>
          <w:color w:val="auto"/>
          <w:sz w:val="28"/>
          <w:szCs w:val="28"/>
        </w:rPr>
        <w:t>1）管道保温</w:t>
      </w:r>
    </w:p>
    <w:p>
      <w:pPr>
        <w:spacing w:line="360" w:lineRule="auto"/>
        <w:ind w:firstLine="560" w:firstLineChars="200"/>
        <w:rPr>
          <w:color w:val="auto"/>
          <w:sz w:val="28"/>
          <w:szCs w:val="28"/>
        </w:rPr>
      </w:pPr>
      <w:r>
        <w:rPr>
          <w:rFonts w:hint="eastAsia"/>
          <w:color w:val="auto"/>
          <w:sz w:val="28"/>
          <w:szCs w:val="28"/>
        </w:rPr>
        <w:t>根据国家标准《设备及管道保温技术通则》，城市供热管道，由于管道表面散热损失而使年运行费用增加时，必须从节能和经济的角度进</w:t>
      </w:r>
    </w:p>
    <w:p>
      <w:pPr>
        <w:spacing w:line="360" w:lineRule="auto"/>
        <w:rPr>
          <w:color w:val="auto"/>
          <w:sz w:val="28"/>
          <w:szCs w:val="28"/>
        </w:rPr>
      </w:pPr>
      <w:r>
        <w:rPr>
          <w:rFonts w:hint="eastAsia"/>
          <w:color w:val="auto"/>
          <w:sz w:val="28"/>
          <w:szCs w:val="28"/>
        </w:rPr>
        <w:t>行保温设计，保温层经济厚度按经济厚度法或按控制热损失法计算，本</w:t>
      </w:r>
    </w:p>
    <w:p>
      <w:pPr>
        <w:spacing w:line="360" w:lineRule="auto"/>
        <w:rPr>
          <w:color w:val="auto"/>
          <w:sz w:val="28"/>
          <w:szCs w:val="28"/>
        </w:rPr>
      </w:pPr>
      <w:r>
        <w:rPr>
          <w:rFonts w:hint="eastAsia"/>
          <w:color w:val="auto"/>
          <w:sz w:val="28"/>
          <w:szCs w:val="28"/>
        </w:rPr>
        <w:t>工程根据现阶段供热管网保温从比较成熟和先进的技术方面比较，主材</w:t>
      </w:r>
    </w:p>
    <w:p>
      <w:pPr>
        <w:spacing w:line="360" w:lineRule="auto"/>
        <w:rPr>
          <w:color w:val="auto"/>
          <w:sz w:val="28"/>
          <w:szCs w:val="28"/>
        </w:rPr>
      </w:pPr>
      <w:r>
        <w:rPr>
          <w:rFonts w:hint="eastAsia"/>
          <w:color w:val="auto"/>
          <w:sz w:val="28"/>
          <w:szCs w:val="28"/>
        </w:rPr>
        <w:t>选用聚氨酯泡沫塑料保温，管道、保温层、保护层三位一体；保温层应</w:t>
      </w:r>
    </w:p>
    <w:p>
      <w:pPr>
        <w:spacing w:line="360" w:lineRule="auto"/>
        <w:rPr>
          <w:color w:val="auto"/>
          <w:sz w:val="28"/>
          <w:szCs w:val="28"/>
        </w:rPr>
      </w:pPr>
      <w:r>
        <w:rPr>
          <w:rFonts w:hint="eastAsia"/>
          <w:color w:val="auto"/>
          <w:sz w:val="28"/>
          <w:szCs w:val="28"/>
        </w:rPr>
        <w:t>饱满，不应有空洞，保温结构应有足够的强度，并与钢管黏结为一体，</w:t>
      </w:r>
    </w:p>
    <w:p>
      <w:pPr>
        <w:spacing w:line="360" w:lineRule="auto"/>
        <w:rPr>
          <w:color w:val="auto"/>
          <w:sz w:val="28"/>
          <w:szCs w:val="28"/>
        </w:rPr>
      </w:pPr>
      <w:r>
        <w:rPr>
          <w:rFonts w:hint="eastAsia"/>
          <w:color w:val="auto"/>
          <w:sz w:val="28"/>
          <w:szCs w:val="28"/>
        </w:rPr>
        <w:t>保护层应连续、完整和严密。</w:t>
      </w:r>
    </w:p>
    <w:p>
      <w:pPr>
        <w:spacing w:line="360" w:lineRule="auto"/>
        <w:ind w:firstLine="560" w:firstLineChars="200"/>
        <w:rPr>
          <w:color w:val="auto"/>
          <w:sz w:val="28"/>
          <w:szCs w:val="28"/>
        </w:rPr>
      </w:pPr>
      <w:r>
        <w:rPr>
          <w:rFonts w:hint="eastAsia"/>
          <w:color w:val="auto"/>
          <w:sz w:val="28"/>
          <w:szCs w:val="28"/>
        </w:rPr>
        <w:t>2）管道土建工程</w:t>
      </w:r>
    </w:p>
    <w:p>
      <w:pPr>
        <w:spacing w:line="360" w:lineRule="auto"/>
        <w:ind w:firstLine="560" w:firstLineChars="200"/>
        <w:rPr>
          <w:color w:val="auto"/>
          <w:sz w:val="28"/>
          <w:szCs w:val="28"/>
        </w:rPr>
      </w:pPr>
      <w:r>
        <w:rPr>
          <w:color w:val="auto"/>
          <w:sz w:val="28"/>
          <w:szCs w:val="28"/>
        </w:rPr>
        <w:t>A</w:t>
      </w:r>
      <w:r>
        <w:rPr>
          <w:rFonts w:hint="eastAsia"/>
          <w:color w:val="auto"/>
          <w:sz w:val="28"/>
          <w:szCs w:val="28"/>
        </w:rPr>
        <w:t>、管道开挖</w:t>
      </w:r>
    </w:p>
    <w:p>
      <w:pPr>
        <w:spacing w:line="360" w:lineRule="auto"/>
        <w:ind w:firstLine="560" w:firstLineChars="200"/>
        <w:rPr>
          <w:color w:val="auto"/>
          <w:sz w:val="28"/>
          <w:szCs w:val="28"/>
        </w:rPr>
      </w:pPr>
      <w:r>
        <w:rPr>
          <w:rFonts w:hint="eastAsia"/>
          <w:color w:val="auto"/>
          <w:sz w:val="28"/>
          <w:szCs w:val="28"/>
        </w:rPr>
        <w:t>直埋管道的开挖沟槽尺寸，可以按下列原则确定：</w:t>
      </w:r>
    </w:p>
    <w:p>
      <w:pPr>
        <w:spacing w:line="360" w:lineRule="auto"/>
        <w:ind w:firstLine="560" w:firstLineChars="200"/>
        <w:rPr>
          <w:color w:val="auto"/>
          <w:sz w:val="28"/>
          <w:szCs w:val="28"/>
        </w:rPr>
      </w:pPr>
      <w:r>
        <w:rPr>
          <w:rFonts w:hint="eastAsia"/>
          <w:color w:val="auto"/>
          <w:sz w:val="28"/>
          <w:szCs w:val="28"/>
        </w:rPr>
        <w:t>管子与管子之间净距： 200-250mm；</w:t>
      </w:r>
    </w:p>
    <w:p>
      <w:pPr>
        <w:spacing w:line="360" w:lineRule="auto"/>
        <w:ind w:firstLine="560" w:firstLineChars="200"/>
        <w:rPr>
          <w:color w:val="auto"/>
          <w:sz w:val="28"/>
          <w:szCs w:val="28"/>
        </w:rPr>
      </w:pPr>
      <w:r>
        <w:rPr>
          <w:rFonts w:hint="eastAsia"/>
          <w:color w:val="auto"/>
          <w:sz w:val="28"/>
          <w:szCs w:val="28"/>
        </w:rPr>
        <w:t>管子与沟壁之间净距： 200-250mm；</w:t>
      </w:r>
    </w:p>
    <w:p>
      <w:pPr>
        <w:spacing w:line="360" w:lineRule="auto"/>
        <w:ind w:firstLine="560" w:firstLineChars="200"/>
        <w:rPr>
          <w:color w:val="auto"/>
          <w:sz w:val="28"/>
          <w:szCs w:val="28"/>
        </w:rPr>
      </w:pPr>
      <w:r>
        <w:rPr>
          <w:rFonts w:hint="eastAsia"/>
          <w:color w:val="auto"/>
          <w:sz w:val="28"/>
          <w:szCs w:val="28"/>
        </w:rPr>
        <w:t>管底与沟底之间净距： 200mm；</w:t>
      </w:r>
    </w:p>
    <w:p>
      <w:pPr>
        <w:spacing w:line="360" w:lineRule="auto"/>
        <w:ind w:firstLine="560" w:firstLineChars="200"/>
        <w:rPr>
          <w:color w:val="auto"/>
          <w:sz w:val="28"/>
          <w:szCs w:val="28"/>
        </w:rPr>
      </w:pPr>
      <w:r>
        <w:rPr>
          <w:rFonts w:hint="eastAsia"/>
          <w:color w:val="auto"/>
          <w:sz w:val="28"/>
          <w:szCs w:val="28"/>
        </w:rPr>
        <w:t>管顶与地面之间净距：800-1500mm；</w:t>
      </w:r>
    </w:p>
    <w:p>
      <w:pPr>
        <w:spacing w:line="360" w:lineRule="auto"/>
        <w:ind w:firstLine="560" w:firstLineChars="200"/>
        <w:rPr>
          <w:color w:val="auto"/>
          <w:sz w:val="28"/>
          <w:szCs w:val="28"/>
        </w:rPr>
      </w:pPr>
      <w:r>
        <w:rPr>
          <w:rFonts w:hint="eastAsia"/>
          <w:color w:val="auto"/>
          <w:sz w:val="28"/>
          <w:szCs w:val="28"/>
        </w:rPr>
        <w:t>B、管道覆土</w:t>
      </w:r>
    </w:p>
    <w:p>
      <w:pPr>
        <w:spacing w:line="360" w:lineRule="auto"/>
        <w:ind w:firstLine="560" w:firstLineChars="200"/>
        <w:rPr>
          <w:color w:val="auto"/>
          <w:sz w:val="28"/>
          <w:szCs w:val="28"/>
        </w:rPr>
      </w:pPr>
      <w:r>
        <w:rPr>
          <w:rFonts w:hint="eastAsia"/>
          <w:color w:val="auto"/>
          <w:sz w:val="28"/>
          <w:szCs w:val="28"/>
        </w:rPr>
        <w:t>本工程供热管道采取直埋方式，直埋沟槽底部铺200mm 厚砂石做</w:t>
      </w:r>
    </w:p>
    <w:p>
      <w:pPr>
        <w:spacing w:line="360" w:lineRule="auto"/>
        <w:rPr>
          <w:color w:val="auto"/>
          <w:sz w:val="28"/>
          <w:szCs w:val="28"/>
        </w:rPr>
      </w:pPr>
      <w:r>
        <w:rPr>
          <w:rFonts w:hint="eastAsia"/>
          <w:color w:val="auto"/>
          <w:sz w:val="28"/>
          <w:szCs w:val="28"/>
        </w:rPr>
        <w:t>垫层，回填土夯实，管道埋深应满足纵向稳定最小覆土深度要求。</w:t>
      </w:r>
    </w:p>
    <w:p>
      <w:pPr>
        <w:spacing w:line="360" w:lineRule="auto"/>
        <w:ind w:firstLine="560" w:firstLineChars="200"/>
        <w:rPr>
          <w:color w:val="auto"/>
          <w:sz w:val="28"/>
          <w:szCs w:val="28"/>
        </w:rPr>
      </w:pPr>
      <w:r>
        <w:rPr>
          <w:rFonts w:hint="eastAsia"/>
          <w:color w:val="auto"/>
          <w:sz w:val="28"/>
          <w:szCs w:val="28"/>
        </w:rPr>
        <w:t>直埋管道运行时，处于轴向压缩状态，其稳定是靠上部覆土来维持，因此在直埋管道上部要保持一定的覆土深度。本工程热网管道建议最小</w:t>
      </w:r>
    </w:p>
    <w:p>
      <w:pPr>
        <w:spacing w:line="360" w:lineRule="auto"/>
        <w:ind w:firstLine="560" w:firstLineChars="200"/>
        <w:rPr>
          <w:color w:val="auto"/>
          <w:sz w:val="28"/>
          <w:szCs w:val="28"/>
        </w:rPr>
      </w:pPr>
      <w:r>
        <w:rPr>
          <w:rFonts w:hint="eastAsia"/>
          <w:color w:val="auto"/>
          <w:sz w:val="28"/>
          <w:szCs w:val="28"/>
        </w:rPr>
        <w:t>C、检查井</w:t>
      </w:r>
    </w:p>
    <w:p>
      <w:pPr>
        <w:spacing w:line="360" w:lineRule="auto"/>
        <w:ind w:firstLine="560" w:firstLineChars="200"/>
        <w:rPr>
          <w:color w:val="auto"/>
          <w:sz w:val="28"/>
          <w:szCs w:val="28"/>
        </w:rPr>
      </w:pPr>
      <w:r>
        <w:rPr>
          <w:rFonts w:hint="eastAsia"/>
          <w:color w:val="auto"/>
          <w:sz w:val="28"/>
          <w:szCs w:val="28"/>
        </w:rPr>
        <w:t>本设计所有检查井均采用C30混凝土浇筑的防水井，严防地下水渗</w:t>
      </w:r>
    </w:p>
    <w:p>
      <w:pPr>
        <w:spacing w:line="360" w:lineRule="auto"/>
        <w:rPr>
          <w:color w:val="auto"/>
          <w:sz w:val="28"/>
          <w:szCs w:val="28"/>
        </w:rPr>
      </w:pPr>
      <w:r>
        <w:rPr>
          <w:rFonts w:hint="eastAsia"/>
          <w:color w:val="auto"/>
          <w:sz w:val="28"/>
          <w:szCs w:val="28"/>
        </w:rPr>
        <w:t>漏到井内。</w:t>
      </w:r>
    </w:p>
    <w:p>
      <w:pPr>
        <w:spacing w:line="360" w:lineRule="auto"/>
        <w:ind w:firstLine="560" w:firstLineChars="200"/>
        <w:rPr>
          <w:color w:val="auto"/>
          <w:sz w:val="28"/>
          <w:szCs w:val="28"/>
        </w:rPr>
      </w:pPr>
      <w:r>
        <w:rPr>
          <w:color w:val="auto"/>
          <w:sz w:val="28"/>
          <w:szCs w:val="28"/>
        </w:rPr>
        <w:t>2.2</w:t>
      </w:r>
      <w:r>
        <w:rPr>
          <w:rFonts w:hint="eastAsia"/>
          <w:color w:val="auto"/>
          <w:sz w:val="28"/>
          <w:szCs w:val="28"/>
        </w:rPr>
        <w:t>.5 供热调节</w:t>
      </w:r>
    </w:p>
    <w:p>
      <w:pPr>
        <w:spacing w:line="360" w:lineRule="auto"/>
        <w:ind w:firstLine="560" w:firstLineChars="200"/>
        <w:rPr>
          <w:color w:val="auto"/>
          <w:sz w:val="28"/>
          <w:szCs w:val="28"/>
        </w:rPr>
      </w:pPr>
      <w:r>
        <w:rPr>
          <w:rFonts w:hint="eastAsia"/>
          <w:color w:val="auto"/>
          <w:sz w:val="28"/>
          <w:szCs w:val="28"/>
        </w:rPr>
        <w:t>1）热网概况</w:t>
      </w:r>
    </w:p>
    <w:p>
      <w:pPr>
        <w:spacing w:line="360" w:lineRule="auto"/>
        <w:ind w:firstLine="560" w:firstLineChars="200"/>
        <w:rPr>
          <w:color w:val="auto"/>
          <w:sz w:val="28"/>
          <w:szCs w:val="28"/>
        </w:rPr>
      </w:pPr>
      <w:r>
        <w:rPr>
          <w:rFonts w:hint="eastAsia"/>
          <w:color w:val="auto"/>
          <w:sz w:val="28"/>
          <w:szCs w:val="28"/>
        </w:rPr>
        <w:t>本工程热网供水系统采用一、二级网分环运行，一级热网供回水的设计温度为110/70℃（</w:t>
      </w:r>
      <w:r>
        <w:rPr>
          <w:color w:val="auto"/>
          <w:sz w:val="28"/>
          <w:szCs w:val="28"/>
        </w:rPr>
        <w:t>120</w:t>
      </w:r>
      <w:r>
        <w:rPr>
          <w:rFonts w:hint="eastAsia"/>
          <w:color w:val="auto"/>
          <w:sz w:val="28"/>
          <w:szCs w:val="28"/>
        </w:rPr>
        <w:t>/</w:t>
      </w:r>
      <w:r>
        <w:rPr>
          <w:color w:val="auto"/>
          <w:sz w:val="28"/>
          <w:szCs w:val="28"/>
        </w:rPr>
        <w:t>60</w:t>
      </w:r>
      <w:r>
        <w:rPr>
          <w:rFonts w:hint="eastAsia"/>
          <w:color w:val="auto"/>
          <w:sz w:val="28"/>
          <w:szCs w:val="28"/>
        </w:rPr>
        <w:t>℃），由热网首站输送至小区换热站，经间接式水-水换热后，二级网向居住区热用户提供55/40℃(地热50/40℃)低温水供冬季采暖。</w:t>
      </w:r>
    </w:p>
    <w:p>
      <w:pPr>
        <w:spacing w:line="360" w:lineRule="auto"/>
        <w:ind w:firstLine="560" w:firstLineChars="200"/>
        <w:rPr>
          <w:color w:val="auto"/>
          <w:sz w:val="28"/>
          <w:szCs w:val="28"/>
        </w:rPr>
      </w:pPr>
      <w:r>
        <w:rPr>
          <w:rFonts w:hint="eastAsia"/>
          <w:color w:val="auto"/>
          <w:sz w:val="28"/>
          <w:szCs w:val="28"/>
        </w:rPr>
        <w:t>2）一级网的运行调节</w:t>
      </w:r>
    </w:p>
    <w:p>
      <w:pPr>
        <w:spacing w:line="360" w:lineRule="auto"/>
        <w:ind w:firstLine="560" w:firstLineChars="200"/>
        <w:rPr>
          <w:color w:val="auto"/>
          <w:sz w:val="28"/>
          <w:szCs w:val="28"/>
        </w:rPr>
      </w:pPr>
      <w:r>
        <w:rPr>
          <w:rFonts w:hint="eastAsia"/>
          <w:color w:val="auto"/>
          <w:sz w:val="28"/>
          <w:szCs w:val="28"/>
        </w:rPr>
        <w:t>一级网的运行调节采取质量综合的调节方式。但为避免热网流量过</w:t>
      </w:r>
    </w:p>
    <w:p>
      <w:pPr>
        <w:spacing w:line="360" w:lineRule="auto"/>
        <w:rPr>
          <w:color w:val="auto"/>
          <w:sz w:val="28"/>
          <w:szCs w:val="28"/>
        </w:rPr>
      </w:pPr>
      <w:r>
        <w:rPr>
          <w:rFonts w:hint="eastAsia"/>
          <w:color w:val="auto"/>
          <w:sz w:val="28"/>
          <w:szCs w:val="28"/>
        </w:rPr>
        <w:t>低造成热网水力失调，经过历年管网运行数据，并结合理论计算确定，热网流量在低于设计流量的70%时，一级网的调节方式采用质调节；即</w:t>
      </w:r>
    </w:p>
    <w:p>
      <w:pPr>
        <w:spacing w:line="360" w:lineRule="auto"/>
        <w:rPr>
          <w:color w:val="auto"/>
          <w:sz w:val="28"/>
          <w:szCs w:val="28"/>
        </w:rPr>
      </w:pPr>
      <w:r>
        <w:rPr>
          <w:rFonts w:hint="eastAsia"/>
          <w:color w:val="auto"/>
          <w:sz w:val="28"/>
          <w:szCs w:val="28"/>
        </w:rPr>
        <w:t>当室外温度在5℃--4.8℃时，一级网采用质调节，保持热网流量不变，</w:t>
      </w:r>
    </w:p>
    <w:p>
      <w:pPr>
        <w:spacing w:line="360" w:lineRule="auto"/>
        <w:rPr>
          <w:color w:val="auto"/>
          <w:sz w:val="28"/>
          <w:szCs w:val="28"/>
        </w:rPr>
      </w:pPr>
      <w:r>
        <w:rPr>
          <w:rFonts w:hint="eastAsia"/>
          <w:color w:val="auto"/>
          <w:sz w:val="28"/>
          <w:szCs w:val="28"/>
        </w:rPr>
        <w:t>以免流量过小造成各站水力失调，调节一级网的供、回水温度以适应室</w:t>
      </w:r>
    </w:p>
    <w:p>
      <w:pPr>
        <w:spacing w:line="360" w:lineRule="auto"/>
        <w:rPr>
          <w:color w:val="auto"/>
          <w:sz w:val="28"/>
          <w:szCs w:val="28"/>
        </w:rPr>
      </w:pPr>
      <w:r>
        <w:rPr>
          <w:rFonts w:hint="eastAsia"/>
          <w:color w:val="auto"/>
          <w:sz w:val="28"/>
          <w:szCs w:val="28"/>
        </w:rPr>
        <w:t>外温度的变化；当室外温度在-4.8℃--15.7℃时，一级网采用质量-流量的调节方式；保持热网供、回水温差恒定，改变热网流量，适应热负荷的变化。根据热网最不利用户的资用压差，调节热网循环水泵的转数，改变热网的循环流量。</w:t>
      </w:r>
    </w:p>
    <w:p>
      <w:pPr>
        <w:spacing w:line="360" w:lineRule="auto"/>
        <w:ind w:firstLine="562" w:firstLineChars="200"/>
        <w:outlineLvl w:val="1"/>
        <w:rPr>
          <w:b/>
          <w:color w:val="auto"/>
          <w:sz w:val="28"/>
          <w:szCs w:val="28"/>
        </w:rPr>
      </w:pPr>
      <w:bookmarkStart w:id="47" w:name="_Toc3765"/>
      <w:r>
        <w:rPr>
          <w:rFonts w:hint="eastAsia"/>
          <w:b/>
          <w:color w:val="auto"/>
          <w:sz w:val="28"/>
          <w:szCs w:val="28"/>
        </w:rPr>
        <w:t>三、换热站规划</w:t>
      </w:r>
      <w:bookmarkEnd w:id="47"/>
    </w:p>
    <w:p>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48" w:name="_Toc188275342"/>
      <w:bookmarkStart w:id="49" w:name="_Toc188275513"/>
      <w:bookmarkStart w:id="50" w:name="_Toc198987920"/>
      <w:bookmarkStart w:id="51" w:name="_Toc188956126"/>
      <w:bookmarkStart w:id="52" w:name="_Toc193446625"/>
      <w:bookmarkStart w:id="53" w:name="_Toc193448176"/>
      <w:bookmarkStart w:id="54" w:name="_Toc188275438"/>
      <w:bookmarkStart w:id="55" w:name="_Toc188956550"/>
      <w:bookmarkStart w:id="56" w:name="_Toc188956974"/>
      <w:bookmarkStart w:id="57" w:name="_Toc198988136"/>
      <w:bookmarkStart w:id="58" w:name="_Toc323131183"/>
      <w:bookmarkStart w:id="59" w:name="_Toc104983553"/>
      <w:bookmarkStart w:id="60" w:name="_Toc30647"/>
      <w:r>
        <w:rPr>
          <w:b/>
          <w:color w:val="auto"/>
          <w:sz w:val="28"/>
          <w:szCs w:val="28"/>
        </w:rPr>
        <w:t>3.1换热站</w:t>
      </w:r>
      <w:bookmarkEnd w:id="48"/>
      <w:bookmarkEnd w:id="49"/>
      <w:bookmarkEnd w:id="50"/>
      <w:bookmarkEnd w:id="51"/>
      <w:bookmarkEnd w:id="52"/>
      <w:bookmarkEnd w:id="53"/>
      <w:bookmarkEnd w:id="54"/>
      <w:bookmarkEnd w:id="55"/>
      <w:bookmarkEnd w:id="56"/>
      <w:bookmarkEnd w:id="57"/>
      <w:r>
        <w:rPr>
          <w:b/>
          <w:color w:val="auto"/>
          <w:sz w:val="28"/>
          <w:szCs w:val="28"/>
        </w:rPr>
        <w:t>布置原则</w:t>
      </w:r>
      <w:bookmarkEnd w:id="58"/>
      <w:bookmarkEnd w:id="59"/>
      <w:bookmarkEnd w:id="60"/>
    </w:p>
    <w:p>
      <w:pPr>
        <w:spacing w:line="360" w:lineRule="auto"/>
        <w:ind w:left="-720" w:leftChars="-343" w:firstLine="1260" w:firstLineChars="450"/>
        <w:rPr>
          <w:color w:val="auto"/>
          <w:sz w:val="28"/>
          <w:szCs w:val="28"/>
        </w:rPr>
      </w:pPr>
      <w:r>
        <w:rPr>
          <w:color w:val="auto"/>
          <w:sz w:val="28"/>
          <w:szCs w:val="28"/>
        </w:rPr>
        <w:t>换热站及二级管网的布置原则如下：</w:t>
      </w:r>
    </w:p>
    <w:p>
      <w:pPr>
        <w:tabs>
          <w:tab w:val="left" w:pos="-105"/>
          <w:tab w:val="left" w:pos="1470"/>
        </w:tabs>
        <w:spacing w:line="360" w:lineRule="auto"/>
        <w:ind w:left="-21" w:leftChars="-10" w:firstLine="560" w:firstLineChars="200"/>
        <w:rPr>
          <w:color w:val="auto"/>
          <w:sz w:val="28"/>
          <w:szCs w:val="28"/>
        </w:rPr>
      </w:pPr>
      <w:r>
        <w:rPr>
          <w:color w:val="auto"/>
          <w:sz w:val="28"/>
          <w:szCs w:val="28"/>
        </w:rPr>
        <w:t>（1）城市内的现状采暖汽-水换热站原则上一律改建成水-水换热站，并严格禁止新建汽-水换热站。</w:t>
      </w:r>
    </w:p>
    <w:p>
      <w:pPr>
        <w:spacing w:line="360" w:lineRule="auto"/>
        <w:ind w:left="-21" w:leftChars="-10" w:firstLine="560" w:firstLineChars="200"/>
        <w:rPr>
          <w:color w:val="auto"/>
          <w:sz w:val="28"/>
          <w:szCs w:val="28"/>
        </w:rPr>
      </w:pPr>
      <w:r>
        <w:rPr>
          <w:color w:val="auto"/>
          <w:sz w:val="28"/>
          <w:szCs w:val="28"/>
        </w:rPr>
        <w:t>（2）换热站的供热规模以5～20万</w:t>
      </w:r>
      <w:r>
        <w:rPr>
          <w:rFonts w:hint="eastAsia"/>
          <w:color w:val="auto"/>
          <w:sz w:val="28"/>
          <w:szCs w:val="28"/>
        </w:rPr>
        <w:t>平方米</w:t>
      </w:r>
      <w:r>
        <w:rPr>
          <w:color w:val="auto"/>
          <w:sz w:val="28"/>
          <w:szCs w:val="28"/>
        </w:rPr>
        <w:t>为宜，最大不超过30万</w:t>
      </w:r>
      <w:r>
        <w:rPr>
          <w:rFonts w:hint="eastAsia"/>
          <w:color w:val="auto"/>
          <w:sz w:val="28"/>
          <w:szCs w:val="28"/>
        </w:rPr>
        <w:t>平方米</w:t>
      </w:r>
      <w:r>
        <w:rPr>
          <w:color w:val="auto"/>
          <w:sz w:val="28"/>
          <w:szCs w:val="28"/>
        </w:rPr>
        <w:t xml:space="preserve">。 </w:t>
      </w:r>
    </w:p>
    <w:p>
      <w:pPr>
        <w:spacing w:line="360" w:lineRule="auto"/>
        <w:ind w:left="-21" w:leftChars="-10" w:firstLine="560" w:firstLineChars="200"/>
        <w:rPr>
          <w:color w:val="auto"/>
          <w:sz w:val="28"/>
          <w:szCs w:val="28"/>
        </w:rPr>
      </w:pPr>
      <w:r>
        <w:rPr>
          <w:color w:val="auto"/>
          <w:sz w:val="28"/>
          <w:szCs w:val="28"/>
        </w:rPr>
        <w:t>（3）换热站的最大供热半径不宜大于1km，以500m为宜。</w:t>
      </w:r>
    </w:p>
    <w:p>
      <w:pPr>
        <w:spacing w:line="360" w:lineRule="auto"/>
        <w:ind w:left="258" w:leftChars="123" w:firstLine="280" w:firstLineChars="100"/>
        <w:rPr>
          <w:color w:val="auto"/>
          <w:sz w:val="28"/>
          <w:szCs w:val="28"/>
        </w:rPr>
      </w:pPr>
      <w:r>
        <w:rPr>
          <w:color w:val="auto"/>
          <w:sz w:val="28"/>
          <w:szCs w:val="28"/>
        </w:rPr>
        <w:t>（4）每个换热站的建筑面积一般在200～300m</w:t>
      </w:r>
      <w:r>
        <w:rPr>
          <w:color w:val="auto"/>
          <w:sz w:val="28"/>
          <w:szCs w:val="28"/>
          <w:vertAlign w:val="superscript"/>
        </w:rPr>
        <w:t>2</w:t>
      </w:r>
      <w:r>
        <w:rPr>
          <w:color w:val="auto"/>
          <w:sz w:val="28"/>
          <w:szCs w:val="28"/>
        </w:rPr>
        <w:t>。换热站可利用现有的小型锅炉房土建建筑进行改建。</w:t>
      </w:r>
    </w:p>
    <w:p>
      <w:pPr>
        <w:spacing w:line="360" w:lineRule="auto"/>
        <w:ind w:left="260" w:leftChars="124" w:firstLine="280" w:firstLineChars="100"/>
        <w:rPr>
          <w:color w:val="auto"/>
          <w:sz w:val="28"/>
          <w:szCs w:val="28"/>
        </w:rPr>
      </w:pPr>
      <w:r>
        <w:rPr>
          <w:color w:val="auto"/>
          <w:sz w:val="28"/>
          <w:szCs w:val="28"/>
        </w:rPr>
        <w:t>（5）换热站的设计应根据小区地形高差及建筑物高低进行分区。</w:t>
      </w:r>
    </w:p>
    <w:p>
      <w:pPr>
        <w:spacing w:line="360" w:lineRule="auto"/>
        <w:ind w:left="-720" w:leftChars="-343" w:firstLine="1260" w:firstLineChars="450"/>
        <w:rPr>
          <w:color w:val="auto"/>
          <w:sz w:val="28"/>
          <w:szCs w:val="28"/>
        </w:rPr>
      </w:pPr>
      <w:r>
        <w:rPr>
          <w:color w:val="auto"/>
          <w:sz w:val="28"/>
          <w:szCs w:val="28"/>
        </w:rPr>
        <w:t>（6）换热站应尽量设置在负荷中心区。</w:t>
      </w:r>
    </w:p>
    <w:p>
      <w:pPr>
        <w:spacing w:line="360" w:lineRule="auto"/>
        <w:ind w:firstLine="537" w:firstLineChars="192"/>
        <w:rPr>
          <w:color w:val="auto"/>
          <w:sz w:val="28"/>
          <w:szCs w:val="28"/>
        </w:rPr>
      </w:pPr>
      <w:r>
        <w:rPr>
          <w:color w:val="auto"/>
          <w:sz w:val="28"/>
          <w:szCs w:val="28"/>
        </w:rPr>
        <w:t>（7）热水管网主干线及支干线的管径根据规划远期热负荷确定，支线管网根据负荷发展情况逐步敷设到位。</w:t>
      </w:r>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61" w:name="_Toc104983554"/>
      <w:bookmarkStart w:id="62" w:name="_Toc323131184"/>
      <w:bookmarkStart w:id="63" w:name="_Toc215475655"/>
      <w:bookmarkStart w:id="64" w:name="_Toc9243"/>
      <w:r>
        <w:rPr>
          <w:b/>
          <w:color w:val="auto"/>
          <w:sz w:val="28"/>
          <w:szCs w:val="28"/>
        </w:rPr>
        <w:t>3.2 换热站规划规模</w:t>
      </w:r>
      <w:bookmarkEnd w:id="61"/>
      <w:bookmarkEnd w:id="62"/>
      <w:bookmarkEnd w:id="63"/>
      <w:bookmarkEnd w:id="64"/>
    </w:p>
    <w:p>
      <w:pPr>
        <w:spacing w:line="360" w:lineRule="auto"/>
        <w:ind w:firstLine="560" w:firstLineChars="200"/>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t>本规划换热站均按一级网温度110</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/60</w:t>
      </w:r>
      <w:r>
        <w:rPr>
          <w:rFonts w:hint="eastAsia" w:cs="宋体" w:asciiTheme="minorEastAsia" w:hAnsiTheme="minorEastAsia" w:eastAsiaTheme="minorEastAsia"/>
          <w:color w:val="auto"/>
          <w:sz w:val="28"/>
          <w:szCs w:val="28"/>
        </w:rPr>
        <w:t>℃（120/60℃）</w:t>
      </w:r>
      <w:r>
        <w:rPr>
          <w:rFonts w:asciiTheme="minorEastAsia" w:hAnsiTheme="minorEastAsia" w:eastAsiaTheme="minorEastAsia"/>
          <w:color w:val="auto"/>
          <w:sz w:val="28"/>
          <w:szCs w:val="28"/>
        </w:rPr>
        <w:t>，二级网温度55</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/40</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设计（对于小区建筑采用低温水地板敷设采暖方式，二级网温度按50</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/40</w:t>
      </w:r>
      <w:r>
        <w:rPr>
          <w:rFonts w:hint="eastAsia" w:cs="宋体" w:asciiTheme="minorEastAsia" w:hAnsiTheme="minorEastAsia" w:eastAsiaTheme="minorEastAsia"/>
          <w:color w:val="auto"/>
          <w:sz w:val="28"/>
          <w:szCs w:val="28"/>
        </w:rPr>
        <w:t>℃</w:t>
      </w:r>
      <w:r>
        <w:rPr>
          <w:rFonts w:asciiTheme="minorEastAsia" w:hAnsiTheme="minorEastAsia" w:eastAsiaTheme="minorEastAsia"/>
          <w:color w:val="auto"/>
          <w:sz w:val="28"/>
          <w:szCs w:val="28"/>
        </w:rPr>
        <w:t>设计）。</w:t>
      </w:r>
    </w:p>
    <w:p>
      <w:pPr>
        <w:spacing w:line="360" w:lineRule="auto"/>
        <w:ind w:firstLine="560" w:firstLineChars="200"/>
        <w:rPr>
          <w:rFonts w:asciiTheme="minorEastAsia" w:hAnsiTheme="minorEastAsia" w:eastAsiaTheme="minorEastAsia"/>
          <w:bCs/>
          <w:color w:val="auto"/>
          <w:sz w:val="28"/>
          <w:szCs w:val="28"/>
        </w:rPr>
      </w:pPr>
      <w:r>
        <w:rPr>
          <w:rFonts w:asciiTheme="minorEastAsia" w:hAnsiTheme="minorEastAsia" w:eastAsiaTheme="minorEastAsia"/>
          <w:bCs/>
          <w:color w:val="auto"/>
          <w:sz w:val="28"/>
          <w:szCs w:val="28"/>
        </w:rPr>
        <w:t>根据</w:t>
      </w:r>
      <w:r>
        <w:rPr>
          <w:rFonts w:hint="eastAsia" w:asciiTheme="minorEastAsia" w:hAnsiTheme="minorEastAsia" w:eastAsiaTheme="minorEastAsia"/>
          <w:bCs/>
          <w:color w:val="auto"/>
          <w:sz w:val="28"/>
          <w:szCs w:val="28"/>
        </w:rPr>
        <w:t>抚顺</w:t>
      </w:r>
      <w:r>
        <w:rPr>
          <w:rFonts w:asciiTheme="minorEastAsia" w:hAnsiTheme="minorEastAsia" w:eastAsiaTheme="minorEastAsia"/>
          <w:bCs/>
          <w:color w:val="auto"/>
          <w:sz w:val="28"/>
          <w:szCs w:val="28"/>
        </w:rPr>
        <w:t>市的实际情况，水-水换热站可利用现有的热力点、汽-水换热站土建建筑进行改建。</w:t>
      </w:r>
    </w:p>
    <w:p>
      <w:pPr>
        <w:spacing w:line="360" w:lineRule="auto"/>
        <w:ind w:firstLine="560" w:firstLineChars="200"/>
        <w:rPr>
          <w:rFonts w:asciiTheme="minorEastAsia" w:hAnsiTheme="minorEastAsia" w:eastAsiaTheme="minorEastAsia"/>
          <w:bCs/>
          <w:color w:val="auto"/>
          <w:sz w:val="28"/>
          <w:szCs w:val="28"/>
          <w:lang w:val="en-GB"/>
        </w:rPr>
      </w:pPr>
      <w:bookmarkStart w:id="65" w:name="_Toc323131185"/>
      <w:bookmarkStart w:id="66" w:name="_Toc215475656"/>
      <w:bookmarkStart w:id="67" w:name="_Toc104983555"/>
      <w:r>
        <w:rPr>
          <w:rFonts w:asciiTheme="minorEastAsia" w:hAnsiTheme="minorEastAsia" w:eastAsiaTheme="minorEastAsia"/>
          <w:bCs/>
          <w:color w:val="auto"/>
          <w:sz w:val="28"/>
          <w:szCs w:val="28"/>
        </w:rPr>
        <w:t>为了便于设计、施工和运行管理，换热站设计应系统化和模块化，根据实际情况，按照供热面积将换热站分为5万</w:t>
      </w:r>
      <w:r>
        <w:rPr>
          <w:rFonts w:hint="eastAsia" w:asciiTheme="minorEastAsia" w:hAnsiTheme="minorEastAsia" w:eastAsiaTheme="minorEastAsia"/>
          <w:bCs/>
          <w:color w:val="auto"/>
          <w:sz w:val="28"/>
          <w:szCs w:val="28"/>
        </w:rPr>
        <w:t>平方米</w:t>
      </w:r>
      <w:r>
        <w:rPr>
          <w:rFonts w:asciiTheme="minorEastAsia" w:hAnsiTheme="minorEastAsia" w:eastAsiaTheme="minorEastAsia"/>
          <w:bCs/>
          <w:color w:val="auto"/>
          <w:sz w:val="28"/>
          <w:szCs w:val="28"/>
        </w:rPr>
        <w:t>、10万</w:t>
      </w:r>
      <w:r>
        <w:rPr>
          <w:rFonts w:hint="eastAsia" w:asciiTheme="minorEastAsia" w:hAnsiTheme="minorEastAsia" w:eastAsiaTheme="minorEastAsia"/>
          <w:bCs/>
          <w:color w:val="auto"/>
          <w:sz w:val="28"/>
          <w:szCs w:val="28"/>
        </w:rPr>
        <w:t>平方米</w:t>
      </w:r>
      <w:r>
        <w:rPr>
          <w:rFonts w:asciiTheme="minorEastAsia" w:hAnsiTheme="minorEastAsia" w:eastAsiaTheme="minorEastAsia"/>
          <w:bCs/>
          <w:color w:val="auto"/>
          <w:sz w:val="28"/>
          <w:szCs w:val="28"/>
        </w:rPr>
        <w:t>、15万</w:t>
      </w:r>
      <w:r>
        <w:rPr>
          <w:rFonts w:hint="eastAsia" w:asciiTheme="minorEastAsia" w:hAnsiTheme="minorEastAsia" w:eastAsiaTheme="minorEastAsia"/>
          <w:bCs/>
          <w:color w:val="auto"/>
          <w:sz w:val="28"/>
          <w:szCs w:val="28"/>
        </w:rPr>
        <w:t>平方米</w:t>
      </w:r>
      <w:r>
        <w:rPr>
          <w:rFonts w:asciiTheme="minorEastAsia" w:hAnsiTheme="minorEastAsia" w:eastAsiaTheme="minorEastAsia"/>
          <w:bCs/>
          <w:color w:val="auto"/>
          <w:sz w:val="28"/>
          <w:szCs w:val="28"/>
        </w:rPr>
        <w:t>、20万</w:t>
      </w:r>
      <w:r>
        <w:rPr>
          <w:rFonts w:hint="eastAsia" w:asciiTheme="minorEastAsia" w:hAnsiTheme="minorEastAsia" w:eastAsiaTheme="minorEastAsia"/>
          <w:bCs/>
          <w:color w:val="auto"/>
          <w:sz w:val="28"/>
          <w:szCs w:val="28"/>
          <w:lang w:val="en-GB"/>
        </w:rPr>
        <w:t>平方米</w:t>
      </w:r>
      <w:r>
        <w:rPr>
          <w:rFonts w:asciiTheme="minorEastAsia" w:hAnsiTheme="minorEastAsia" w:eastAsiaTheme="minorEastAsia"/>
          <w:bCs/>
          <w:color w:val="auto"/>
          <w:sz w:val="28"/>
          <w:szCs w:val="28"/>
          <w:lang w:val="en-GB"/>
        </w:rPr>
        <w:t>、</w:t>
      </w:r>
      <w:r>
        <w:rPr>
          <w:rFonts w:asciiTheme="minorEastAsia" w:hAnsiTheme="minorEastAsia" w:eastAsiaTheme="minorEastAsia"/>
          <w:bCs/>
          <w:color w:val="auto"/>
          <w:sz w:val="28"/>
          <w:szCs w:val="28"/>
        </w:rPr>
        <w:t>25万</w:t>
      </w:r>
      <w:r>
        <w:rPr>
          <w:rFonts w:hint="eastAsia" w:asciiTheme="minorEastAsia" w:hAnsiTheme="minorEastAsia" w:eastAsiaTheme="minorEastAsia"/>
          <w:bCs/>
          <w:color w:val="auto"/>
          <w:sz w:val="28"/>
          <w:szCs w:val="28"/>
          <w:lang w:val="en-GB"/>
        </w:rPr>
        <w:t>平方米</w:t>
      </w:r>
      <w:r>
        <w:rPr>
          <w:rFonts w:asciiTheme="minorEastAsia" w:hAnsiTheme="minorEastAsia" w:eastAsiaTheme="minorEastAsia"/>
          <w:bCs/>
          <w:color w:val="auto"/>
          <w:sz w:val="28"/>
          <w:szCs w:val="28"/>
          <w:lang w:val="en-GB"/>
        </w:rPr>
        <w:t>、</w:t>
      </w:r>
      <w:r>
        <w:rPr>
          <w:rFonts w:asciiTheme="minorEastAsia" w:hAnsiTheme="minorEastAsia" w:eastAsiaTheme="minorEastAsia"/>
          <w:bCs/>
          <w:color w:val="auto"/>
          <w:sz w:val="28"/>
          <w:szCs w:val="28"/>
        </w:rPr>
        <w:t>30万</w:t>
      </w:r>
      <w:r>
        <w:rPr>
          <w:rFonts w:hint="eastAsia" w:asciiTheme="minorEastAsia" w:hAnsiTheme="minorEastAsia" w:eastAsiaTheme="minorEastAsia"/>
          <w:bCs/>
          <w:color w:val="auto"/>
          <w:sz w:val="28"/>
          <w:szCs w:val="28"/>
          <w:lang w:val="en-GB"/>
        </w:rPr>
        <w:t>平方米</w:t>
      </w:r>
      <w:r>
        <w:rPr>
          <w:rFonts w:asciiTheme="minorEastAsia" w:hAnsiTheme="minorEastAsia" w:eastAsiaTheme="minorEastAsia"/>
          <w:bCs/>
          <w:color w:val="auto"/>
          <w:sz w:val="28"/>
          <w:szCs w:val="28"/>
          <w:lang w:val="en-GB"/>
        </w:rPr>
        <w:t>等</w:t>
      </w:r>
      <w:r>
        <w:rPr>
          <w:rFonts w:asciiTheme="minorEastAsia" w:hAnsiTheme="minorEastAsia" w:eastAsiaTheme="minorEastAsia"/>
          <w:bCs/>
          <w:color w:val="auto"/>
          <w:sz w:val="28"/>
          <w:szCs w:val="28"/>
        </w:rPr>
        <w:t>六种类型。</w:t>
      </w:r>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68" w:name="_Toc29669"/>
      <w:r>
        <w:rPr>
          <w:b/>
          <w:color w:val="auto"/>
          <w:sz w:val="28"/>
          <w:szCs w:val="28"/>
        </w:rPr>
        <w:t>3.3 换热站主要设备选择原则</w:t>
      </w:r>
      <w:bookmarkEnd w:id="65"/>
      <w:bookmarkEnd w:id="66"/>
      <w:bookmarkEnd w:id="67"/>
      <w:bookmarkEnd w:id="68"/>
    </w:p>
    <w:p>
      <w:pPr>
        <w:spacing w:line="360" w:lineRule="auto"/>
        <w:ind w:firstLine="560" w:firstLineChars="200"/>
        <w:rPr>
          <w:bCs/>
          <w:color w:val="auto"/>
          <w:sz w:val="28"/>
          <w:szCs w:val="28"/>
        </w:rPr>
      </w:pPr>
      <w:r>
        <w:rPr>
          <w:bCs/>
          <w:color w:val="auto"/>
          <w:sz w:val="28"/>
          <w:szCs w:val="28"/>
        </w:rPr>
        <w:t>各换热站均选用高效节能型设备，补水泵采用变频装置，系统中设置必要的计量水、电、热的仪表设备和自动控制装置，补水系统则安装自动软化水装置。此外，待用户调节手段完善时，换热站内主循环泵可采用变流量运行。</w:t>
      </w:r>
    </w:p>
    <w:p>
      <w:pPr>
        <w:spacing w:line="360" w:lineRule="auto"/>
        <w:ind w:firstLine="560" w:firstLineChars="200"/>
        <w:rPr>
          <w:bCs/>
          <w:color w:val="auto"/>
          <w:sz w:val="28"/>
          <w:szCs w:val="28"/>
        </w:rPr>
      </w:pPr>
      <w:bookmarkStart w:id="69" w:name="_Toc178403943"/>
      <w:bookmarkStart w:id="70" w:name="_Toc180987774"/>
      <w:bookmarkStart w:id="71" w:name="_Toc180987865"/>
      <w:bookmarkStart w:id="72" w:name="_Toc178402948"/>
      <w:bookmarkStart w:id="73" w:name="_Toc184028906"/>
      <w:bookmarkStart w:id="74" w:name="_Toc184811482"/>
      <w:r>
        <w:rPr>
          <w:bCs/>
          <w:color w:val="auto"/>
          <w:sz w:val="28"/>
          <w:szCs w:val="28"/>
        </w:rPr>
        <w:t>（1）换热站水泵选择</w:t>
      </w:r>
      <w:bookmarkEnd w:id="69"/>
      <w:bookmarkEnd w:id="70"/>
      <w:bookmarkEnd w:id="71"/>
      <w:bookmarkEnd w:id="72"/>
      <w:bookmarkEnd w:id="73"/>
      <w:bookmarkEnd w:id="74"/>
    </w:p>
    <w:p>
      <w:pPr>
        <w:spacing w:line="360" w:lineRule="auto"/>
        <w:ind w:firstLine="560" w:firstLineChars="200"/>
        <w:rPr>
          <w:bCs/>
          <w:color w:val="auto"/>
          <w:sz w:val="28"/>
          <w:szCs w:val="28"/>
        </w:rPr>
      </w:pPr>
      <w:bookmarkStart w:id="75" w:name="_Toc123629528"/>
      <w:r>
        <w:rPr>
          <w:bCs/>
          <w:color w:val="auto"/>
          <w:sz w:val="28"/>
          <w:szCs w:val="28"/>
        </w:rPr>
        <w:t>换热站循环泵宜选用节能型水泵，当换热站规模较大时，也可选用双吸泵，换热站内水泵原则上按一用一备设置。</w:t>
      </w:r>
    </w:p>
    <w:bookmarkEnd w:id="75"/>
    <w:p>
      <w:pPr>
        <w:spacing w:line="360" w:lineRule="auto"/>
        <w:ind w:firstLine="546" w:firstLineChars="195"/>
        <w:rPr>
          <w:bCs/>
          <w:color w:val="auto"/>
          <w:sz w:val="28"/>
          <w:szCs w:val="28"/>
        </w:rPr>
      </w:pPr>
      <w:bookmarkStart w:id="76" w:name="_Toc128453278"/>
      <w:bookmarkStart w:id="77" w:name="_Toc139941548"/>
      <w:bookmarkStart w:id="78" w:name="_Toc128453192"/>
      <w:bookmarkStart w:id="79" w:name="_Toc178403944"/>
      <w:bookmarkStart w:id="80" w:name="_Toc135125172"/>
      <w:bookmarkStart w:id="81" w:name="_Toc146592647"/>
      <w:bookmarkStart w:id="82" w:name="_Toc146592386"/>
      <w:bookmarkStart w:id="83" w:name="_Toc146504576"/>
      <w:bookmarkStart w:id="84" w:name="_Toc128453781"/>
      <w:bookmarkStart w:id="85" w:name="_Toc180987866"/>
      <w:bookmarkStart w:id="86" w:name="_Toc184028907"/>
      <w:bookmarkStart w:id="87" w:name="_Toc128454620"/>
      <w:bookmarkStart w:id="88" w:name="_Toc184811483"/>
      <w:bookmarkStart w:id="89" w:name="_Toc128452850"/>
      <w:bookmarkStart w:id="90" w:name="_Toc128454555"/>
      <w:bookmarkStart w:id="91" w:name="_Toc180987775"/>
      <w:bookmarkStart w:id="92" w:name="_Toc178402949"/>
      <w:bookmarkStart w:id="93" w:name="_Toc135119419"/>
      <w:bookmarkStart w:id="94" w:name="_Toc135125109"/>
      <w:bookmarkStart w:id="95" w:name="_Toc128452393"/>
      <w:bookmarkStart w:id="96" w:name="_Toc135118974"/>
      <w:bookmarkStart w:id="97" w:name="_Toc128453004"/>
      <w:bookmarkStart w:id="98" w:name="_Toc128453358"/>
      <w:bookmarkStart w:id="99" w:name="_Toc129404044"/>
      <w:bookmarkStart w:id="100" w:name="_Toc128455156"/>
      <w:r>
        <w:rPr>
          <w:bCs/>
          <w:color w:val="auto"/>
          <w:sz w:val="28"/>
          <w:szCs w:val="28"/>
        </w:rPr>
        <w:t>(2)换热站换热器的选择</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spacing w:line="360" w:lineRule="auto"/>
        <w:ind w:firstLine="560" w:firstLineChars="200"/>
        <w:rPr>
          <w:bCs/>
          <w:color w:val="auto"/>
          <w:sz w:val="28"/>
          <w:szCs w:val="28"/>
        </w:rPr>
      </w:pPr>
      <w:r>
        <w:rPr>
          <w:bCs/>
          <w:color w:val="auto"/>
          <w:sz w:val="28"/>
          <w:szCs w:val="28"/>
        </w:rPr>
        <w:t>建议采用高效板式换热器，其具有换热系数高，不易结垢，体积相对小等优点。每个换热站换热器不少于2台，具体应根据各换热站的热负荷计算确定。公称压力宜采用1.6MPa。</w:t>
      </w:r>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01" w:name="_Toc146504581"/>
      <w:bookmarkStart w:id="102" w:name="_Toc215475657"/>
      <w:bookmarkStart w:id="103" w:name="_Toc104983556"/>
      <w:bookmarkStart w:id="104" w:name="_Toc146592652"/>
      <w:bookmarkStart w:id="105" w:name="_Toc146592391"/>
      <w:bookmarkStart w:id="106" w:name="_Toc178403949"/>
      <w:bookmarkStart w:id="107" w:name="_Toc178402954"/>
      <w:bookmarkStart w:id="108" w:name="_Toc180987871"/>
      <w:bookmarkStart w:id="109" w:name="_Toc323131186"/>
      <w:bookmarkStart w:id="110" w:name="_Toc184028912"/>
      <w:bookmarkStart w:id="111" w:name="_Toc184811488"/>
      <w:bookmarkStart w:id="112" w:name="_Toc180987780"/>
      <w:bookmarkStart w:id="113" w:name="_Toc9240"/>
      <w:r>
        <w:rPr>
          <w:b/>
          <w:color w:val="auto"/>
          <w:sz w:val="28"/>
          <w:szCs w:val="28"/>
        </w:rPr>
        <w:t>3.4 换热站的水力平衡调节</w:t>
      </w:r>
      <w:bookmarkEnd w:id="101"/>
      <w:bookmarkEnd w:id="102"/>
      <w:bookmarkEnd w:id="103"/>
      <w:bookmarkEnd w:id="104"/>
      <w:bookmarkEnd w:id="105"/>
      <w:bookmarkEnd w:id="106"/>
      <w:bookmarkEnd w:id="107"/>
      <w:bookmarkEnd w:id="108"/>
      <w:bookmarkEnd w:id="109"/>
      <w:bookmarkEnd w:id="110"/>
      <w:bookmarkEnd w:id="111"/>
      <w:bookmarkEnd w:id="112"/>
      <w:bookmarkEnd w:id="113"/>
    </w:p>
    <w:p>
      <w:pPr>
        <w:spacing w:line="360" w:lineRule="auto"/>
        <w:ind w:firstLine="560" w:firstLineChars="200"/>
        <w:rPr>
          <w:bCs/>
          <w:color w:val="auto"/>
          <w:sz w:val="28"/>
          <w:szCs w:val="28"/>
        </w:rPr>
      </w:pPr>
      <w:r>
        <w:rPr>
          <w:bCs/>
          <w:color w:val="auto"/>
          <w:sz w:val="28"/>
          <w:szCs w:val="28"/>
        </w:rPr>
        <w:t>本着节能运行的目的，前提条件就是实现各换热站之间的水力平衡，由于本工程规划的换热站数量较多，仅靠人工调节是不可行的。因此设计采用将各换热站的回水温度通过中控室的计算机进行对比后，将信号反馈到各站，自动调节调节阀的开度，最终达到各站回水温度的相对平衡，即各站的水力工况相对平衡。</w:t>
      </w:r>
    </w:p>
    <w:p>
      <w:pPr>
        <w:spacing w:line="360" w:lineRule="auto"/>
        <w:rPr>
          <w:color w:val="auto"/>
          <w:sz w:val="28"/>
          <w:szCs w:val="28"/>
        </w:rPr>
      </w:pPr>
    </w:p>
    <w:p>
      <w:pPr>
        <w:spacing w:line="360" w:lineRule="auto"/>
        <w:jc w:val="center"/>
        <w:outlineLvl w:val="0"/>
        <w:rPr>
          <w:color w:val="auto"/>
          <w:sz w:val="28"/>
          <w:szCs w:val="28"/>
        </w:rPr>
      </w:pPr>
      <w:r>
        <w:rPr>
          <w:b/>
          <w:color w:val="auto"/>
          <w:sz w:val="30"/>
          <w:szCs w:val="32"/>
        </w:rPr>
        <w:br w:type="page"/>
      </w:r>
      <w:bookmarkStart w:id="114" w:name="_Toc198987938"/>
      <w:bookmarkStart w:id="115" w:name="_Toc186623214"/>
      <w:bookmarkStart w:id="116" w:name="_Toc193446643"/>
      <w:bookmarkStart w:id="117" w:name="_Toc188275360"/>
      <w:bookmarkStart w:id="118" w:name="_Toc188956992"/>
      <w:bookmarkStart w:id="119" w:name="_Toc188275531"/>
      <w:bookmarkStart w:id="120" w:name="_Toc198988154"/>
      <w:bookmarkStart w:id="121" w:name="_Toc323131196"/>
      <w:bookmarkStart w:id="122" w:name="_Toc193448194"/>
      <w:bookmarkStart w:id="123" w:name="_Toc188956144"/>
      <w:bookmarkStart w:id="124" w:name="_Toc183244331"/>
      <w:bookmarkStart w:id="125" w:name="_Toc188275456"/>
      <w:bookmarkStart w:id="126" w:name="_Toc183244445"/>
      <w:bookmarkStart w:id="127" w:name="_Toc188956568"/>
      <w:bookmarkStart w:id="128" w:name="_Toc104983564"/>
      <w:bookmarkStart w:id="129" w:name="_Toc6522"/>
      <w:r>
        <w:rPr>
          <w:b/>
          <w:color w:val="auto"/>
          <w:sz w:val="30"/>
          <w:szCs w:val="32"/>
        </w:rPr>
        <w:t>第</w:t>
      </w:r>
      <w:r>
        <w:rPr>
          <w:rFonts w:hint="eastAsia"/>
          <w:b/>
          <w:color w:val="auto"/>
          <w:sz w:val="30"/>
          <w:szCs w:val="32"/>
        </w:rPr>
        <w:t>六</w:t>
      </w:r>
      <w:r>
        <w:rPr>
          <w:b/>
          <w:color w:val="auto"/>
          <w:sz w:val="30"/>
          <w:szCs w:val="32"/>
        </w:rPr>
        <w:t xml:space="preserve">章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b/>
          <w:color w:val="auto"/>
          <w:sz w:val="30"/>
          <w:szCs w:val="32"/>
        </w:rPr>
        <w:t xml:space="preserve"> </w:t>
      </w:r>
      <w:bookmarkEnd w:id="128"/>
      <w:r>
        <w:rPr>
          <w:rFonts w:hint="eastAsia"/>
          <w:b/>
          <w:color w:val="auto"/>
          <w:sz w:val="30"/>
          <w:szCs w:val="32"/>
        </w:rPr>
        <w:t>环境保护</w:t>
      </w:r>
      <w:bookmarkEnd w:id="129"/>
    </w:p>
    <w:p>
      <w:pPr>
        <w:spacing w:line="360" w:lineRule="auto"/>
        <w:ind w:firstLine="562" w:firstLineChars="200"/>
        <w:outlineLvl w:val="1"/>
        <w:rPr>
          <w:b/>
          <w:color w:val="auto"/>
          <w:sz w:val="28"/>
          <w:szCs w:val="28"/>
        </w:rPr>
      </w:pPr>
      <w:bookmarkStart w:id="130" w:name="_Toc133324577"/>
      <w:bookmarkStart w:id="131" w:name="_Toc14674"/>
      <w:bookmarkStart w:id="132" w:name="_Toc38538678"/>
      <w:r>
        <w:rPr>
          <w:rFonts w:hint="eastAsia"/>
          <w:b/>
          <w:color w:val="auto"/>
          <w:sz w:val="28"/>
          <w:szCs w:val="28"/>
        </w:rPr>
        <w:t>一</w:t>
      </w:r>
      <w:r>
        <w:rPr>
          <w:b/>
          <w:color w:val="auto"/>
          <w:sz w:val="28"/>
          <w:szCs w:val="28"/>
        </w:rPr>
        <w:t>、</w:t>
      </w:r>
      <w:r>
        <w:rPr>
          <w:rFonts w:hint="eastAsia"/>
          <w:b/>
          <w:color w:val="auto"/>
          <w:sz w:val="28"/>
          <w:szCs w:val="28"/>
        </w:rPr>
        <w:t>环保措施</w:t>
      </w:r>
      <w:bookmarkEnd w:id="130"/>
      <w:bookmarkEnd w:id="131"/>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33" w:name="_Toc133324578"/>
      <w:bookmarkStart w:id="134" w:name="_Toc25602"/>
      <w:r>
        <w:rPr>
          <w:b/>
          <w:color w:val="auto"/>
          <w:sz w:val="28"/>
          <w:szCs w:val="28"/>
        </w:rPr>
        <w:t>1.1</w:t>
      </w:r>
      <w:r>
        <w:rPr>
          <w:rFonts w:hint="eastAsia"/>
          <w:b/>
          <w:color w:val="auto"/>
          <w:sz w:val="28"/>
          <w:szCs w:val="28"/>
        </w:rPr>
        <w:t>施工期环保措施</w:t>
      </w:r>
      <w:bookmarkEnd w:id="133"/>
      <w:bookmarkEnd w:id="134"/>
    </w:p>
    <w:p>
      <w:pPr>
        <w:spacing w:line="360" w:lineRule="auto"/>
        <w:ind w:firstLine="539"/>
        <w:rPr>
          <w:color w:val="auto"/>
          <w:sz w:val="28"/>
          <w:szCs w:val="28"/>
        </w:rPr>
      </w:pPr>
      <w:r>
        <w:rPr>
          <w:color w:val="auto"/>
          <w:sz w:val="28"/>
          <w:szCs w:val="28"/>
        </w:rPr>
        <w:t>1.1.1</w:t>
      </w:r>
      <w:r>
        <w:rPr>
          <w:rFonts w:hint="eastAsia"/>
          <w:color w:val="auto"/>
          <w:sz w:val="28"/>
          <w:szCs w:val="28"/>
        </w:rPr>
        <w:t>施工扬尘治理</w:t>
      </w:r>
    </w:p>
    <w:p>
      <w:pPr>
        <w:spacing w:line="360" w:lineRule="auto"/>
        <w:ind w:firstLine="539"/>
        <w:rPr>
          <w:color w:val="auto"/>
          <w:sz w:val="28"/>
          <w:szCs w:val="28"/>
        </w:rPr>
      </w:pPr>
      <w:r>
        <w:rPr>
          <w:rFonts w:hint="eastAsia"/>
          <w:color w:val="auto"/>
          <w:sz w:val="28"/>
          <w:szCs w:val="28"/>
        </w:rPr>
        <w:t>施工单位应严格执行国家环保总局与国家建设部联合通知《关于有效控制城市扬尘污染的通知》，要求建设单位在预算中包括用于施工过程扬尘污染控制的专项资金，施工单位要保证这部分资金专款专用。</w:t>
      </w:r>
    </w:p>
    <w:p>
      <w:pPr>
        <w:spacing w:line="360" w:lineRule="auto"/>
        <w:ind w:firstLine="539"/>
        <w:rPr>
          <w:color w:val="auto"/>
          <w:sz w:val="28"/>
          <w:szCs w:val="28"/>
        </w:rPr>
      </w:pPr>
      <w:r>
        <w:rPr>
          <w:rFonts w:hint="eastAsia"/>
          <w:color w:val="auto"/>
          <w:sz w:val="28"/>
          <w:szCs w:val="28"/>
        </w:rPr>
        <w:t>建筑施工场地应根据实际情况设置临时围栏。禁止高空抛撒建筑垃圾，防止施工过程中易生尘物料、渣土的外逸。对工地裸露地面必须采取软硬覆盖及洒水等防尘措施。</w:t>
      </w:r>
    </w:p>
    <w:p>
      <w:pPr>
        <w:spacing w:line="360" w:lineRule="auto"/>
        <w:ind w:firstLine="539"/>
        <w:rPr>
          <w:color w:val="auto"/>
          <w:sz w:val="28"/>
          <w:szCs w:val="28"/>
        </w:rPr>
      </w:pPr>
      <w:r>
        <w:rPr>
          <w:rFonts w:hint="eastAsia"/>
          <w:color w:val="auto"/>
          <w:sz w:val="28"/>
          <w:szCs w:val="28"/>
        </w:rPr>
        <w:t>施工场地主要干道必须采取沥青覆盖或临时砂石铺盖等硬化措施，避免施工道路产生扬尘。施工车辆出入现场必须采取冲洗轮胎等措施，防止车辆带泥沙出现场。</w:t>
      </w:r>
    </w:p>
    <w:p>
      <w:pPr>
        <w:spacing w:line="360" w:lineRule="auto"/>
        <w:ind w:firstLine="539"/>
        <w:rPr>
          <w:color w:val="auto"/>
          <w:sz w:val="28"/>
          <w:szCs w:val="28"/>
        </w:rPr>
      </w:pPr>
      <w:r>
        <w:rPr>
          <w:rFonts w:hint="eastAsia"/>
          <w:color w:val="auto"/>
          <w:sz w:val="28"/>
          <w:szCs w:val="28"/>
        </w:rPr>
        <w:t>施工现场残土、沙料等易生尘物料必须采取覆盖防尘网(布)或喷洒覆盖剂等有效措施，并要经常进行洒水保湿，避免扬尘污染。清运残土、沙土及垃圾等的装载高度不得超过车辆护栏，并采取全覆盖措施，以防止遗撒。</w:t>
      </w:r>
    </w:p>
    <w:p>
      <w:pPr>
        <w:spacing w:line="360" w:lineRule="auto"/>
        <w:ind w:firstLine="539"/>
        <w:rPr>
          <w:color w:val="auto"/>
          <w:sz w:val="28"/>
          <w:szCs w:val="28"/>
        </w:rPr>
      </w:pPr>
      <w:r>
        <w:rPr>
          <w:rFonts w:hint="eastAsia"/>
          <w:color w:val="auto"/>
          <w:sz w:val="28"/>
          <w:szCs w:val="28"/>
        </w:rPr>
        <w:t>水泥、白灰必须放在库内储存或严密遮盖；禁止敞口熬沥青。</w:t>
      </w:r>
    </w:p>
    <w:p>
      <w:pPr>
        <w:spacing w:line="360" w:lineRule="auto"/>
        <w:ind w:firstLine="539"/>
        <w:rPr>
          <w:color w:val="auto"/>
          <w:sz w:val="28"/>
          <w:szCs w:val="28"/>
        </w:rPr>
      </w:pPr>
      <w:r>
        <w:rPr>
          <w:rFonts w:hint="eastAsia"/>
          <w:color w:val="auto"/>
          <w:sz w:val="28"/>
          <w:szCs w:val="28"/>
        </w:rPr>
        <w:t>如遇有四级以上大风天气，须停止所有土方施工，并做好遮掩工作。</w:t>
      </w:r>
    </w:p>
    <w:p>
      <w:pPr>
        <w:spacing w:line="360" w:lineRule="auto"/>
        <w:ind w:firstLine="539"/>
        <w:rPr>
          <w:color w:val="auto"/>
          <w:sz w:val="28"/>
          <w:szCs w:val="28"/>
        </w:rPr>
      </w:pPr>
      <w:r>
        <w:rPr>
          <w:rFonts w:hint="eastAsia"/>
          <w:color w:val="auto"/>
          <w:sz w:val="28"/>
          <w:szCs w:val="28"/>
        </w:rPr>
        <w:t>施工结束后必须及时清理和平整现场、清运残土和垃圾，并进行软硬覆盖。</w:t>
      </w:r>
    </w:p>
    <w:p>
      <w:pPr>
        <w:spacing w:line="360" w:lineRule="auto"/>
        <w:ind w:firstLine="539"/>
        <w:rPr>
          <w:color w:val="auto"/>
          <w:sz w:val="28"/>
          <w:szCs w:val="28"/>
        </w:rPr>
      </w:pPr>
      <w:r>
        <w:rPr>
          <w:rFonts w:hint="eastAsia"/>
          <w:color w:val="auto"/>
          <w:sz w:val="28"/>
          <w:szCs w:val="28"/>
        </w:rPr>
        <w:t>1</w:t>
      </w:r>
      <w:r>
        <w:rPr>
          <w:color w:val="auto"/>
          <w:sz w:val="28"/>
          <w:szCs w:val="28"/>
        </w:rPr>
        <w:t>.1.2</w:t>
      </w:r>
      <w:r>
        <w:rPr>
          <w:rFonts w:hint="eastAsia"/>
          <w:color w:val="auto"/>
          <w:sz w:val="28"/>
          <w:szCs w:val="28"/>
        </w:rPr>
        <w:t>施工废气治理</w:t>
      </w:r>
    </w:p>
    <w:p>
      <w:pPr>
        <w:spacing w:line="360" w:lineRule="auto"/>
        <w:ind w:firstLine="539"/>
        <w:rPr>
          <w:color w:val="auto"/>
          <w:sz w:val="28"/>
          <w:szCs w:val="28"/>
        </w:rPr>
      </w:pPr>
      <w:r>
        <w:rPr>
          <w:rFonts w:hint="eastAsia"/>
          <w:color w:val="auto"/>
          <w:sz w:val="28"/>
          <w:szCs w:val="28"/>
        </w:rPr>
        <w:t>加强对施工车辆的检修和维护，严禁使用超期服役和尾气超标的车辆。</w:t>
      </w:r>
    </w:p>
    <w:p>
      <w:pPr>
        <w:spacing w:line="360" w:lineRule="auto"/>
        <w:ind w:firstLine="539"/>
        <w:rPr>
          <w:color w:val="auto"/>
          <w:sz w:val="28"/>
          <w:szCs w:val="28"/>
        </w:rPr>
      </w:pPr>
      <w:r>
        <w:rPr>
          <w:rFonts w:hint="eastAsia"/>
          <w:color w:val="auto"/>
          <w:sz w:val="28"/>
          <w:szCs w:val="28"/>
        </w:rPr>
        <w:t>尽可能使用气动和电动设备和机械，或使用优质燃油，以减少机械和车辆有害气体排放。</w:t>
      </w:r>
    </w:p>
    <w:p>
      <w:pPr>
        <w:spacing w:line="360" w:lineRule="auto"/>
        <w:ind w:firstLine="539"/>
        <w:rPr>
          <w:color w:val="auto"/>
          <w:sz w:val="28"/>
          <w:szCs w:val="28"/>
        </w:rPr>
      </w:pPr>
      <w:r>
        <w:rPr>
          <w:rFonts w:hint="eastAsia"/>
          <w:color w:val="auto"/>
          <w:sz w:val="28"/>
          <w:szCs w:val="28"/>
        </w:rPr>
        <w:t>对施工进度及进入施工厂区的车流量进行合理规划，防止施工现场车流量过大。</w:t>
      </w:r>
    </w:p>
    <w:p>
      <w:pPr>
        <w:spacing w:line="360" w:lineRule="auto"/>
        <w:ind w:firstLine="539"/>
        <w:rPr>
          <w:color w:val="auto"/>
          <w:sz w:val="28"/>
          <w:szCs w:val="28"/>
        </w:rPr>
      </w:pPr>
      <w:r>
        <w:rPr>
          <w:rFonts w:hint="eastAsia"/>
          <w:color w:val="auto"/>
          <w:sz w:val="28"/>
          <w:szCs w:val="28"/>
        </w:rPr>
        <w:t>1</w:t>
      </w:r>
      <w:r>
        <w:rPr>
          <w:color w:val="auto"/>
          <w:sz w:val="28"/>
          <w:szCs w:val="28"/>
        </w:rPr>
        <w:t>.1.3</w:t>
      </w:r>
      <w:r>
        <w:rPr>
          <w:rFonts w:hint="eastAsia"/>
          <w:color w:val="auto"/>
          <w:sz w:val="28"/>
          <w:szCs w:val="28"/>
        </w:rPr>
        <w:t>施工废水治理</w:t>
      </w:r>
    </w:p>
    <w:p>
      <w:pPr>
        <w:spacing w:line="360" w:lineRule="auto"/>
        <w:ind w:firstLine="539"/>
        <w:rPr>
          <w:color w:val="auto"/>
          <w:sz w:val="28"/>
          <w:szCs w:val="28"/>
        </w:rPr>
      </w:pPr>
      <w:r>
        <w:rPr>
          <w:rFonts w:hint="eastAsia"/>
          <w:color w:val="auto"/>
          <w:sz w:val="28"/>
          <w:szCs w:val="28"/>
        </w:rPr>
        <w:t>施工废水主要是搅拌水泥和预制件养生排放的生产废水和生活污水，生产废水主要含泥砂较多，直接排放会增加城镇排水中的SS，可经简易沉淀后再排放。生活污水经化粪池处理后排放。</w:t>
      </w:r>
    </w:p>
    <w:p>
      <w:pPr>
        <w:spacing w:line="360" w:lineRule="auto"/>
        <w:ind w:firstLine="539"/>
        <w:rPr>
          <w:color w:val="auto"/>
          <w:sz w:val="28"/>
          <w:szCs w:val="28"/>
        </w:rPr>
      </w:pPr>
      <w:r>
        <w:rPr>
          <w:color w:val="auto"/>
          <w:sz w:val="28"/>
          <w:szCs w:val="28"/>
        </w:rPr>
        <w:t>1.1.4</w:t>
      </w:r>
      <w:r>
        <w:rPr>
          <w:rFonts w:hint="eastAsia"/>
          <w:color w:val="auto"/>
          <w:sz w:val="28"/>
          <w:szCs w:val="28"/>
        </w:rPr>
        <w:t>施工噪声治理</w:t>
      </w:r>
    </w:p>
    <w:p>
      <w:pPr>
        <w:spacing w:line="360" w:lineRule="auto"/>
        <w:ind w:firstLine="539"/>
        <w:rPr>
          <w:color w:val="auto"/>
          <w:sz w:val="28"/>
          <w:szCs w:val="28"/>
        </w:rPr>
      </w:pPr>
      <w:r>
        <w:rPr>
          <w:rFonts w:hint="eastAsia"/>
          <w:color w:val="auto"/>
          <w:sz w:val="28"/>
          <w:szCs w:val="28"/>
        </w:rPr>
        <w:t>合理安排施工作业时间，禁止在19：00-7：00期间施工，以避免施工噪声影响周围居民。昼间施工应采取必要的临时性减振、降噪措施，如加设隔声罩、隔声墙等，或远离居民区异地加工。</w:t>
      </w:r>
    </w:p>
    <w:p>
      <w:pPr>
        <w:spacing w:line="360" w:lineRule="auto"/>
        <w:ind w:firstLine="539"/>
        <w:rPr>
          <w:color w:val="auto"/>
          <w:sz w:val="28"/>
          <w:szCs w:val="28"/>
        </w:rPr>
      </w:pPr>
      <w:r>
        <w:rPr>
          <w:rFonts w:hint="eastAsia"/>
          <w:color w:val="auto"/>
          <w:sz w:val="28"/>
          <w:szCs w:val="28"/>
        </w:rPr>
        <w:t>采用低噪音的搅拌机及振捣棒等设备。</w:t>
      </w:r>
    </w:p>
    <w:p>
      <w:pPr>
        <w:spacing w:line="360" w:lineRule="auto"/>
        <w:ind w:firstLine="539"/>
        <w:rPr>
          <w:color w:val="auto"/>
          <w:sz w:val="28"/>
          <w:szCs w:val="28"/>
        </w:rPr>
      </w:pPr>
      <w:r>
        <w:rPr>
          <w:rFonts w:hint="eastAsia"/>
          <w:color w:val="auto"/>
          <w:sz w:val="28"/>
          <w:szCs w:val="28"/>
        </w:rPr>
        <w:t>施工人员在高噪声环境下，每人每天工作时间不超过6h，并配备必要的防护用品。</w:t>
      </w:r>
    </w:p>
    <w:p>
      <w:pPr>
        <w:spacing w:line="360" w:lineRule="auto"/>
        <w:ind w:firstLine="539"/>
        <w:rPr>
          <w:color w:val="auto"/>
          <w:sz w:val="28"/>
          <w:szCs w:val="28"/>
        </w:rPr>
      </w:pPr>
      <w:r>
        <w:rPr>
          <w:rFonts w:hint="eastAsia"/>
          <w:color w:val="auto"/>
          <w:sz w:val="28"/>
          <w:szCs w:val="28"/>
        </w:rPr>
        <w:t>1</w:t>
      </w:r>
      <w:r>
        <w:rPr>
          <w:color w:val="auto"/>
          <w:sz w:val="28"/>
          <w:szCs w:val="28"/>
        </w:rPr>
        <w:t>.1.5</w:t>
      </w:r>
      <w:r>
        <w:rPr>
          <w:rFonts w:hint="eastAsia"/>
          <w:color w:val="auto"/>
          <w:sz w:val="28"/>
          <w:szCs w:val="28"/>
        </w:rPr>
        <w:t>建筑垃圾、残土等治理</w:t>
      </w:r>
    </w:p>
    <w:p>
      <w:pPr>
        <w:spacing w:line="360" w:lineRule="auto"/>
        <w:ind w:firstLine="539"/>
        <w:rPr>
          <w:color w:val="auto"/>
          <w:sz w:val="28"/>
          <w:szCs w:val="28"/>
        </w:rPr>
      </w:pPr>
      <w:r>
        <w:rPr>
          <w:rFonts w:hint="eastAsia"/>
          <w:color w:val="auto"/>
          <w:sz w:val="28"/>
          <w:szCs w:val="28"/>
        </w:rPr>
        <w:t>施工过程中将产生一些包装袋、废弃的水泥浇注件道路废渣等建筑垃圾，要对其中可回收利用部分进行回收，其次对建筑垃圾要定点堆放，在堆放到一定量后，可进行填方处理。在施工的后期阶段，这类建筑垃圾应集中定点进行填埋处理，严禁擅自堆放和倾倒，运至指定排放点填坑造地。</w:t>
      </w:r>
    </w:p>
    <w:p>
      <w:pPr>
        <w:keepNext/>
        <w:keepLines/>
        <w:tabs>
          <w:tab w:val="left" w:pos="211"/>
          <w:tab w:val="left" w:pos="525"/>
          <w:tab w:val="left" w:pos="630"/>
        </w:tabs>
        <w:spacing w:before="120" w:beforeLines="50" w:line="360" w:lineRule="auto"/>
        <w:ind w:firstLine="562" w:firstLineChars="200"/>
        <w:jc w:val="left"/>
        <w:outlineLvl w:val="1"/>
        <w:rPr>
          <w:color w:val="auto"/>
          <w:sz w:val="28"/>
          <w:szCs w:val="28"/>
        </w:rPr>
      </w:pPr>
      <w:bookmarkStart w:id="135" w:name="_Toc133324579"/>
      <w:bookmarkStart w:id="136" w:name="_Toc26294"/>
      <w:r>
        <w:rPr>
          <w:b/>
          <w:color w:val="auto"/>
          <w:sz w:val="28"/>
          <w:szCs w:val="28"/>
        </w:rPr>
        <w:t>1.2</w:t>
      </w:r>
      <w:r>
        <w:rPr>
          <w:rFonts w:hint="eastAsia"/>
          <w:b/>
          <w:color w:val="auto"/>
          <w:sz w:val="28"/>
          <w:szCs w:val="28"/>
        </w:rPr>
        <w:t>生产期间污染治理</w:t>
      </w:r>
      <w:bookmarkEnd w:id="135"/>
      <w:bookmarkEnd w:id="136"/>
    </w:p>
    <w:p>
      <w:pPr>
        <w:spacing w:line="360" w:lineRule="auto"/>
        <w:ind w:firstLine="539"/>
        <w:rPr>
          <w:color w:val="auto"/>
          <w:sz w:val="28"/>
          <w:szCs w:val="28"/>
        </w:rPr>
      </w:pPr>
      <w:r>
        <w:rPr>
          <w:color w:val="auto"/>
          <w:sz w:val="28"/>
          <w:szCs w:val="28"/>
        </w:rPr>
        <w:t>1.2.1</w:t>
      </w:r>
      <w:r>
        <w:rPr>
          <w:rFonts w:hint="eastAsia"/>
          <w:color w:val="auto"/>
          <w:sz w:val="28"/>
          <w:szCs w:val="28"/>
        </w:rPr>
        <w:t>脱硫除尘</w:t>
      </w:r>
    </w:p>
    <w:p>
      <w:pPr>
        <w:spacing w:line="360" w:lineRule="auto"/>
        <w:ind w:firstLine="539"/>
        <w:rPr>
          <w:color w:val="auto"/>
          <w:sz w:val="28"/>
          <w:szCs w:val="28"/>
        </w:rPr>
      </w:pPr>
      <w:r>
        <w:rPr>
          <w:rFonts w:hint="eastAsia"/>
          <w:color w:val="auto"/>
          <w:sz w:val="28"/>
          <w:szCs w:val="28"/>
        </w:rPr>
        <w:t>采用国内先进、技术成熟的湿法脱硫除尘工艺。锅炉配套建设二氧化硫吸收塔装置，采用氢氧化钠作为吸收剂，生成亚硫酸钠溶液后进行脱水、精制制成无水亚硫酸钠。作为第二级除尘的湿式脱硫塔除尘采用碱液喷淋降尘的工艺技术。</w:t>
      </w:r>
    </w:p>
    <w:p>
      <w:pPr>
        <w:spacing w:line="360" w:lineRule="auto"/>
        <w:ind w:firstLine="539"/>
        <w:rPr>
          <w:color w:val="auto"/>
          <w:sz w:val="28"/>
          <w:szCs w:val="28"/>
        </w:rPr>
      </w:pPr>
      <w:r>
        <w:rPr>
          <w:rFonts w:hint="eastAsia"/>
          <w:color w:val="auto"/>
          <w:sz w:val="28"/>
          <w:szCs w:val="28"/>
        </w:rPr>
        <w:t>本项目除尘脱硫率将达到95%以上，实现锅炉烟尘达标排放。</w:t>
      </w:r>
    </w:p>
    <w:p>
      <w:pPr>
        <w:spacing w:line="360" w:lineRule="auto"/>
        <w:ind w:firstLine="539"/>
        <w:rPr>
          <w:color w:val="auto"/>
          <w:sz w:val="28"/>
          <w:szCs w:val="28"/>
        </w:rPr>
      </w:pPr>
      <w:r>
        <w:rPr>
          <w:color w:val="auto"/>
          <w:sz w:val="28"/>
          <w:szCs w:val="28"/>
        </w:rPr>
        <w:t>1.2.2</w:t>
      </w:r>
      <w:r>
        <w:rPr>
          <w:rFonts w:hint="eastAsia"/>
          <w:color w:val="auto"/>
          <w:sz w:val="28"/>
          <w:szCs w:val="28"/>
        </w:rPr>
        <w:t>噪音治理</w:t>
      </w:r>
    </w:p>
    <w:p>
      <w:pPr>
        <w:spacing w:line="360" w:lineRule="auto"/>
        <w:ind w:firstLine="539"/>
        <w:rPr>
          <w:color w:val="auto"/>
          <w:sz w:val="28"/>
          <w:szCs w:val="28"/>
        </w:rPr>
      </w:pPr>
      <w:r>
        <w:rPr>
          <w:rFonts w:hint="eastAsia"/>
          <w:color w:val="auto"/>
          <w:sz w:val="28"/>
          <w:szCs w:val="28"/>
        </w:rPr>
        <w:t>项目运行中有一定噪音产生，主要噪声源为各类泵、风机、粉碎机和带式输送机等工艺阶段及相应机械设备。</w:t>
      </w:r>
    </w:p>
    <w:p>
      <w:pPr>
        <w:spacing w:line="360" w:lineRule="auto"/>
        <w:ind w:firstLine="539"/>
        <w:rPr>
          <w:color w:val="auto"/>
          <w:sz w:val="28"/>
          <w:szCs w:val="28"/>
        </w:rPr>
      </w:pPr>
      <w:r>
        <w:rPr>
          <w:rFonts w:hint="eastAsia"/>
          <w:color w:val="auto"/>
          <w:sz w:val="28"/>
          <w:szCs w:val="28"/>
        </w:rPr>
        <w:t>对各种噪声源采取治理措施为：</w:t>
      </w:r>
    </w:p>
    <w:p>
      <w:pPr>
        <w:spacing w:line="360" w:lineRule="auto"/>
        <w:ind w:firstLine="539"/>
        <w:rPr>
          <w:color w:val="auto"/>
          <w:sz w:val="28"/>
          <w:szCs w:val="28"/>
        </w:rPr>
      </w:pPr>
      <w:r>
        <w:rPr>
          <w:rFonts w:hint="eastAsia"/>
          <w:color w:val="auto"/>
          <w:sz w:val="28"/>
          <w:szCs w:val="28"/>
        </w:rPr>
        <w:t>设备安装中，在噪声源部位设置减震、隔音、吸音装置，对局部噪声源采取消声装置以隔离和封闭噪声源，采用隔振装置以防止噪声通过固体向外传播，采用环氧树脂充填电机的转子槽和定子之间的空隙，降低电磁性噪声。</w:t>
      </w:r>
    </w:p>
    <w:p>
      <w:pPr>
        <w:spacing w:line="360" w:lineRule="auto"/>
        <w:ind w:firstLine="539"/>
        <w:rPr>
          <w:color w:val="auto"/>
          <w:sz w:val="28"/>
          <w:szCs w:val="28"/>
        </w:rPr>
      </w:pPr>
      <w:r>
        <w:rPr>
          <w:rFonts w:hint="eastAsia"/>
          <w:color w:val="auto"/>
          <w:sz w:val="28"/>
          <w:szCs w:val="28"/>
        </w:rPr>
        <w:t>噪声车间内应尽可能将噪声源集中并采取隔声措施，室内装设吸声材料，墙壁表面装设或涂抹吸声材料以降低车间内的反射声。</w:t>
      </w:r>
    </w:p>
    <w:p>
      <w:pPr>
        <w:spacing w:line="360" w:lineRule="auto"/>
        <w:ind w:firstLine="539"/>
        <w:rPr>
          <w:color w:val="auto"/>
          <w:sz w:val="28"/>
          <w:szCs w:val="28"/>
        </w:rPr>
      </w:pPr>
      <w:r>
        <w:rPr>
          <w:rFonts w:hint="eastAsia"/>
          <w:color w:val="auto"/>
          <w:sz w:val="28"/>
          <w:szCs w:val="28"/>
        </w:rPr>
        <w:t>设备选型应注重环保性能指标，选购运行机械性能稳定、配套完善的低噪音设备。</w:t>
      </w:r>
    </w:p>
    <w:p>
      <w:pPr>
        <w:spacing w:line="360" w:lineRule="auto"/>
        <w:ind w:firstLine="539"/>
        <w:rPr>
          <w:color w:val="auto"/>
          <w:sz w:val="28"/>
          <w:szCs w:val="28"/>
        </w:rPr>
      </w:pPr>
      <w:r>
        <w:rPr>
          <w:rFonts w:hint="eastAsia"/>
          <w:color w:val="auto"/>
          <w:sz w:val="28"/>
          <w:szCs w:val="28"/>
        </w:rPr>
        <w:t>在厂区周围种植高桩阔叶树木，以增加厂区的噪音屏蔽。</w:t>
      </w:r>
    </w:p>
    <w:p>
      <w:pPr>
        <w:spacing w:line="360" w:lineRule="auto"/>
        <w:ind w:firstLine="539"/>
        <w:rPr>
          <w:color w:val="auto"/>
          <w:sz w:val="28"/>
          <w:szCs w:val="28"/>
        </w:rPr>
      </w:pPr>
      <w:r>
        <w:rPr>
          <w:rFonts w:hint="eastAsia"/>
          <w:color w:val="auto"/>
          <w:sz w:val="28"/>
          <w:szCs w:val="28"/>
        </w:rPr>
        <w:t>采取以上的噪声治理措施，可使固定源噪声包括非固定源噪声对厂界处的影响符合《工业企业厂界噪声标准》的二类标准。</w:t>
      </w:r>
    </w:p>
    <w:p>
      <w:pPr>
        <w:spacing w:line="360" w:lineRule="auto"/>
        <w:ind w:firstLine="539"/>
        <w:rPr>
          <w:color w:val="auto"/>
          <w:sz w:val="28"/>
          <w:szCs w:val="28"/>
        </w:rPr>
      </w:pPr>
      <w:r>
        <w:rPr>
          <w:color w:val="auto"/>
          <w:sz w:val="28"/>
          <w:szCs w:val="28"/>
        </w:rPr>
        <w:t>1.2.3</w:t>
      </w:r>
      <w:r>
        <w:rPr>
          <w:rFonts w:hint="eastAsia"/>
          <w:color w:val="auto"/>
          <w:sz w:val="28"/>
          <w:szCs w:val="28"/>
        </w:rPr>
        <w:t>固体废弃物治理</w:t>
      </w:r>
    </w:p>
    <w:p>
      <w:pPr>
        <w:spacing w:line="360" w:lineRule="auto"/>
        <w:ind w:firstLine="539"/>
        <w:rPr>
          <w:color w:val="auto"/>
          <w:sz w:val="28"/>
          <w:szCs w:val="28"/>
        </w:rPr>
      </w:pPr>
      <w:r>
        <w:rPr>
          <w:rFonts w:hint="eastAsia"/>
          <w:color w:val="auto"/>
          <w:sz w:val="28"/>
          <w:szCs w:val="28"/>
        </w:rPr>
        <w:t>热源厂锅炉炉渣全部出售给水泥生产企业、新型墙体材料生产企业和建筑企业做建筑材料添料和保温层材料。</w:t>
      </w:r>
    </w:p>
    <w:p>
      <w:pPr>
        <w:spacing w:line="360" w:lineRule="auto"/>
        <w:ind w:firstLine="539"/>
        <w:rPr>
          <w:color w:val="auto"/>
          <w:sz w:val="28"/>
          <w:szCs w:val="28"/>
        </w:rPr>
      </w:pPr>
      <w:r>
        <w:rPr>
          <w:rFonts w:hint="eastAsia"/>
          <w:color w:val="auto"/>
          <w:sz w:val="28"/>
          <w:szCs w:val="28"/>
        </w:rPr>
        <w:t>炉渣存储以灰渣仓短时间小规模存储方式，尽量作到随产随运，热源厂设置适当规模的炉渣堆放场，以备外运不及时情况下排渣利用，炉渣堆放场四周应设防风、防扬尘等遮挡围护设施。</w:t>
      </w:r>
    </w:p>
    <w:p>
      <w:pPr>
        <w:spacing w:line="360" w:lineRule="auto"/>
        <w:ind w:firstLine="539"/>
        <w:rPr>
          <w:color w:val="auto"/>
          <w:sz w:val="28"/>
          <w:szCs w:val="28"/>
        </w:rPr>
      </w:pPr>
      <w:r>
        <w:rPr>
          <w:color w:val="auto"/>
          <w:sz w:val="28"/>
          <w:szCs w:val="28"/>
        </w:rPr>
        <w:t>1.2.4</w:t>
      </w:r>
      <w:r>
        <w:rPr>
          <w:rFonts w:hint="eastAsia"/>
          <w:color w:val="auto"/>
          <w:sz w:val="28"/>
          <w:szCs w:val="28"/>
        </w:rPr>
        <w:t>废水治理</w:t>
      </w:r>
    </w:p>
    <w:p>
      <w:pPr>
        <w:spacing w:line="360" w:lineRule="auto"/>
        <w:ind w:firstLine="539"/>
        <w:rPr>
          <w:color w:val="auto"/>
          <w:sz w:val="28"/>
          <w:szCs w:val="28"/>
        </w:rPr>
      </w:pPr>
      <w:r>
        <w:rPr>
          <w:rFonts w:hint="eastAsia"/>
          <w:color w:val="auto"/>
          <w:sz w:val="28"/>
          <w:szCs w:val="28"/>
        </w:rPr>
        <w:t>项目日生成生活污水14.5t/d左右，生活污水通过厂区污水收集系统进入化粪池进行物化处理，上清液排入城市污水收集管道。</w:t>
      </w:r>
    </w:p>
    <w:p>
      <w:pPr>
        <w:spacing w:line="360" w:lineRule="auto"/>
        <w:ind w:firstLine="539"/>
        <w:rPr>
          <w:color w:val="auto"/>
          <w:sz w:val="28"/>
          <w:szCs w:val="28"/>
        </w:rPr>
      </w:pPr>
      <w:r>
        <w:rPr>
          <w:rFonts w:hint="eastAsia"/>
          <w:color w:val="auto"/>
          <w:sz w:val="28"/>
          <w:szCs w:val="28"/>
        </w:rPr>
        <w:t>生产废水外排量很小，湿法除尘除渣用水除部分被尘渣携带或蒸发外，全部进入沉淀池进行净化处理，而后循环利用，达到节能和环保双重效果。</w:t>
      </w:r>
    </w:p>
    <w:p>
      <w:pPr>
        <w:spacing w:line="360" w:lineRule="auto"/>
        <w:ind w:firstLine="562" w:firstLineChars="200"/>
        <w:outlineLvl w:val="1"/>
        <w:rPr>
          <w:b/>
          <w:color w:val="auto"/>
          <w:sz w:val="30"/>
          <w:szCs w:val="30"/>
        </w:rPr>
      </w:pPr>
      <w:bookmarkStart w:id="137" w:name="_Toc12800"/>
      <w:r>
        <w:rPr>
          <w:rFonts w:hint="eastAsia"/>
          <w:b/>
          <w:color w:val="auto"/>
          <w:sz w:val="28"/>
          <w:szCs w:val="28"/>
        </w:rPr>
        <w:t>二</w:t>
      </w:r>
      <w:r>
        <w:rPr>
          <w:b/>
          <w:color w:val="auto"/>
          <w:sz w:val="28"/>
          <w:szCs w:val="28"/>
        </w:rPr>
        <w:t>、</w:t>
      </w:r>
      <w:bookmarkEnd w:id="132"/>
      <w:r>
        <w:rPr>
          <w:rFonts w:hint="eastAsia"/>
          <w:b/>
          <w:color w:val="auto"/>
          <w:sz w:val="28"/>
          <w:szCs w:val="28"/>
        </w:rPr>
        <w:t>节能减排</w:t>
      </w:r>
      <w:bookmarkEnd w:id="137"/>
    </w:p>
    <w:p>
      <w:pPr>
        <w:spacing w:line="360" w:lineRule="auto"/>
        <w:ind w:firstLine="560" w:firstLineChars="200"/>
        <w:rPr>
          <w:color w:val="auto"/>
          <w:sz w:val="28"/>
          <w:szCs w:val="28"/>
        </w:rPr>
      </w:pPr>
      <w:r>
        <w:rPr>
          <w:color w:val="auto"/>
          <w:sz w:val="28"/>
          <w:szCs w:val="28"/>
        </w:rPr>
        <w:t>目前，抚顺市城市供热以</w:t>
      </w:r>
      <w:r>
        <w:rPr>
          <w:rFonts w:hint="eastAsia"/>
          <w:color w:val="auto"/>
          <w:sz w:val="28"/>
          <w:szCs w:val="28"/>
        </w:rPr>
        <w:t>热电联产为主</w:t>
      </w:r>
      <w:r>
        <w:rPr>
          <w:color w:val="auto"/>
          <w:sz w:val="28"/>
          <w:szCs w:val="28"/>
        </w:rPr>
        <w:t>，热电厂锅炉容量大，热效率高，除尘效率高，尤其是采用循环流化床电站锅炉还可在炉内脱硫，更有利环境保护，该规划实施后，将对改善环境污染状况起到非常重要的作用。</w:t>
      </w:r>
    </w:p>
    <w:p>
      <w:pPr>
        <w:spacing w:line="360" w:lineRule="auto"/>
        <w:ind w:firstLine="560" w:firstLineChars="200"/>
        <w:rPr>
          <w:color w:val="auto"/>
          <w:sz w:val="28"/>
          <w:szCs w:val="28"/>
        </w:rPr>
      </w:pPr>
      <w:r>
        <w:rPr>
          <w:rFonts w:hint="eastAsia"/>
          <w:color w:val="auto"/>
          <w:sz w:val="28"/>
          <w:szCs w:val="28"/>
        </w:rPr>
        <w:t>远期将城南2台70</w:t>
      </w:r>
      <w:r>
        <w:rPr>
          <w:color w:val="auto"/>
          <w:sz w:val="28"/>
          <w:szCs w:val="28"/>
        </w:rPr>
        <w:t>MW</w:t>
      </w:r>
      <w:r>
        <w:rPr>
          <w:rFonts w:hint="eastAsia"/>
          <w:color w:val="auto"/>
          <w:sz w:val="28"/>
          <w:szCs w:val="28"/>
        </w:rPr>
        <w:t>锅炉关停</w:t>
      </w:r>
      <w:r>
        <w:rPr>
          <w:color w:val="auto"/>
          <w:sz w:val="28"/>
          <w:szCs w:val="28"/>
        </w:rPr>
        <w:t>，</w:t>
      </w:r>
      <w:r>
        <w:rPr>
          <w:rFonts w:hint="eastAsia"/>
          <w:color w:val="auto"/>
          <w:sz w:val="28"/>
          <w:szCs w:val="28"/>
        </w:rPr>
        <w:t>可节约标煤量3</w:t>
      </w:r>
      <w:r>
        <w:rPr>
          <w:rFonts w:hint="eastAsia"/>
          <w:color w:val="auto"/>
          <w:sz w:val="28"/>
          <w:szCs w:val="28"/>
          <w:lang w:val="en-US" w:eastAsia="zh-CN"/>
        </w:rPr>
        <w:t>5.6</w:t>
      </w:r>
      <w:r>
        <w:rPr>
          <w:rFonts w:hint="eastAsia"/>
          <w:color w:val="auto"/>
          <w:sz w:val="28"/>
          <w:szCs w:val="28"/>
        </w:rPr>
        <w:t>万吨、二氧化硫减排0.</w:t>
      </w:r>
      <w:r>
        <w:rPr>
          <w:rFonts w:hint="eastAsia"/>
          <w:color w:val="auto"/>
          <w:sz w:val="28"/>
          <w:szCs w:val="28"/>
          <w:lang w:val="en-US" w:eastAsia="zh-CN"/>
        </w:rPr>
        <w:t>75</w:t>
      </w:r>
      <w:r>
        <w:rPr>
          <w:rFonts w:hint="eastAsia"/>
          <w:color w:val="auto"/>
          <w:sz w:val="28"/>
          <w:szCs w:val="28"/>
        </w:rPr>
        <w:t>万吨/年、减少排渣量</w:t>
      </w:r>
      <w:r>
        <w:rPr>
          <w:color w:val="auto"/>
          <w:sz w:val="28"/>
          <w:szCs w:val="28"/>
        </w:rPr>
        <w:t>1</w:t>
      </w:r>
      <w:r>
        <w:rPr>
          <w:rFonts w:hint="eastAsia"/>
          <w:color w:val="auto"/>
          <w:sz w:val="28"/>
          <w:szCs w:val="28"/>
          <w:lang w:val="en-US" w:eastAsia="zh-CN"/>
        </w:rPr>
        <w:t>4</w:t>
      </w:r>
      <w:r>
        <w:rPr>
          <w:rFonts w:hint="eastAsia"/>
          <w:color w:val="auto"/>
          <w:sz w:val="28"/>
          <w:szCs w:val="28"/>
        </w:rPr>
        <w:t>万吨/年、烟尘减排0.</w:t>
      </w:r>
      <w:r>
        <w:rPr>
          <w:rFonts w:hint="eastAsia"/>
          <w:color w:val="auto"/>
          <w:sz w:val="28"/>
          <w:szCs w:val="28"/>
          <w:lang w:val="en-US" w:eastAsia="zh-CN"/>
        </w:rPr>
        <w:t>75</w:t>
      </w:r>
      <w:r>
        <w:rPr>
          <w:rFonts w:hint="eastAsia"/>
          <w:color w:val="auto"/>
          <w:sz w:val="28"/>
          <w:szCs w:val="28"/>
        </w:rPr>
        <w:t>万吨/年。</w:t>
      </w:r>
      <w:r>
        <w:rPr>
          <w:color w:val="auto"/>
          <w:sz w:val="28"/>
          <w:szCs w:val="28"/>
        </w:rPr>
        <w:br w:type="page"/>
      </w:r>
    </w:p>
    <w:p>
      <w:pPr>
        <w:spacing w:line="360" w:lineRule="auto"/>
        <w:jc w:val="center"/>
        <w:outlineLvl w:val="0"/>
        <w:rPr>
          <w:b/>
          <w:color w:val="auto"/>
          <w:sz w:val="30"/>
          <w:szCs w:val="32"/>
        </w:rPr>
      </w:pPr>
      <w:bookmarkStart w:id="138" w:name="_Toc104983585"/>
      <w:bookmarkStart w:id="139" w:name="_Toc736"/>
      <w:r>
        <w:rPr>
          <w:b/>
          <w:color w:val="auto"/>
          <w:sz w:val="30"/>
          <w:szCs w:val="32"/>
        </w:rPr>
        <w:t>第</w:t>
      </w:r>
      <w:r>
        <w:rPr>
          <w:rFonts w:hint="eastAsia"/>
          <w:b/>
          <w:color w:val="auto"/>
          <w:sz w:val="30"/>
          <w:szCs w:val="32"/>
        </w:rPr>
        <w:t>七</w:t>
      </w:r>
      <w:r>
        <w:rPr>
          <w:b/>
          <w:color w:val="auto"/>
          <w:sz w:val="30"/>
          <w:szCs w:val="32"/>
        </w:rPr>
        <w:t>章 规划实施</w:t>
      </w:r>
      <w:bookmarkEnd w:id="138"/>
      <w:bookmarkEnd w:id="139"/>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0" w:name="_Toc12602"/>
      <w:r>
        <w:rPr>
          <w:rFonts w:hint="eastAsia"/>
          <w:b/>
          <w:color w:val="auto"/>
          <w:sz w:val="28"/>
          <w:szCs w:val="28"/>
        </w:rPr>
        <w:t>一</w:t>
      </w:r>
      <w:r>
        <w:rPr>
          <w:b/>
          <w:color w:val="auto"/>
          <w:sz w:val="28"/>
          <w:szCs w:val="28"/>
        </w:rPr>
        <w:t>、</w:t>
      </w:r>
      <w:r>
        <w:rPr>
          <w:rFonts w:hint="eastAsia"/>
          <w:b/>
          <w:color w:val="auto"/>
          <w:sz w:val="28"/>
          <w:szCs w:val="28"/>
        </w:rPr>
        <w:t>实施进度</w:t>
      </w:r>
      <w:bookmarkEnd w:id="140"/>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1" w:name="_Toc22443"/>
      <w:r>
        <w:rPr>
          <w:b/>
          <w:color w:val="auto"/>
          <w:sz w:val="28"/>
          <w:szCs w:val="28"/>
        </w:rPr>
        <w:t>1.1</w:t>
      </w:r>
      <w:r>
        <w:rPr>
          <w:rFonts w:hint="eastAsia"/>
          <w:b/>
          <w:color w:val="auto"/>
          <w:sz w:val="28"/>
          <w:szCs w:val="28"/>
        </w:rPr>
        <w:t>.近期建设规划</w:t>
      </w:r>
      <w:bookmarkEnd w:id="141"/>
    </w:p>
    <w:p>
      <w:pPr>
        <w:spacing w:line="360" w:lineRule="auto"/>
        <w:ind w:firstLine="560" w:firstLineChars="200"/>
        <w:rPr>
          <w:bCs/>
          <w:color w:val="auto"/>
          <w:sz w:val="28"/>
          <w:szCs w:val="28"/>
        </w:rPr>
      </w:pPr>
      <w:r>
        <w:rPr>
          <w:rFonts w:hint="eastAsia"/>
          <w:bCs/>
          <w:color w:val="auto"/>
          <w:sz w:val="28"/>
          <w:szCs w:val="28"/>
        </w:rPr>
        <w:t>近期规划期限为2022-2025年。近期规划现有独立供热的热电厂热网都要与所属供热区的其他大型规划热网进行互联。</w:t>
      </w:r>
    </w:p>
    <w:p>
      <w:pPr>
        <w:spacing w:line="360" w:lineRule="auto"/>
        <w:ind w:firstLine="560" w:firstLineChars="200"/>
        <w:rPr>
          <w:bCs/>
          <w:color w:val="auto"/>
          <w:sz w:val="28"/>
          <w:szCs w:val="28"/>
        </w:rPr>
      </w:pPr>
      <w:r>
        <w:rPr>
          <w:bCs/>
          <w:color w:val="auto"/>
          <w:sz w:val="28"/>
          <w:szCs w:val="28"/>
        </w:rPr>
        <w:t>1.1.1</w:t>
      </w:r>
      <w:r>
        <w:rPr>
          <w:rFonts w:hint="eastAsia"/>
          <w:bCs/>
          <w:color w:val="auto"/>
          <w:sz w:val="28"/>
          <w:szCs w:val="28"/>
        </w:rPr>
        <w:t>在将军桥南侧，将抚顺热电有限公司DN800管与抚矿中机DN800管连接，互为备用，管径为DN800，管道开沟长度0.5公里，并加设计量装置。规划建设时间2024-2025年。</w:t>
      </w:r>
    </w:p>
    <w:p>
      <w:pPr>
        <w:spacing w:line="360" w:lineRule="auto"/>
        <w:ind w:firstLine="560" w:firstLineChars="200"/>
        <w:rPr>
          <w:bCs/>
          <w:color w:val="auto"/>
          <w:sz w:val="28"/>
          <w:szCs w:val="28"/>
        </w:rPr>
      </w:pPr>
      <w:r>
        <w:rPr>
          <w:bCs/>
          <w:color w:val="auto"/>
          <w:sz w:val="28"/>
          <w:szCs w:val="28"/>
        </w:rPr>
        <w:t>1.1.2</w:t>
      </w:r>
      <w:r>
        <w:rPr>
          <w:rFonts w:hint="eastAsia"/>
          <w:bCs/>
          <w:color w:val="auto"/>
          <w:sz w:val="28"/>
          <w:szCs w:val="28"/>
        </w:rPr>
        <w:t>在康平街与雷锋路将抚矿中机热力公司与新钢铁公司DN900管连接并加设热计量装，连接管管径规格DN900，管道开沟长度0.6公里。规划建设时间2024-2025年。</w:t>
      </w:r>
    </w:p>
    <w:p>
      <w:pPr>
        <w:spacing w:line="360" w:lineRule="auto"/>
        <w:ind w:firstLine="560" w:firstLineChars="200"/>
        <w:rPr>
          <w:bCs/>
          <w:color w:val="auto"/>
          <w:sz w:val="28"/>
          <w:szCs w:val="28"/>
        </w:rPr>
      </w:pPr>
      <w:r>
        <w:rPr>
          <w:bCs/>
          <w:color w:val="auto"/>
          <w:sz w:val="28"/>
          <w:szCs w:val="28"/>
        </w:rPr>
        <w:t>1.1.3</w:t>
      </w:r>
      <w:r>
        <w:rPr>
          <w:rFonts w:hint="eastAsia"/>
          <w:bCs/>
          <w:color w:val="auto"/>
          <w:sz w:val="28"/>
          <w:szCs w:val="28"/>
        </w:rPr>
        <w:t>员工街现有DN600管线向西南敷设至新屯，与抚顺中机热力现有DN400管连接，由辽宁东方发电有限公司首站对新屯地区进行备用。管径为DN400，管道开沟长度3.5公里。规划建设时间2024-2025年。</w:t>
      </w:r>
    </w:p>
    <w:p>
      <w:pPr>
        <w:spacing w:line="360" w:lineRule="auto"/>
        <w:ind w:firstLine="560" w:firstLineChars="200"/>
        <w:rPr>
          <w:bCs/>
          <w:color w:val="auto"/>
          <w:sz w:val="28"/>
          <w:szCs w:val="28"/>
        </w:rPr>
      </w:pPr>
      <w:r>
        <w:rPr>
          <w:bCs/>
          <w:color w:val="auto"/>
          <w:sz w:val="28"/>
          <w:szCs w:val="28"/>
        </w:rPr>
        <w:t>1.1.4</w:t>
      </w:r>
      <w:r>
        <w:rPr>
          <w:rFonts w:hint="eastAsia"/>
          <w:bCs/>
          <w:color w:val="auto"/>
          <w:sz w:val="28"/>
          <w:szCs w:val="28"/>
        </w:rPr>
        <w:t>抚矿热电厂建设一条DN800管线经过演武、古城子、南沟、刘山、花园、平山、至抚矿页岩炼油厂，管道开沟长度约为16公里，将两个热源的管线对接并加设热计量装置。</w:t>
      </w:r>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2" w:name="_Toc21126"/>
      <w:r>
        <w:rPr>
          <w:b/>
          <w:color w:val="auto"/>
          <w:sz w:val="28"/>
          <w:szCs w:val="28"/>
        </w:rPr>
        <w:t>1.2</w:t>
      </w:r>
      <w:r>
        <w:rPr>
          <w:rFonts w:hint="eastAsia"/>
          <w:b/>
          <w:color w:val="auto"/>
          <w:sz w:val="28"/>
          <w:szCs w:val="28"/>
        </w:rPr>
        <w:t>.远期建设规划</w:t>
      </w:r>
      <w:bookmarkEnd w:id="142"/>
    </w:p>
    <w:p>
      <w:pPr>
        <w:spacing w:line="360" w:lineRule="auto"/>
        <w:ind w:firstLine="560" w:firstLineChars="200"/>
        <w:rPr>
          <w:bCs/>
          <w:color w:val="auto"/>
          <w:sz w:val="28"/>
          <w:szCs w:val="28"/>
        </w:rPr>
      </w:pPr>
      <w:r>
        <w:rPr>
          <w:rFonts w:hint="eastAsia"/>
          <w:bCs/>
          <w:color w:val="auto"/>
          <w:sz w:val="28"/>
          <w:szCs w:val="28"/>
        </w:rPr>
        <w:t>远期规划期限为2026-203</w:t>
      </w:r>
      <w:r>
        <w:rPr>
          <w:rFonts w:hint="eastAsia"/>
          <w:bCs/>
          <w:color w:val="auto"/>
          <w:sz w:val="28"/>
          <w:szCs w:val="28"/>
          <w:lang w:val="en-US" w:eastAsia="zh-CN"/>
        </w:rPr>
        <w:t>5</w:t>
      </w:r>
      <w:r>
        <w:rPr>
          <w:rFonts w:hint="eastAsia"/>
          <w:bCs/>
          <w:color w:val="auto"/>
          <w:sz w:val="28"/>
          <w:szCs w:val="28"/>
        </w:rPr>
        <w:t>年。</w:t>
      </w:r>
    </w:p>
    <w:p>
      <w:pPr>
        <w:spacing w:line="360" w:lineRule="auto"/>
        <w:ind w:firstLine="560" w:firstLineChars="200"/>
        <w:rPr>
          <w:bCs/>
          <w:color w:val="auto"/>
          <w:sz w:val="28"/>
          <w:szCs w:val="28"/>
        </w:rPr>
      </w:pPr>
      <w:r>
        <w:rPr>
          <w:bCs/>
          <w:color w:val="auto"/>
          <w:sz w:val="28"/>
          <w:szCs w:val="28"/>
        </w:rPr>
        <w:t>1.2.</w:t>
      </w:r>
      <w:r>
        <w:rPr>
          <w:rFonts w:hint="eastAsia"/>
          <w:bCs/>
          <w:color w:val="auto"/>
          <w:sz w:val="28"/>
          <w:szCs w:val="28"/>
        </w:rPr>
        <w:t>1、将高山路现有DN800管线扩径至DN1200，管道开沟长度7.3公里，满足高山路沿线及葛布地区的规划发展。规划建设时间2026-203</w:t>
      </w:r>
      <w:r>
        <w:rPr>
          <w:rFonts w:hint="eastAsia"/>
          <w:bCs/>
          <w:color w:val="auto"/>
          <w:sz w:val="28"/>
          <w:szCs w:val="28"/>
          <w:lang w:val="en-US" w:eastAsia="zh-CN"/>
        </w:rPr>
        <w:t>0</w:t>
      </w:r>
      <w:r>
        <w:rPr>
          <w:rFonts w:hint="eastAsia"/>
          <w:bCs/>
          <w:color w:val="auto"/>
          <w:sz w:val="28"/>
          <w:szCs w:val="28"/>
        </w:rPr>
        <w:t>年</w:t>
      </w:r>
    </w:p>
    <w:p>
      <w:pPr>
        <w:spacing w:line="360" w:lineRule="auto"/>
        <w:ind w:firstLine="560" w:firstLineChars="200"/>
        <w:rPr>
          <w:bCs/>
          <w:color w:val="auto"/>
          <w:sz w:val="28"/>
          <w:szCs w:val="28"/>
        </w:rPr>
      </w:pPr>
      <w:r>
        <w:rPr>
          <w:bCs/>
          <w:color w:val="auto"/>
          <w:sz w:val="28"/>
          <w:szCs w:val="28"/>
        </w:rPr>
        <w:t>1.2.</w:t>
      </w:r>
      <w:r>
        <w:rPr>
          <w:rFonts w:hint="eastAsia"/>
          <w:bCs/>
          <w:color w:val="auto"/>
          <w:sz w:val="28"/>
          <w:szCs w:val="28"/>
        </w:rPr>
        <w:t>2、在热电厂内建设2台70MW的燃气锅炉作为事故备用。规划建设时间20</w:t>
      </w:r>
      <w:r>
        <w:rPr>
          <w:rFonts w:hint="eastAsia"/>
          <w:bCs/>
          <w:color w:val="auto"/>
          <w:sz w:val="28"/>
          <w:szCs w:val="28"/>
          <w:lang w:val="en-US" w:eastAsia="zh-CN"/>
        </w:rPr>
        <w:t>26-</w:t>
      </w:r>
      <w:r>
        <w:rPr>
          <w:rFonts w:hint="eastAsia"/>
          <w:bCs/>
          <w:color w:val="auto"/>
          <w:sz w:val="28"/>
          <w:szCs w:val="28"/>
        </w:rPr>
        <w:t>203</w:t>
      </w:r>
      <w:r>
        <w:rPr>
          <w:rFonts w:hint="eastAsia"/>
          <w:bCs/>
          <w:color w:val="auto"/>
          <w:sz w:val="28"/>
          <w:szCs w:val="28"/>
          <w:lang w:val="en-US" w:eastAsia="zh-CN"/>
        </w:rPr>
        <w:t>5</w:t>
      </w:r>
      <w:r>
        <w:rPr>
          <w:rFonts w:hint="eastAsia"/>
          <w:bCs/>
          <w:color w:val="auto"/>
          <w:sz w:val="28"/>
          <w:szCs w:val="28"/>
        </w:rPr>
        <w:t>年。</w:t>
      </w:r>
    </w:p>
    <w:p>
      <w:pPr>
        <w:spacing w:line="360" w:lineRule="auto"/>
        <w:ind w:firstLine="560" w:firstLineChars="200"/>
        <w:rPr>
          <w:bCs/>
          <w:color w:val="auto"/>
          <w:sz w:val="28"/>
          <w:szCs w:val="28"/>
        </w:rPr>
      </w:pPr>
      <w:r>
        <w:rPr>
          <w:bCs/>
          <w:color w:val="auto"/>
          <w:sz w:val="28"/>
          <w:szCs w:val="28"/>
        </w:rPr>
        <w:t>1.2.</w:t>
      </w:r>
      <w:r>
        <w:rPr>
          <w:rFonts w:hint="eastAsia"/>
          <w:bCs/>
          <w:color w:val="auto"/>
          <w:sz w:val="28"/>
          <w:szCs w:val="28"/>
        </w:rPr>
        <w:t>3、智慧供热建设，规划建设时间2026-203</w:t>
      </w:r>
      <w:r>
        <w:rPr>
          <w:rFonts w:hint="eastAsia"/>
          <w:bCs/>
          <w:color w:val="auto"/>
          <w:sz w:val="28"/>
          <w:szCs w:val="28"/>
          <w:lang w:val="en-US" w:eastAsia="zh-CN"/>
        </w:rPr>
        <w:t>5</w:t>
      </w:r>
      <w:r>
        <w:rPr>
          <w:rFonts w:hint="eastAsia"/>
          <w:bCs/>
          <w:color w:val="auto"/>
          <w:sz w:val="28"/>
          <w:szCs w:val="28"/>
        </w:rPr>
        <w:t>年。</w:t>
      </w:r>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3" w:name="_Toc20318"/>
      <w:r>
        <w:rPr>
          <w:rFonts w:hint="eastAsia"/>
          <w:b/>
          <w:color w:val="auto"/>
          <w:sz w:val="28"/>
          <w:szCs w:val="28"/>
        </w:rPr>
        <w:t>二</w:t>
      </w:r>
      <w:r>
        <w:rPr>
          <w:b/>
          <w:color w:val="auto"/>
          <w:sz w:val="28"/>
          <w:szCs w:val="28"/>
        </w:rPr>
        <w:t>、</w:t>
      </w:r>
      <w:r>
        <w:rPr>
          <w:rFonts w:hint="eastAsia"/>
          <w:b/>
          <w:color w:val="auto"/>
          <w:sz w:val="28"/>
          <w:szCs w:val="28"/>
        </w:rPr>
        <w:t>投资估算</w:t>
      </w:r>
      <w:bookmarkEnd w:id="143"/>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44" w:name="_Toc10445"/>
      <w:bookmarkStart w:id="145" w:name="_Toc188956136"/>
      <w:bookmarkStart w:id="146" w:name="_Toc123441839"/>
      <w:bookmarkStart w:id="147" w:name="_Toc115684379"/>
      <w:bookmarkStart w:id="148" w:name="_Toc188275352"/>
      <w:bookmarkStart w:id="149" w:name="_Toc123545021"/>
      <w:bookmarkStart w:id="150" w:name="_Toc173055249"/>
      <w:bookmarkStart w:id="151" w:name="_Toc123544276"/>
      <w:bookmarkStart w:id="152" w:name="_Toc173055761"/>
      <w:bookmarkStart w:id="153" w:name="_Toc143677074"/>
      <w:bookmarkStart w:id="154" w:name="_Toc193448186"/>
      <w:bookmarkStart w:id="155" w:name="_Toc188275448"/>
      <w:bookmarkStart w:id="156" w:name="_Toc168105974"/>
      <w:bookmarkStart w:id="157" w:name="_Toc186623206"/>
      <w:bookmarkStart w:id="158" w:name="_Toc188956984"/>
      <w:bookmarkStart w:id="159" w:name="_Toc193446635"/>
      <w:bookmarkStart w:id="160" w:name="_Toc131834260"/>
      <w:bookmarkStart w:id="161" w:name="_Toc149723954"/>
      <w:bookmarkStart w:id="162" w:name="_Toc143676788"/>
      <w:bookmarkStart w:id="163" w:name="_Toc188275523"/>
      <w:bookmarkStart w:id="164" w:name="_Toc198987930"/>
      <w:bookmarkStart w:id="165" w:name="_Toc168106691"/>
      <w:bookmarkStart w:id="166" w:name="_Toc174258669"/>
      <w:bookmarkStart w:id="167" w:name="_Toc174259754"/>
      <w:bookmarkStart w:id="168" w:name="_Toc123439891"/>
      <w:bookmarkStart w:id="169" w:name="_Toc323131189"/>
      <w:bookmarkStart w:id="170" w:name="_Toc173134504"/>
      <w:bookmarkStart w:id="171" w:name="_Toc198988146"/>
      <w:bookmarkStart w:id="172" w:name="_Toc183244437"/>
      <w:bookmarkStart w:id="173" w:name="_Toc104983586"/>
      <w:bookmarkStart w:id="174" w:name="_Toc188956560"/>
      <w:bookmarkStart w:id="175" w:name="_Toc183244323"/>
      <w:r>
        <w:rPr>
          <w:b/>
          <w:color w:val="auto"/>
          <w:sz w:val="28"/>
          <w:szCs w:val="28"/>
        </w:rPr>
        <w:t>2.1估算内容</w:t>
      </w:r>
      <w:bookmarkEnd w:id="144"/>
    </w:p>
    <w:p>
      <w:pPr>
        <w:spacing w:line="360" w:lineRule="auto"/>
        <w:ind w:firstLine="560" w:firstLineChars="200"/>
        <w:rPr>
          <w:bCs/>
          <w:color w:val="auto"/>
          <w:sz w:val="28"/>
          <w:szCs w:val="28"/>
        </w:rPr>
      </w:pPr>
      <w:r>
        <w:rPr>
          <w:rFonts w:hint="eastAsia"/>
          <w:bCs/>
          <w:color w:val="auto"/>
          <w:sz w:val="28"/>
          <w:szCs w:val="28"/>
        </w:rPr>
        <w:t>抚顺</w:t>
      </w:r>
      <w:r>
        <w:rPr>
          <w:bCs/>
          <w:color w:val="auto"/>
          <w:sz w:val="28"/>
          <w:szCs w:val="28"/>
        </w:rPr>
        <w:t>市</w:t>
      </w:r>
      <w:r>
        <w:rPr>
          <w:rFonts w:hint="eastAsia"/>
          <w:bCs/>
          <w:color w:val="auto"/>
          <w:sz w:val="28"/>
          <w:szCs w:val="28"/>
        </w:rPr>
        <w:t>城区</w:t>
      </w:r>
      <w:r>
        <w:rPr>
          <w:bCs/>
          <w:color w:val="auto"/>
          <w:sz w:val="28"/>
          <w:szCs w:val="28"/>
        </w:rPr>
        <w:t>供热专项规划，工程规划内容包括：</w:t>
      </w:r>
      <w:r>
        <w:rPr>
          <w:rFonts w:hint="eastAsia"/>
          <w:bCs/>
          <w:color w:val="auto"/>
          <w:sz w:val="28"/>
          <w:szCs w:val="28"/>
        </w:rPr>
        <w:t>管网</w:t>
      </w:r>
      <w:r>
        <w:rPr>
          <w:bCs/>
          <w:color w:val="auto"/>
          <w:sz w:val="28"/>
          <w:szCs w:val="28"/>
        </w:rPr>
        <w:t>建设、</w:t>
      </w:r>
      <w:r>
        <w:rPr>
          <w:rFonts w:hint="eastAsia"/>
          <w:bCs/>
          <w:color w:val="auto"/>
          <w:sz w:val="28"/>
          <w:szCs w:val="28"/>
        </w:rPr>
        <w:t>热源厂升级</w:t>
      </w:r>
      <w:r>
        <w:rPr>
          <w:bCs/>
          <w:color w:val="auto"/>
          <w:sz w:val="28"/>
          <w:szCs w:val="28"/>
        </w:rPr>
        <w:t>改造、</w:t>
      </w:r>
      <w:r>
        <w:rPr>
          <w:rFonts w:hint="eastAsia"/>
          <w:bCs/>
          <w:color w:val="auto"/>
          <w:sz w:val="28"/>
          <w:szCs w:val="28"/>
        </w:rPr>
        <w:t>智慧供热</w:t>
      </w:r>
      <w:r>
        <w:rPr>
          <w:bCs/>
          <w:color w:val="auto"/>
          <w:sz w:val="28"/>
          <w:szCs w:val="28"/>
        </w:rPr>
        <w:t>建设。</w:t>
      </w:r>
    </w:p>
    <w:p>
      <w:pPr>
        <w:keepNext/>
        <w:keepLines/>
        <w:tabs>
          <w:tab w:val="left" w:pos="211"/>
          <w:tab w:val="left" w:pos="525"/>
          <w:tab w:val="left" w:pos="630"/>
        </w:tabs>
        <w:spacing w:before="120" w:beforeLines="50" w:line="360" w:lineRule="auto"/>
        <w:ind w:firstLine="562" w:firstLineChars="200"/>
        <w:jc w:val="left"/>
        <w:outlineLvl w:val="1"/>
        <w:rPr>
          <w:b/>
          <w:color w:val="auto"/>
          <w:sz w:val="28"/>
          <w:szCs w:val="28"/>
        </w:rPr>
      </w:pPr>
      <w:bookmarkStart w:id="176" w:name="_Toc9226"/>
      <w:r>
        <w:rPr>
          <w:b/>
          <w:color w:val="auto"/>
          <w:sz w:val="28"/>
          <w:szCs w:val="28"/>
        </w:rPr>
        <w:t>2.2编制依据</w:t>
      </w:r>
      <w:bookmarkEnd w:id="176"/>
    </w:p>
    <w:p>
      <w:pPr>
        <w:spacing w:line="360" w:lineRule="auto"/>
        <w:ind w:firstLine="560" w:firstLineChars="200"/>
        <w:rPr>
          <w:bCs/>
          <w:color w:val="auto"/>
          <w:sz w:val="28"/>
          <w:szCs w:val="28"/>
        </w:rPr>
      </w:pPr>
      <w:r>
        <w:rPr>
          <w:bCs/>
          <w:color w:val="auto"/>
          <w:sz w:val="28"/>
          <w:szCs w:val="28"/>
        </w:rPr>
        <w:t>严格按建设部关于《市政工程可行性投资估算编制办法》的通知规定及《投资项目可行性研究指南》的方法进行编制；根据《可行性研究报告》提供的工艺内容、现场内部及外部条件、建设单位提供的其他条件进行计算；投资估算指标采用及参考：</w:t>
      </w:r>
    </w:p>
    <w:p>
      <w:pPr>
        <w:spacing w:line="360" w:lineRule="auto"/>
        <w:ind w:firstLine="560" w:firstLineChars="200"/>
        <w:rPr>
          <w:bCs/>
          <w:color w:val="auto"/>
          <w:sz w:val="28"/>
          <w:szCs w:val="28"/>
        </w:rPr>
      </w:pPr>
      <w:r>
        <w:rPr>
          <w:bCs/>
          <w:color w:val="auto"/>
          <w:sz w:val="28"/>
          <w:szCs w:val="28"/>
        </w:rPr>
        <w:t>1、采用建设部颁布的《全国市政工程投资估算指标—第八册集中供热热力网工程》（建标【2007】163号）进行编制；</w:t>
      </w:r>
    </w:p>
    <w:p>
      <w:pPr>
        <w:spacing w:line="360" w:lineRule="auto"/>
        <w:ind w:firstLine="560" w:firstLineChars="200"/>
        <w:rPr>
          <w:bCs/>
          <w:color w:val="auto"/>
          <w:sz w:val="28"/>
          <w:szCs w:val="28"/>
        </w:rPr>
      </w:pPr>
      <w:r>
        <w:rPr>
          <w:bCs/>
          <w:color w:val="auto"/>
          <w:sz w:val="28"/>
          <w:szCs w:val="28"/>
        </w:rPr>
        <w:t>2、参考辽宁</w:t>
      </w:r>
      <w:bookmarkStart w:id="279" w:name="_GoBack"/>
      <w:bookmarkEnd w:id="279"/>
      <w:r>
        <w:rPr>
          <w:bCs/>
          <w:color w:val="auto"/>
          <w:sz w:val="28"/>
          <w:szCs w:val="28"/>
        </w:rPr>
        <w:t>省建筑、安装、市政工程预算定额、费用定额及近年来的同类工程预、决算资料。</w:t>
      </w:r>
    </w:p>
    <w:p>
      <w:pPr>
        <w:spacing w:line="360" w:lineRule="auto"/>
        <w:ind w:firstLine="560" w:firstLineChars="200"/>
        <w:rPr>
          <w:bCs/>
          <w:color w:val="auto"/>
          <w:sz w:val="28"/>
          <w:szCs w:val="28"/>
        </w:rPr>
      </w:pPr>
      <w:r>
        <w:rPr>
          <w:bCs/>
          <w:color w:val="auto"/>
          <w:sz w:val="28"/>
          <w:szCs w:val="28"/>
        </w:rPr>
        <w:t>3、主要材料估算价格按辽宁省现行价格计算，设备按厂家报价加运杂费计算：</w:t>
      </w:r>
    </w:p>
    <w:p>
      <w:pPr>
        <w:spacing w:line="360" w:lineRule="auto"/>
        <w:ind w:firstLine="560" w:firstLineChars="200"/>
        <w:rPr>
          <w:bCs/>
          <w:color w:val="auto"/>
          <w:sz w:val="28"/>
          <w:szCs w:val="28"/>
        </w:rPr>
      </w:pPr>
      <w:r>
        <w:rPr>
          <w:bCs/>
          <w:color w:val="auto"/>
          <w:sz w:val="28"/>
          <w:szCs w:val="28"/>
        </w:rPr>
        <w:t>4、工程建设其它费用按第一部分费用的25%计取；</w:t>
      </w:r>
    </w:p>
    <w:p>
      <w:pPr>
        <w:spacing w:line="360" w:lineRule="auto"/>
        <w:ind w:firstLine="560" w:firstLineChars="200"/>
        <w:rPr>
          <w:bCs/>
          <w:color w:val="auto"/>
          <w:sz w:val="28"/>
          <w:szCs w:val="28"/>
        </w:rPr>
      </w:pPr>
      <w:r>
        <w:rPr>
          <w:bCs/>
          <w:color w:val="auto"/>
          <w:sz w:val="28"/>
          <w:szCs w:val="28"/>
        </w:rPr>
        <w:t>5、基本预备费按第一、二部分费用合计的20%计取；</w:t>
      </w:r>
    </w:p>
    <w:tbl>
      <w:tblPr>
        <w:tblStyle w:val="36"/>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4796"/>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建设项目</w:t>
            </w:r>
          </w:p>
        </w:tc>
        <w:tc>
          <w:tcPr>
            <w:tcW w:w="2653"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建设内容</w:t>
            </w:r>
          </w:p>
        </w:tc>
        <w:tc>
          <w:tcPr>
            <w:tcW w:w="1251"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restart"/>
            <w:vAlign w:val="center"/>
          </w:tcPr>
          <w:p>
            <w:pPr>
              <w:adjustRightInd w:val="0"/>
              <w:snapToGrid w:val="0"/>
              <w:spacing w:line="360" w:lineRule="auto"/>
              <w:jc w:val="center"/>
              <w:rPr>
                <w:snapToGrid w:val="0"/>
                <w:color w:val="auto"/>
                <w:kern w:val="21"/>
                <w:lang w:val="zh-CN"/>
              </w:rPr>
            </w:pPr>
            <w:r>
              <w:rPr>
                <w:snapToGrid w:val="0"/>
                <w:color w:val="auto"/>
                <w:kern w:val="21"/>
                <w:lang w:val="zh-CN"/>
              </w:rPr>
              <w:t>热源部分</w:t>
            </w:r>
          </w:p>
        </w:tc>
        <w:tc>
          <w:tcPr>
            <w:tcW w:w="2653" w:type="pct"/>
            <w:vAlign w:val="center"/>
          </w:tcPr>
          <w:p>
            <w:pPr>
              <w:adjustRightInd w:val="0"/>
              <w:snapToGrid w:val="0"/>
              <w:spacing w:line="360" w:lineRule="auto"/>
              <w:jc w:val="center"/>
              <w:rPr>
                <w:snapToGrid w:val="0"/>
                <w:color w:val="auto"/>
                <w:kern w:val="21"/>
                <w:lang w:val="zh-CN"/>
              </w:rPr>
            </w:pPr>
            <w:r>
              <w:rPr>
                <w:rFonts w:hint="eastAsia"/>
                <w:snapToGrid w:val="0"/>
                <w:color w:val="auto"/>
                <w:kern w:val="21"/>
                <w:lang w:val="zh-CN"/>
              </w:rPr>
              <w:t>抚矿</w:t>
            </w:r>
            <w:r>
              <w:rPr>
                <w:snapToGrid w:val="0"/>
                <w:color w:val="auto"/>
                <w:kern w:val="21"/>
                <w:lang w:val="zh-CN"/>
              </w:rPr>
              <w:t>中</w:t>
            </w:r>
            <w:r>
              <w:rPr>
                <w:rFonts w:hint="eastAsia"/>
                <w:snapToGrid w:val="0"/>
                <w:color w:val="auto"/>
                <w:kern w:val="21"/>
                <w:lang w:val="zh-CN"/>
              </w:rPr>
              <w:t>机新建2台</w:t>
            </w:r>
            <w:r>
              <w:rPr>
                <w:snapToGrid w:val="0"/>
                <w:color w:val="auto"/>
                <w:kern w:val="21"/>
                <w:lang w:val="zh-CN"/>
              </w:rPr>
              <w:t>燃气炉</w:t>
            </w:r>
            <w:r>
              <w:rPr>
                <w:rFonts w:hint="eastAsia"/>
                <w:snapToGrid w:val="0"/>
                <w:color w:val="auto"/>
                <w:kern w:val="21"/>
                <w:lang w:val="zh-CN"/>
              </w:rPr>
              <w:t>备用2x70MW</w:t>
            </w:r>
          </w:p>
        </w:tc>
        <w:tc>
          <w:tcPr>
            <w:tcW w:w="1251"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continue"/>
            <w:vAlign w:val="center"/>
          </w:tcPr>
          <w:p>
            <w:pPr>
              <w:adjustRightInd w:val="0"/>
              <w:snapToGrid w:val="0"/>
              <w:spacing w:line="360" w:lineRule="auto"/>
              <w:jc w:val="center"/>
              <w:rPr>
                <w:snapToGrid w:val="0"/>
                <w:color w:val="auto"/>
                <w:kern w:val="21"/>
                <w:lang w:val="zh-CN"/>
              </w:rPr>
            </w:pPr>
          </w:p>
        </w:tc>
        <w:tc>
          <w:tcPr>
            <w:tcW w:w="2653" w:type="pct"/>
            <w:vAlign w:val="center"/>
          </w:tcPr>
          <w:p>
            <w:pPr>
              <w:adjustRightInd w:val="0"/>
              <w:snapToGrid w:val="0"/>
              <w:spacing w:line="360" w:lineRule="auto"/>
              <w:jc w:val="center"/>
              <w:rPr>
                <w:snapToGrid w:val="0"/>
                <w:color w:val="auto"/>
                <w:kern w:val="21"/>
                <w:lang w:val="zh-CN"/>
              </w:rPr>
            </w:pPr>
            <w:r>
              <w:rPr>
                <w:rFonts w:hint="eastAsia"/>
                <w:snapToGrid w:val="0"/>
                <w:color w:val="auto"/>
                <w:kern w:val="21"/>
                <w:lang w:val="zh-CN"/>
              </w:rPr>
              <w:t>中继泵站</w:t>
            </w:r>
            <w:r>
              <w:rPr>
                <w:snapToGrid w:val="0"/>
                <w:color w:val="auto"/>
                <w:kern w:val="21"/>
                <w:lang w:val="zh-CN"/>
              </w:rPr>
              <w:t>建设</w:t>
            </w:r>
          </w:p>
        </w:tc>
        <w:tc>
          <w:tcPr>
            <w:tcW w:w="1251"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continue"/>
            <w:vAlign w:val="center"/>
          </w:tcPr>
          <w:p>
            <w:pPr>
              <w:adjustRightInd w:val="0"/>
              <w:snapToGrid w:val="0"/>
              <w:spacing w:line="360" w:lineRule="auto"/>
              <w:jc w:val="center"/>
              <w:rPr>
                <w:snapToGrid w:val="0"/>
                <w:color w:val="auto"/>
                <w:kern w:val="21"/>
                <w:lang w:val="zh-CN"/>
              </w:rPr>
            </w:pPr>
          </w:p>
        </w:tc>
        <w:tc>
          <w:tcPr>
            <w:tcW w:w="2653" w:type="pct"/>
            <w:vAlign w:val="center"/>
          </w:tcPr>
          <w:p>
            <w:pPr>
              <w:adjustRightInd w:val="0"/>
              <w:snapToGrid w:val="0"/>
              <w:spacing w:line="360" w:lineRule="auto"/>
              <w:jc w:val="center"/>
              <w:rPr>
                <w:snapToGrid w:val="0"/>
                <w:color w:val="auto"/>
                <w:kern w:val="21"/>
                <w:lang w:val="zh-CN"/>
              </w:rPr>
            </w:pPr>
            <w:r>
              <w:rPr>
                <w:rFonts w:hint="eastAsia"/>
                <w:snapToGrid w:val="0"/>
                <w:color w:val="auto"/>
                <w:kern w:val="21"/>
                <w:lang w:val="zh-CN"/>
              </w:rPr>
              <w:t>换热站改造</w:t>
            </w:r>
          </w:p>
        </w:tc>
        <w:tc>
          <w:tcPr>
            <w:tcW w:w="1251"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restart"/>
            <w:vAlign w:val="center"/>
          </w:tcPr>
          <w:p>
            <w:pPr>
              <w:adjustRightInd w:val="0"/>
              <w:snapToGrid w:val="0"/>
              <w:spacing w:line="360" w:lineRule="auto"/>
              <w:jc w:val="center"/>
              <w:rPr>
                <w:snapToGrid w:val="0"/>
                <w:color w:val="auto"/>
                <w:kern w:val="21"/>
                <w:lang w:val="zh-CN"/>
              </w:rPr>
            </w:pPr>
            <w:r>
              <w:rPr>
                <w:snapToGrid w:val="0"/>
                <w:color w:val="auto"/>
                <w:kern w:val="21"/>
                <w:lang w:val="zh-CN"/>
              </w:rPr>
              <w:t>管网部分</w:t>
            </w:r>
          </w:p>
        </w:tc>
        <w:tc>
          <w:tcPr>
            <w:tcW w:w="2653"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DN800供热管网，开沟长度约0.5公里</w:t>
            </w:r>
          </w:p>
        </w:tc>
        <w:tc>
          <w:tcPr>
            <w:tcW w:w="1251" w:type="pct"/>
            <w:vMerge w:val="restart"/>
            <w:vAlign w:val="center"/>
          </w:tcPr>
          <w:p>
            <w:pPr>
              <w:adjustRightInd w:val="0"/>
              <w:snapToGrid w:val="0"/>
              <w:spacing w:line="360" w:lineRule="auto"/>
              <w:jc w:val="center"/>
              <w:rPr>
                <w:snapToGrid w:val="0"/>
                <w:color w:val="auto"/>
                <w:kern w:val="21"/>
                <w:lang w:val="zh-CN"/>
              </w:rPr>
            </w:pPr>
            <w:r>
              <w:rPr>
                <w:snapToGrid w:val="0"/>
                <w:color w:val="auto"/>
                <w:kern w:val="21"/>
                <w:lang w:val="zh-CN"/>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continue"/>
            <w:vAlign w:val="center"/>
          </w:tcPr>
          <w:p>
            <w:pPr>
              <w:adjustRightInd w:val="0"/>
              <w:snapToGrid w:val="0"/>
              <w:spacing w:line="360" w:lineRule="auto"/>
              <w:jc w:val="center"/>
              <w:rPr>
                <w:snapToGrid w:val="0"/>
                <w:color w:val="auto"/>
                <w:kern w:val="21"/>
                <w:lang w:val="zh-CN"/>
              </w:rPr>
            </w:pPr>
          </w:p>
        </w:tc>
        <w:tc>
          <w:tcPr>
            <w:tcW w:w="2653"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DN800供热管网，开沟长度约16公里</w:t>
            </w:r>
          </w:p>
        </w:tc>
        <w:tc>
          <w:tcPr>
            <w:tcW w:w="1251" w:type="pct"/>
            <w:vMerge w:val="continue"/>
            <w:vAlign w:val="center"/>
          </w:tcPr>
          <w:p>
            <w:pPr>
              <w:adjustRightInd w:val="0"/>
              <w:snapToGrid w:val="0"/>
              <w:spacing w:line="360" w:lineRule="auto"/>
              <w:jc w:val="center"/>
              <w:rPr>
                <w:snapToGrid w:val="0"/>
                <w:color w:val="auto"/>
                <w:kern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continue"/>
            <w:vAlign w:val="center"/>
          </w:tcPr>
          <w:p>
            <w:pPr>
              <w:adjustRightInd w:val="0"/>
              <w:snapToGrid w:val="0"/>
              <w:spacing w:line="360" w:lineRule="auto"/>
              <w:jc w:val="center"/>
              <w:rPr>
                <w:snapToGrid w:val="0"/>
                <w:color w:val="auto"/>
                <w:kern w:val="21"/>
                <w:lang w:val="zh-CN"/>
              </w:rPr>
            </w:pPr>
          </w:p>
        </w:tc>
        <w:tc>
          <w:tcPr>
            <w:tcW w:w="2653"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DN400，开沟长度约3.5米</w:t>
            </w:r>
          </w:p>
        </w:tc>
        <w:tc>
          <w:tcPr>
            <w:tcW w:w="1251" w:type="pct"/>
            <w:vMerge w:val="continue"/>
            <w:vAlign w:val="center"/>
          </w:tcPr>
          <w:p>
            <w:pPr>
              <w:adjustRightInd w:val="0"/>
              <w:snapToGrid w:val="0"/>
              <w:spacing w:line="360" w:lineRule="auto"/>
              <w:jc w:val="center"/>
              <w:rPr>
                <w:snapToGrid w:val="0"/>
                <w:color w:val="auto"/>
                <w:kern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continue"/>
            <w:vAlign w:val="center"/>
          </w:tcPr>
          <w:p>
            <w:pPr>
              <w:adjustRightInd w:val="0"/>
              <w:snapToGrid w:val="0"/>
              <w:spacing w:line="360" w:lineRule="auto"/>
              <w:jc w:val="center"/>
              <w:rPr>
                <w:snapToGrid w:val="0"/>
                <w:color w:val="auto"/>
                <w:kern w:val="21"/>
                <w:lang w:val="zh-CN"/>
              </w:rPr>
            </w:pPr>
          </w:p>
        </w:tc>
        <w:tc>
          <w:tcPr>
            <w:tcW w:w="2653" w:type="pct"/>
            <w:vAlign w:val="center"/>
          </w:tcPr>
          <w:p>
            <w:pPr>
              <w:adjustRightInd w:val="0"/>
              <w:snapToGrid w:val="0"/>
              <w:spacing w:line="360" w:lineRule="auto"/>
              <w:jc w:val="center"/>
              <w:rPr>
                <w:snapToGrid w:val="0"/>
                <w:color w:val="auto"/>
                <w:kern w:val="21"/>
                <w:lang w:val="zh-CN"/>
              </w:rPr>
            </w:pPr>
            <w:r>
              <w:rPr>
                <w:rFonts w:hint="eastAsia"/>
                <w:snapToGrid w:val="0"/>
                <w:color w:val="auto"/>
                <w:kern w:val="21"/>
                <w:lang w:val="zh-CN"/>
              </w:rPr>
              <w:t>DN90</w:t>
            </w:r>
            <w:r>
              <w:rPr>
                <w:snapToGrid w:val="0"/>
                <w:color w:val="auto"/>
                <w:kern w:val="21"/>
                <w:lang w:val="zh-CN"/>
              </w:rPr>
              <w:t>0</w:t>
            </w:r>
            <w:r>
              <w:rPr>
                <w:rFonts w:hint="eastAsia"/>
                <w:snapToGrid w:val="0"/>
                <w:color w:val="auto"/>
                <w:kern w:val="21"/>
                <w:lang w:val="zh-CN"/>
              </w:rPr>
              <w:t>，开沟长度约</w:t>
            </w:r>
            <w:r>
              <w:rPr>
                <w:snapToGrid w:val="0"/>
                <w:color w:val="auto"/>
                <w:kern w:val="21"/>
                <w:lang w:val="zh-CN"/>
              </w:rPr>
              <w:t>0.6</w:t>
            </w:r>
            <w:r>
              <w:rPr>
                <w:rFonts w:hint="eastAsia"/>
                <w:snapToGrid w:val="0"/>
                <w:color w:val="auto"/>
                <w:kern w:val="21"/>
                <w:lang w:val="zh-CN"/>
              </w:rPr>
              <w:t>米</w:t>
            </w:r>
          </w:p>
        </w:tc>
        <w:tc>
          <w:tcPr>
            <w:tcW w:w="1251" w:type="pct"/>
            <w:vMerge w:val="continue"/>
            <w:vAlign w:val="center"/>
          </w:tcPr>
          <w:p>
            <w:pPr>
              <w:adjustRightInd w:val="0"/>
              <w:snapToGrid w:val="0"/>
              <w:spacing w:line="360" w:lineRule="auto"/>
              <w:jc w:val="center"/>
              <w:rPr>
                <w:snapToGrid w:val="0"/>
                <w:color w:val="auto"/>
                <w:kern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continue"/>
            <w:vAlign w:val="center"/>
          </w:tcPr>
          <w:p>
            <w:pPr>
              <w:adjustRightInd w:val="0"/>
              <w:snapToGrid w:val="0"/>
              <w:spacing w:line="360" w:lineRule="auto"/>
              <w:jc w:val="center"/>
              <w:rPr>
                <w:snapToGrid w:val="0"/>
                <w:color w:val="auto"/>
                <w:kern w:val="21"/>
                <w:lang w:val="zh-CN"/>
              </w:rPr>
            </w:pPr>
          </w:p>
        </w:tc>
        <w:tc>
          <w:tcPr>
            <w:tcW w:w="2653"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改造DN800为DN1200，开沟长度约7.3公里</w:t>
            </w:r>
          </w:p>
        </w:tc>
        <w:tc>
          <w:tcPr>
            <w:tcW w:w="1251" w:type="pct"/>
            <w:vMerge w:val="continue"/>
            <w:vAlign w:val="center"/>
          </w:tcPr>
          <w:p>
            <w:pPr>
              <w:adjustRightInd w:val="0"/>
              <w:snapToGrid w:val="0"/>
              <w:spacing w:line="360" w:lineRule="auto"/>
              <w:jc w:val="center"/>
              <w:rPr>
                <w:snapToGrid w:val="0"/>
                <w:color w:val="auto"/>
                <w:kern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Merge w:val="continue"/>
            <w:vAlign w:val="center"/>
          </w:tcPr>
          <w:p>
            <w:pPr>
              <w:adjustRightInd w:val="0"/>
              <w:snapToGrid w:val="0"/>
              <w:spacing w:line="360" w:lineRule="auto"/>
              <w:jc w:val="center"/>
              <w:rPr>
                <w:snapToGrid w:val="0"/>
                <w:color w:val="auto"/>
                <w:kern w:val="21"/>
              </w:rPr>
            </w:pPr>
          </w:p>
        </w:tc>
        <w:tc>
          <w:tcPr>
            <w:tcW w:w="2653"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老旧管网改造380公里</w:t>
            </w:r>
          </w:p>
        </w:tc>
        <w:tc>
          <w:tcPr>
            <w:tcW w:w="1251"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Align w:val="center"/>
          </w:tcPr>
          <w:p>
            <w:pPr>
              <w:adjustRightInd w:val="0"/>
              <w:snapToGrid w:val="0"/>
              <w:spacing w:line="360" w:lineRule="auto"/>
              <w:jc w:val="center"/>
              <w:rPr>
                <w:snapToGrid w:val="0"/>
                <w:color w:val="auto"/>
                <w:kern w:val="21"/>
              </w:rPr>
            </w:pPr>
            <w:r>
              <w:rPr>
                <w:snapToGrid w:val="0"/>
                <w:color w:val="auto"/>
                <w:kern w:val="21"/>
              </w:rPr>
              <w:t>智慧供热系统</w:t>
            </w:r>
          </w:p>
        </w:tc>
        <w:tc>
          <w:tcPr>
            <w:tcW w:w="2653"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智慧供热系统建设</w:t>
            </w:r>
          </w:p>
        </w:tc>
        <w:tc>
          <w:tcPr>
            <w:tcW w:w="1251"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096"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合计</w:t>
            </w:r>
          </w:p>
        </w:tc>
        <w:tc>
          <w:tcPr>
            <w:tcW w:w="2653" w:type="pct"/>
            <w:vAlign w:val="center"/>
          </w:tcPr>
          <w:p>
            <w:pPr>
              <w:adjustRightInd w:val="0"/>
              <w:snapToGrid w:val="0"/>
              <w:spacing w:line="360" w:lineRule="auto"/>
              <w:jc w:val="center"/>
              <w:rPr>
                <w:snapToGrid w:val="0"/>
                <w:color w:val="auto"/>
                <w:kern w:val="21"/>
                <w:lang w:val="zh-CN"/>
              </w:rPr>
            </w:pPr>
          </w:p>
        </w:tc>
        <w:tc>
          <w:tcPr>
            <w:tcW w:w="1251" w:type="pct"/>
            <w:vAlign w:val="center"/>
          </w:tcPr>
          <w:p>
            <w:pPr>
              <w:adjustRightInd w:val="0"/>
              <w:snapToGrid w:val="0"/>
              <w:spacing w:line="360" w:lineRule="auto"/>
              <w:jc w:val="center"/>
              <w:rPr>
                <w:snapToGrid w:val="0"/>
                <w:color w:val="auto"/>
                <w:kern w:val="21"/>
                <w:lang w:val="zh-CN"/>
              </w:rPr>
            </w:pPr>
            <w:r>
              <w:rPr>
                <w:snapToGrid w:val="0"/>
                <w:color w:val="auto"/>
                <w:kern w:val="21"/>
                <w:lang w:val="zh-CN"/>
              </w:rPr>
              <w:t>145000</w:t>
            </w:r>
          </w:p>
        </w:tc>
      </w:tr>
    </w:tbl>
    <w:p>
      <w:pPr>
        <w:keepNext/>
        <w:keepLines/>
        <w:tabs>
          <w:tab w:val="left" w:pos="211"/>
          <w:tab w:val="left" w:pos="525"/>
          <w:tab w:val="left" w:pos="630"/>
        </w:tabs>
        <w:spacing w:before="240" w:beforeLines="100" w:line="360" w:lineRule="auto"/>
        <w:ind w:firstLine="562" w:firstLineChars="200"/>
        <w:jc w:val="left"/>
        <w:outlineLvl w:val="1"/>
        <w:rPr>
          <w:b/>
          <w:color w:val="auto"/>
          <w:sz w:val="28"/>
          <w:szCs w:val="28"/>
        </w:rPr>
      </w:pPr>
      <w:bookmarkStart w:id="177" w:name="_Toc30051"/>
      <w:r>
        <w:rPr>
          <w:rFonts w:hint="eastAsia"/>
          <w:b/>
          <w:color w:val="auto"/>
          <w:sz w:val="28"/>
          <w:szCs w:val="28"/>
        </w:rPr>
        <w:t>三</w:t>
      </w:r>
      <w:r>
        <w:rPr>
          <w:b/>
          <w:color w:val="auto"/>
          <w:sz w:val="28"/>
          <w:szCs w:val="28"/>
        </w:rPr>
        <w:t>、规划实施</w:t>
      </w:r>
      <w:r>
        <w:rPr>
          <w:rFonts w:hint="eastAsia"/>
          <w:b/>
          <w:color w:val="auto"/>
          <w:sz w:val="28"/>
          <w:szCs w:val="28"/>
        </w:rPr>
        <w:t>的</w:t>
      </w:r>
      <w:r>
        <w:rPr>
          <w:b/>
          <w:color w:val="auto"/>
          <w:sz w:val="28"/>
          <w:szCs w:val="28"/>
        </w:rPr>
        <w:t>保障</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7"/>
    </w:p>
    <w:p>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178" w:name="_Toc27417"/>
      <w:r>
        <w:rPr>
          <w:b/>
          <w:color w:val="auto"/>
          <w:sz w:val="28"/>
          <w:szCs w:val="28"/>
        </w:rPr>
        <w:t>3.1</w:t>
      </w:r>
      <w:r>
        <w:rPr>
          <w:rFonts w:hint="eastAsia"/>
          <w:b/>
          <w:color w:val="auto"/>
          <w:sz w:val="28"/>
          <w:szCs w:val="28"/>
        </w:rPr>
        <w:t>政策</w:t>
      </w:r>
      <w:r>
        <w:rPr>
          <w:b/>
          <w:color w:val="auto"/>
          <w:sz w:val="28"/>
          <w:szCs w:val="28"/>
        </w:rPr>
        <w:t>保障</w:t>
      </w:r>
      <w:bookmarkEnd w:id="178"/>
    </w:p>
    <w:p>
      <w:pPr>
        <w:spacing w:line="360" w:lineRule="auto"/>
        <w:ind w:firstLine="560" w:firstLineChars="200"/>
        <w:rPr>
          <w:color w:val="auto"/>
          <w:sz w:val="28"/>
          <w:szCs w:val="28"/>
        </w:rPr>
      </w:pPr>
      <w:r>
        <w:rPr>
          <w:color w:val="auto"/>
          <w:sz w:val="28"/>
          <w:szCs w:val="28"/>
        </w:rPr>
        <w:t>节约能源、保护环境，促进地区经济社会可持续健康发展是供热规划的宗旨，</w:t>
      </w:r>
      <w:r>
        <w:rPr>
          <w:rFonts w:hint="eastAsia"/>
          <w:color w:val="auto"/>
          <w:sz w:val="28"/>
          <w:szCs w:val="28"/>
        </w:rPr>
        <w:t>抚顺</w:t>
      </w:r>
      <w:r>
        <w:rPr>
          <w:color w:val="auto"/>
          <w:sz w:val="28"/>
          <w:szCs w:val="28"/>
        </w:rPr>
        <w:t>市政府应加大政策力度，采取积极引导和鼓励的措施，保证供热规划的有效实施。</w:t>
      </w:r>
    </w:p>
    <w:p>
      <w:pPr>
        <w:spacing w:line="360" w:lineRule="auto"/>
        <w:ind w:firstLine="585" w:firstLineChars="209"/>
        <w:rPr>
          <w:bCs/>
          <w:color w:val="auto"/>
          <w:sz w:val="28"/>
        </w:rPr>
      </w:pPr>
      <w:r>
        <w:rPr>
          <w:bCs/>
          <w:color w:val="auto"/>
          <w:sz w:val="28"/>
        </w:rPr>
        <w:t>由</w:t>
      </w:r>
      <w:r>
        <w:rPr>
          <w:rFonts w:hint="eastAsia"/>
          <w:bCs/>
          <w:color w:val="auto"/>
          <w:sz w:val="28"/>
        </w:rPr>
        <w:t>供热</w:t>
      </w:r>
      <w:r>
        <w:rPr>
          <w:bCs/>
          <w:color w:val="auto"/>
          <w:sz w:val="28"/>
        </w:rPr>
        <w:t>主管部门具体协调供热规划实施过程中的各项重大事宜，确保工程的有序进展。</w:t>
      </w:r>
    </w:p>
    <w:p>
      <w:pPr>
        <w:spacing w:line="360" w:lineRule="auto"/>
        <w:ind w:firstLine="560" w:firstLineChars="200"/>
        <w:rPr>
          <w:color w:val="auto"/>
          <w:sz w:val="28"/>
          <w:szCs w:val="28"/>
        </w:rPr>
      </w:pPr>
      <w:r>
        <w:rPr>
          <w:color w:val="auto"/>
          <w:sz w:val="28"/>
          <w:szCs w:val="28"/>
        </w:rPr>
        <w:t>（1）理顺管理体制，健全管理机构，强化政府对城市供热规划统一管理的职能。</w:t>
      </w:r>
    </w:p>
    <w:p>
      <w:pPr>
        <w:spacing w:line="360" w:lineRule="auto"/>
        <w:ind w:firstLine="560" w:firstLineChars="200"/>
        <w:rPr>
          <w:color w:val="auto"/>
          <w:sz w:val="28"/>
          <w:szCs w:val="28"/>
        </w:rPr>
      </w:pPr>
      <w:r>
        <w:rPr>
          <w:color w:val="auto"/>
          <w:sz w:val="28"/>
          <w:szCs w:val="28"/>
        </w:rPr>
        <w:t>（2）强化城市总体规划和供热规划的执行力度，对城市供热设施用地、小区换热站用地及供热管线通道应统筹考虑，做出预留。除本报告规划的大型热源外，原则上将不再新建其它锅炉房。在履行各类建筑项目核批手续时，应要求其内部设施符合供热规划要求，以保证供热规划得以落实，做到统筹安排，综合平衡，协调发展。</w:t>
      </w:r>
    </w:p>
    <w:p>
      <w:pPr>
        <w:spacing w:line="360" w:lineRule="auto"/>
        <w:ind w:firstLine="560" w:firstLineChars="200"/>
        <w:rPr>
          <w:color w:val="auto"/>
          <w:sz w:val="28"/>
          <w:szCs w:val="28"/>
        </w:rPr>
      </w:pPr>
      <w:r>
        <w:rPr>
          <w:color w:val="auto"/>
          <w:sz w:val="28"/>
          <w:szCs w:val="28"/>
        </w:rPr>
        <w:t>（3）进一步深化投融资体制改革，加大资本市场筹资力度，积极拓宽融资渠道，鼓励多种形式、多种所有制形式参与热源厂和热力管网的建设、改造和经营。</w:t>
      </w:r>
    </w:p>
    <w:p>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179" w:name="_Toc198987931"/>
      <w:bookmarkStart w:id="180" w:name="_Toc104983587"/>
      <w:bookmarkStart w:id="181" w:name="_Toc143676791"/>
      <w:bookmarkStart w:id="182" w:name="_Toc115684382"/>
      <w:bookmarkStart w:id="183" w:name="_Toc168105977"/>
      <w:bookmarkStart w:id="184" w:name="_Toc143677077"/>
      <w:bookmarkStart w:id="185" w:name="_Toc173055252"/>
      <w:bookmarkStart w:id="186" w:name="_Toc188956985"/>
      <w:bookmarkStart w:id="187" w:name="_Toc183244440"/>
      <w:bookmarkStart w:id="188" w:name="_Toc168106694"/>
      <w:bookmarkStart w:id="189" w:name="_Toc188275353"/>
      <w:bookmarkStart w:id="190" w:name="_Toc149723957"/>
      <w:bookmarkStart w:id="191" w:name="_Toc193448187"/>
      <w:bookmarkStart w:id="192" w:name="_Toc186623209"/>
      <w:bookmarkStart w:id="193" w:name="_Toc323131190"/>
      <w:bookmarkStart w:id="194" w:name="_Toc188275449"/>
      <w:bookmarkStart w:id="195" w:name="_Toc123439894"/>
      <w:bookmarkStart w:id="196" w:name="_Toc174258672"/>
      <w:bookmarkStart w:id="197" w:name="_Toc131834263"/>
      <w:bookmarkStart w:id="198" w:name="_Toc198988147"/>
      <w:bookmarkStart w:id="199" w:name="_Toc123441842"/>
      <w:bookmarkStart w:id="200" w:name="_Toc123545024"/>
      <w:bookmarkStart w:id="201" w:name="_Toc183244326"/>
      <w:bookmarkStart w:id="202" w:name="_Toc173134507"/>
      <w:bookmarkStart w:id="203" w:name="_Toc173055764"/>
      <w:bookmarkStart w:id="204" w:name="_Toc188956561"/>
      <w:bookmarkStart w:id="205" w:name="_Toc174259757"/>
      <w:bookmarkStart w:id="206" w:name="_Toc188275524"/>
      <w:bookmarkStart w:id="207" w:name="_Toc123544279"/>
      <w:bookmarkStart w:id="208" w:name="_Toc193446636"/>
      <w:bookmarkStart w:id="209" w:name="_Toc188956137"/>
      <w:bookmarkStart w:id="210" w:name="_Toc26146"/>
      <w:r>
        <w:rPr>
          <w:b/>
          <w:color w:val="auto"/>
          <w:sz w:val="28"/>
          <w:szCs w:val="28"/>
        </w:rPr>
        <w:t>3.2资金保障</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spacing w:line="360" w:lineRule="auto"/>
        <w:ind w:firstLine="560" w:firstLineChars="200"/>
        <w:rPr>
          <w:color w:val="auto"/>
          <w:sz w:val="28"/>
          <w:szCs w:val="28"/>
        </w:rPr>
      </w:pPr>
      <w:r>
        <w:rPr>
          <w:color w:val="auto"/>
          <w:sz w:val="28"/>
          <w:szCs w:val="28"/>
        </w:rPr>
        <w:t>为了确保供热规划的实施，减少政府负担，必须要建立商业化、社会化和资本化的融、投资体制，建设资金可由以下渠道筹措：</w:t>
      </w:r>
    </w:p>
    <w:p>
      <w:pPr>
        <w:spacing w:line="360" w:lineRule="auto"/>
        <w:ind w:firstLine="560" w:firstLineChars="200"/>
        <w:rPr>
          <w:color w:val="auto"/>
          <w:sz w:val="28"/>
          <w:szCs w:val="28"/>
        </w:rPr>
      </w:pPr>
      <w:r>
        <w:rPr>
          <w:color w:val="auto"/>
          <w:sz w:val="28"/>
          <w:szCs w:val="28"/>
        </w:rPr>
        <w:t>（1）通过股份制、资产重组的方式筹集资金。</w:t>
      </w:r>
    </w:p>
    <w:p>
      <w:pPr>
        <w:spacing w:line="360" w:lineRule="auto"/>
        <w:ind w:firstLine="560" w:firstLineChars="200"/>
        <w:rPr>
          <w:color w:val="auto"/>
          <w:sz w:val="28"/>
          <w:szCs w:val="28"/>
        </w:rPr>
      </w:pPr>
      <w:r>
        <w:rPr>
          <w:color w:val="auto"/>
          <w:sz w:val="28"/>
          <w:szCs w:val="28"/>
        </w:rPr>
        <w:t>（2）开放供热市场，吸引国内外资金或鼓励新的供热企业加入</w:t>
      </w:r>
      <w:r>
        <w:rPr>
          <w:rFonts w:hint="eastAsia"/>
          <w:color w:val="auto"/>
          <w:sz w:val="28"/>
          <w:szCs w:val="28"/>
        </w:rPr>
        <w:t>抚顺</w:t>
      </w:r>
      <w:r>
        <w:rPr>
          <w:color w:val="auto"/>
          <w:sz w:val="28"/>
          <w:szCs w:val="28"/>
        </w:rPr>
        <w:t>市的供热市场，通过合资合作形式招商引资。</w:t>
      </w:r>
    </w:p>
    <w:p>
      <w:pPr>
        <w:spacing w:line="360" w:lineRule="auto"/>
        <w:ind w:firstLine="560" w:firstLineChars="200"/>
        <w:rPr>
          <w:color w:val="auto"/>
          <w:sz w:val="28"/>
          <w:szCs w:val="28"/>
        </w:rPr>
      </w:pPr>
      <w:r>
        <w:rPr>
          <w:color w:val="auto"/>
          <w:sz w:val="28"/>
          <w:szCs w:val="28"/>
        </w:rPr>
        <w:t>（3）实施滚动性投资，针对热源建设资金紧张的情况，通过行政手段收取受热单位的热源配套费。</w:t>
      </w:r>
    </w:p>
    <w:p>
      <w:pPr>
        <w:spacing w:line="360" w:lineRule="auto"/>
        <w:ind w:firstLine="560" w:firstLineChars="200"/>
        <w:rPr>
          <w:color w:val="auto"/>
          <w:sz w:val="28"/>
          <w:szCs w:val="28"/>
        </w:rPr>
      </w:pPr>
      <w:r>
        <w:rPr>
          <w:color w:val="auto"/>
          <w:sz w:val="28"/>
          <w:szCs w:val="28"/>
        </w:rPr>
        <w:t>（4）通过国家政策贷款、国际援助贷款或直接向银行贷款等方式注入资金。</w:t>
      </w:r>
    </w:p>
    <w:p>
      <w:pPr>
        <w:spacing w:line="360" w:lineRule="auto"/>
        <w:ind w:firstLine="560" w:firstLineChars="200"/>
        <w:rPr>
          <w:color w:val="auto"/>
          <w:sz w:val="28"/>
          <w:szCs w:val="28"/>
        </w:rPr>
      </w:pPr>
      <w:r>
        <w:rPr>
          <w:color w:val="auto"/>
          <w:sz w:val="28"/>
          <w:szCs w:val="28"/>
        </w:rPr>
        <w:t>（5）将热源规划项目纳入全年的城市建设计划，引入基本建设资金。</w:t>
      </w:r>
    </w:p>
    <w:p>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211" w:name="_Toc174259756"/>
      <w:bookmarkStart w:id="212" w:name="_Toc183244439"/>
      <w:bookmarkStart w:id="213" w:name="_Toc143676790"/>
      <w:bookmarkStart w:id="214" w:name="_Toc198988148"/>
      <w:bookmarkStart w:id="215" w:name="_Toc188275354"/>
      <w:bookmarkStart w:id="216" w:name="_Toc188956562"/>
      <w:bookmarkStart w:id="217" w:name="_Toc173134506"/>
      <w:bookmarkStart w:id="218" w:name="_Toc115684381"/>
      <w:bookmarkStart w:id="219" w:name="_Toc174258671"/>
      <w:bookmarkStart w:id="220" w:name="_Toc149723956"/>
      <w:bookmarkStart w:id="221" w:name="_Toc104983588"/>
      <w:bookmarkStart w:id="222" w:name="_Toc123439893"/>
      <w:bookmarkStart w:id="223" w:name="_Toc198987932"/>
      <w:bookmarkStart w:id="224" w:name="_Toc121816537"/>
      <w:bookmarkStart w:id="225" w:name="_Toc323131191"/>
      <w:bookmarkStart w:id="226" w:name="_Toc188956986"/>
      <w:bookmarkStart w:id="227" w:name="_Toc123544278"/>
      <w:bookmarkStart w:id="228" w:name="_Toc193446637"/>
      <w:bookmarkStart w:id="229" w:name="_Toc188275525"/>
      <w:bookmarkStart w:id="230" w:name="_Toc173055251"/>
      <w:bookmarkStart w:id="231" w:name="_Toc183244325"/>
      <w:bookmarkStart w:id="232" w:name="_Toc188275450"/>
      <w:bookmarkStart w:id="233" w:name="_Toc186623208"/>
      <w:bookmarkStart w:id="234" w:name="_Toc168105976"/>
      <w:bookmarkStart w:id="235" w:name="_Toc131834262"/>
      <w:bookmarkStart w:id="236" w:name="_Toc123545023"/>
      <w:bookmarkStart w:id="237" w:name="_Toc173055763"/>
      <w:bookmarkStart w:id="238" w:name="_Toc143677076"/>
      <w:bookmarkStart w:id="239" w:name="_Toc188956138"/>
      <w:bookmarkStart w:id="240" w:name="_Toc193448188"/>
      <w:bookmarkStart w:id="241" w:name="_Toc168106693"/>
      <w:bookmarkStart w:id="242" w:name="_Toc123441841"/>
      <w:bookmarkStart w:id="243" w:name="_Toc19003"/>
      <w:r>
        <w:rPr>
          <w:b/>
          <w:color w:val="auto"/>
          <w:sz w:val="28"/>
          <w:szCs w:val="28"/>
        </w:rPr>
        <w:t>3.3技术保障</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spacing w:line="360" w:lineRule="auto"/>
        <w:ind w:firstLine="560" w:firstLineChars="200"/>
        <w:rPr>
          <w:color w:val="auto"/>
          <w:sz w:val="28"/>
          <w:szCs w:val="28"/>
        </w:rPr>
      </w:pPr>
      <w:r>
        <w:rPr>
          <w:color w:val="auto"/>
          <w:sz w:val="28"/>
          <w:szCs w:val="28"/>
        </w:rPr>
        <w:t>（1）在供热规划实施的过程中，采用新设备、新技术和新材料，达到节能、环保的目的。</w:t>
      </w:r>
    </w:p>
    <w:p>
      <w:pPr>
        <w:spacing w:line="360" w:lineRule="auto"/>
        <w:ind w:firstLine="560" w:firstLineChars="200"/>
        <w:rPr>
          <w:color w:val="auto"/>
          <w:sz w:val="28"/>
          <w:szCs w:val="28"/>
        </w:rPr>
      </w:pPr>
      <w:r>
        <w:rPr>
          <w:color w:val="auto"/>
          <w:sz w:val="28"/>
          <w:szCs w:val="28"/>
        </w:rPr>
        <w:t>（2）结合供热体制改革和供热采暖系统的技术改造，逐步完善城镇供热采暖系统建设的技术标准体系。</w:t>
      </w:r>
    </w:p>
    <w:p>
      <w:pPr>
        <w:spacing w:line="360" w:lineRule="auto"/>
        <w:ind w:firstLine="560" w:firstLineChars="200"/>
        <w:rPr>
          <w:color w:val="auto"/>
          <w:sz w:val="28"/>
          <w:szCs w:val="28"/>
        </w:rPr>
      </w:pPr>
      <w:r>
        <w:rPr>
          <w:color w:val="auto"/>
          <w:sz w:val="28"/>
          <w:szCs w:val="28"/>
        </w:rPr>
        <w:t>（3）建筑保温按节能标准设计；采暖设施按“分户控制、分户计量、智慧管理”方式设计。</w:t>
      </w:r>
    </w:p>
    <w:p>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244" w:name="_Toc168106692"/>
      <w:bookmarkStart w:id="245" w:name="_Toc323131192"/>
      <w:bookmarkStart w:id="246" w:name="_Toc188275355"/>
      <w:bookmarkStart w:id="247" w:name="_Toc188275451"/>
      <w:bookmarkStart w:id="248" w:name="_Toc123545022"/>
      <w:bookmarkStart w:id="249" w:name="_Toc2932"/>
      <w:bookmarkStart w:id="250" w:name="_Toc149723955"/>
      <w:bookmarkStart w:id="251" w:name="_Toc173055762"/>
      <w:bookmarkStart w:id="252" w:name="_Toc183244324"/>
      <w:bookmarkStart w:id="253" w:name="_Toc168105975"/>
      <w:bookmarkStart w:id="254" w:name="_Toc188956139"/>
      <w:bookmarkStart w:id="255" w:name="_Toc193448189"/>
      <w:bookmarkStart w:id="256" w:name="_Toc183244438"/>
      <w:bookmarkStart w:id="257" w:name="_Toc198987933"/>
      <w:bookmarkStart w:id="258" w:name="_Toc193446638"/>
      <w:bookmarkStart w:id="259" w:name="_Toc188956563"/>
      <w:bookmarkStart w:id="260" w:name="_Toc123441840"/>
      <w:bookmarkStart w:id="261" w:name="_Toc173134505"/>
      <w:bookmarkStart w:id="262" w:name="_Toc123544277"/>
      <w:bookmarkStart w:id="263" w:name="_Toc131834261"/>
      <w:bookmarkStart w:id="264" w:name="_Toc123439892"/>
      <w:bookmarkStart w:id="265" w:name="_Toc173055250"/>
      <w:bookmarkStart w:id="266" w:name="_Toc174259755"/>
      <w:bookmarkStart w:id="267" w:name="_Toc174258670"/>
      <w:bookmarkStart w:id="268" w:name="_Toc104983589"/>
      <w:bookmarkStart w:id="269" w:name="_Toc143676789"/>
      <w:bookmarkStart w:id="270" w:name="_Toc186623207"/>
      <w:bookmarkStart w:id="271" w:name="_Toc198988149"/>
      <w:bookmarkStart w:id="272" w:name="_Toc143677075"/>
      <w:bookmarkStart w:id="273" w:name="_Toc115684380"/>
      <w:bookmarkStart w:id="274" w:name="_Toc188275526"/>
      <w:bookmarkStart w:id="275" w:name="_Toc188956987"/>
      <w:r>
        <w:rPr>
          <w:b/>
          <w:color w:val="auto"/>
          <w:sz w:val="28"/>
          <w:szCs w:val="28"/>
        </w:rPr>
        <w:t>3.4组织管理</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pPr>
        <w:spacing w:line="360" w:lineRule="auto"/>
        <w:ind w:firstLine="560" w:firstLineChars="200"/>
        <w:rPr>
          <w:color w:val="auto"/>
          <w:sz w:val="28"/>
          <w:szCs w:val="28"/>
        </w:rPr>
      </w:pPr>
      <w:r>
        <w:rPr>
          <w:color w:val="auto"/>
          <w:sz w:val="28"/>
          <w:szCs w:val="28"/>
        </w:rPr>
        <w:t>（1）进一步转变政府职能，加强和改进供热行业管理，规范供热市场主体行为，培育企业化、专业化和市场化运作的大型供热企业。</w:t>
      </w:r>
    </w:p>
    <w:p>
      <w:pPr>
        <w:spacing w:line="360" w:lineRule="auto"/>
        <w:ind w:firstLine="560" w:firstLineChars="200"/>
        <w:rPr>
          <w:color w:val="auto"/>
          <w:sz w:val="28"/>
          <w:szCs w:val="28"/>
        </w:rPr>
      </w:pPr>
      <w:r>
        <w:rPr>
          <w:color w:val="auto"/>
          <w:sz w:val="28"/>
          <w:szCs w:val="28"/>
        </w:rPr>
        <w:t>（2）制定规范的供热行业运行、服务和管理标准，实行热源、热网统一经营和管理。</w:t>
      </w:r>
    </w:p>
    <w:p>
      <w:pPr>
        <w:spacing w:line="360" w:lineRule="auto"/>
        <w:ind w:firstLine="560" w:firstLineChars="200"/>
        <w:rPr>
          <w:color w:val="auto"/>
          <w:sz w:val="28"/>
          <w:szCs w:val="28"/>
        </w:rPr>
      </w:pPr>
      <w:r>
        <w:rPr>
          <w:color w:val="auto"/>
          <w:sz w:val="28"/>
          <w:szCs w:val="28"/>
        </w:rPr>
        <w:t>（3）新建建筑全部按照建筑节能标准设计建造，建议</w:t>
      </w:r>
      <w:r>
        <w:rPr>
          <w:rFonts w:hint="eastAsia"/>
          <w:color w:val="auto"/>
          <w:sz w:val="28"/>
          <w:szCs w:val="28"/>
        </w:rPr>
        <w:t>抚顺</w:t>
      </w:r>
      <w:r>
        <w:rPr>
          <w:color w:val="auto"/>
          <w:sz w:val="28"/>
          <w:szCs w:val="28"/>
        </w:rPr>
        <w:t>市</w:t>
      </w:r>
      <w:r>
        <w:rPr>
          <w:bCs/>
          <w:color w:val="auto"/>
          <w:sz w:val="28"/>
        </w:rPr>
        <w:t>政府每年对一定数量的现状建筑物进行节能保温改造，并</w:t>
      </w:r>
      <w:r>
        <w:rPr>
          <w:color w:val="auto"/>
          <w:sz w:val="28"/>
          <w:szCs w:val="28"/>
        </w:rPr>
        <w:t>逐步推行分室室温控制，达到有效控制热能消耗量，实施按耗热量收费；变间歇供暖为连续供暖，改造用户终端设备；建立城市集中供热的良好运营机制。</w:t>
      </w:r>
    </w:p>
    <w:p>
      <w:pPr>
        <w:keepNext/>
        <w:keepLines/>
        <w:tabs>
          <w:tab w:val="left" w:pos="211"/>
          <w:tab w:val="left" w:pos="525"/>
          <w:tab w:val="left" w:pos="630"/>
        </w:tabs>
        <w:spacing w:line="360" w:lineRule="auto"/>
        <w:ind w:firstLine="562" w:firstLineChars="200"/>
        <w:jc w:val="left"/>
        <w:outlineLvl w:val="1"/>
        <w:rPr>
          <w:b/>
          <w:color w:val="auto"/>
          <w:sz w:val="28"/>
          <w:szCs w:val="28"/>
        </w:rPr>
      </w:pPr>
      <w:bookmarkStart w:id="276" w:name="_Toc25967"/>
      <w:r>
        <w:rPr>
          <w:rFonts w:hint="eastAsia"/>
          <w:b/>
          <w:color w:val="auto"/>
          <w:sz w:val="28"/>
          <w:szCs w:val="28"/>
        </w:rPr>
        <w:t>四</w:t>
      </w:r>
      <w:r>
        <w:rPr>
          <w:b/>
          <w:color w:val="auto"/>
          <w:sz w:val="28"/>
          <w:szCs w:val="28"/>
        </w:rPr>
        <w:t>、</w:t>
      </w:r>
      <w:r>
        <w:rPr>
          <w:rFonts w:hint="eastAsia"/>
          <w:b/>
          <w:color w:val="auto"/>
          <w:sz w:val="28"/>
          <w:szCs w:val="28"/>
        </w:rPr>
        <w:t>远景展望</w:t>
      </w:r>
      <w:bookmarkEnd w:id="276"/>
    </w:p>
    <w:p>
      <w:pPr>
        <w:spacing w:line="360" w:lineRule="auto"/>
        <w:ind w:firstLine="560" w:firstLineChars="200"/>
        <w:rPr>
          <w:bCs/>
          <w:color w:val="auto"/>
          <w:sz w:val="28"/>
          <w:szCs w:val="28"/>
        </w:rPr>
      </w:pPr>
      <w:r>
        <w:rPr>
          <w:rFonts w:hint="eastAsia"/>
          <w:bCs/>
          <w:color w:val="auto"/>
          <w:sz w:val="28"/>
          <w:szCs w:val="28"/>
        </w:rPr>
        <w:t>① 全面实现供热计量收费</w:t>
      </w:r>
    </w:p>
    <w:p>
      <w:pPr>
        <w:spacing w:line="360" w:lineRule="auto"/>
        <w:ind w:firstLine="560" w:firstLineChars="200"/>
        <w:rPr>
          <w:bCs/>
          <w:color w:val="auto"/>
          <w:sz w:val="28"/>
          <w:szCs w:val="28"/>
        </w:rPr>
      </w:pPr>
      <w:r>
        <w:rPr>
          <w:rFonts w:hint="eastAsia"/>
          <w:bCs/>
          <w:color w:val="auto"/>
          <w:sz w:val="28"/>
          <w:szCs w:val="28"/>
        </w:rPr>
        <w:t>2031-2050年远期根据《供热计量技术规程》（JGJ173-2009）实现居民热表分户计量。</w:t>
      </w:r>
    </w:p>
    <w:p>
      <w:pPr>
        <w:spacing w:line="360" w:lineRule="auto"/>
        <w:ind w:firstLine="560" w:firstLineChars="200"/>
        <w:rPr>
          <w:bCs/>
          <w:color w:val="auto"/>
          <w:sz w:val="28"/>
          <w:szCs w:val="28"/>
        </w:rPr>
      </w:pPr>
      <w:r>
        <w:rPr>
          <w:rFonts w:hint="eastAsia"/>
          <w:bCs/>
          <w:color w:val="auto"/>
          <w:sz w:val="28"/>
          <w:szCs w:val="28"/>
        </w:rPr>
        <w:t>热计量收费两部分组成：居住建筑供热计量收费试行价格实行两部制热价，由基本热价和计量热价两部分构成。基本热价按照建筑面积征收。其中热费计算将有公式为：</w:t>
      </w:r>
    </w:p>
    <w:p>
      <w:pPr>
        <w:spacing w:line="360" w:lineRule="auto"/>
        <w:ind w:firstLine="560" w:firstLineChars="200"/>
        <w:rPr>
          <w:bCs/>
          <w:color w:val="auto"/>
          <w:sz w:val="28"/>
          <w:szCs w:val="28"/>
        </w:rPr>
      </w:pPr>
      <w:r>
        <w:rPr>
          <w:rFonts w:hint="eastAsia"/>
          <w:bCs/>
          <w:color w:val="auto"/>
          <w:sz w:val="28"/>
          <w:szCs w:val="28"/>
        </w:rPr>
        <w:t>用户热费=基本热费+计量热费=基本热价×建筑面积+计量热价×用热量 。</w:t>
      </w:r>
    </w:p>
    <w:p>
      <w:pPr>
        <w:spacing w:line="360" w:lineRule="auto"/>
        <w:ind w:firstLine="560" w:firstLineChars="200"/>
        <w:rPr>
          <w:bCs/>
          <w:color w:val="auto"/>
          <w:sz w:val="28"/>
          <w:szCs w:val="28"/>
        </w:rPr>
      </w:pPr>
      <w:r>
        <w:rPr>
          <w:rFonts w:hint="eastAsia"/>
          <w:bCs/>
          <w:color w:val="auto"/>
          <w:sz w:val="28"/>
          <w:szCs w:val="28"/>
        </w:rPr>
        <w:t>按面积收费的用户，不管用多少热都要交纳全额费用。用户购买的是规定的室内温度，热了只能开窗户，这样既浪费能源，又不舒适。热计量收费改变了传统供热形式和理念，用户购买的是热量，可根据需求自行调节室内温度。这样不仅可以提高舒适度，也可以少用热，节省热费，减少能源浪费。</w:t>
      </w:r>
    </w:p>
    <w:p>
      <w:pPr>
        <w:spacing w:line="360" w:lineRule="auto"/>
        <w:ind w:firstLine="560" w:firstLineChars="200"/>
        <w:rPr>
          <w:bCs/>
          <w:color w:val="auto"/>
          <w:sz w:val="28"/>
          <w:szCs w:val="28"/>
        </w:rPr>
      </w:pPr>
      <w:r>
        <w:rPr>
          <w:rFonts w:hint="eastAsia"/>
          <w:bCs/>
          <w:color w:val="auto"/>
          <w:sz w:val="28"/>
          <w:szCs w:val="28"/>
        </w:rPr>
        <w:t>② 热电联产企业近零排放</w:t>
      </w:r>
    </w:p>
    <w:p>
      <w:pPr>
        <w:spacing w:line="360" w:lineRule="auto"/>
        <w:ind w:firstLine="560" w:firstLineChars="200"/>
        <w:rPr>
          <w:bCs/>
          <w:color w:val="auto"/>
          <w:sz w:val="28"/>
          <w:szCs w:val="28"/>
        </w:rPr>
      </w:pPr>
      <w:r>
        <w:rPr>
          <w:rFonts w:hint="eastAsia"/>
          <w:bCs/>
          <w:color w:val="auto"/>
          <w:sz w:val="28"/>
          <w:szCs w:val="28"/>
        </w:rPr>
        <w:t>热电联产企业在2045年左右要实现近零排放，即烟尘、二氧化硫、氮氧化物排放浓度分别不高于5毫克/立方米、35毫克/立方米、50毫克/立方米。</w:t>
      </w:r>
    </w:p>
    <w:p>
      <w:pPr>
        <w:spacing w:line="360" w:lineRule="auto"/>
        <w:ind w:firstLine="560" w:firstLineChars="200"/>
        <w:rPr>
          <w:bCs/>
          <w:color w:val="auto"/>
          <w:sz w:val="28"/>
          <w:szCs w:val="28"/>
        </w:rPr>
      </w:pPr>
      <w:r>
        <w:rPr>
          <w:rFonts w:hint="eastAsia"/>
          <w:bCs/>
          <w:color w:val="auto"/>
          <w:sz w:val="28"/>
          <w:szCs w:val="28"/>
        </w:rPr>
        <w:t>③ 提高清洁能源利用率</w:t>
      </w:r>
    </w:p>
    <w:p>
      <w:pPr>
        <w:spacing w:line="360" w:lineRule="auto"/>
        <w:ind w:firstLine="560" w:firstLineChars="200"/>
        <w:rPr>
          <w:bCs/>
          <w:color w:val="auto"/>
          <w:sz w:val="28"/>
          <w:szCs w:val="28"/>
        </w:rPr>
      </w:pPr>
      <w:r>
        <w:rPr>
          <w:rFonts w:hint="eastAsia"/>
          <w:bCs/>
          <w:color w:val="auto"/>
          <w:sz w:val="28"/>
          <w:szCs w:val="28"/>
        </w:rPr>
        <w:t>提高天然气供暖的利用率，未来热电联产企业不能继续扩容增加供热量的情况下，未来房地产开发可以采用天然气采暖。</w:t>
      </w:r>
    </w:p>
    <w:p>
      <w:pPr>
        <w:widowControl/>
        <w:spacing w:before="120" w:beforeLines="50" w:after="120" w:afterLines="50" w:line="360" w:lineRule="auto"/>
        <w:ind w:firstLine="560" w:firstLineChars="200"/>
        <w:jc w:val="left"/>
        <w:rPr>
          <w:rFonts w:ascii="宋体" w:hAnsi="宋体" w:cs="宋体"/>
          <w:color w:val="auto"/>
          <w:kern w:val="0"/>
          <w:sz w:val="28"/>
          <w:szCs w:val="28"/>
        </w:rPr>
      </w:pPr>
      <w:r>
        <w:rPr>
          <w:rFonts w:hint="eastAsia" w:ascii="宋体" w:hAnsi="宋体" w:cs="宋体"/>
          <w:color w:val="auto"/>
          <w:kern w:val="0"/>
          <w:sz w:val="28"/>
          <w:szCs w:val="28"/>
        </w:rPr>
        <w:t xml:space="preserve">④ </w:t>
      </w:r>
      <w:r>
        <w:rPr>
          <w:rFonts w:ascii="宋体" w:hAnsi="宋体" w:cs="宋体"/>
          <w:color w:val="auto"/>
          <w:kern w:val="0"/>
          <w:sz w:val="28"/>
          <w:szCs w:val="28"/>
        </w:rPr>
        <w:t>按国家设计规范要求，大力推广</w:t>
      </w:r>
      <w:r>
        <w:rPr>
          <w:rFonts w:hint="eastAsia" w:ascii="宋体" w:hAnsi="宋体" w:cs="宋体"/>
          <w:color w:val="auto"/>
          <w:kern w:val="0"/>
          <w:sz w:val="28"/>
          <w:szCs w:val="28"/>
        </w:rPr>
        <w:t>绿色</w:t>
      </w:r>
      <w:r>
        <w:rPr>
          <w:rFonts w:ascii="宋体" w:hAnsi="宋体" w:cs="宋体"/>
          <w:color w:val="auto"/>
          <w:kern w:val="0"/>
          <w:sz w:val="28"/>
          <w:szCs w:val="28"/>
        </w:rPr>
        <w:t>建筑，减小耗热量，降低供暖运行费用。加大现有建筑的节能改造。</w:t>
      </w:r>
    </w:p>
    <w:p>
      <w:pPr>
        <w:widowControl/>
        <w:spacing w:before="120" w:beforeLines="50" w:after="120" w:afterLines="50" w:line="360" w:lineRule="auto"/>
        <w:ind w:firstLine="560" w:firstLineChars="200"/>
        <w:jc w:val="left"/>
        <w:rPr>
          <w:rFonts w:ascii="宋体" w:hAnsi="宋体" w:cs="宋体"/>
          <w:color w:val="auto"/>
          <w:kern w:val="0"/>
          <w:sz w:val="28"/>
          <w:szCs w:val="28"/>
        </w:rPr>
      </w:pPr>
      <w:r>
        <w:rPr>
          <w:rFonts w:hint="eastAsia" w:ascii="宋体" w:hAnsi="宋体" w:cs="宋体"/>
          <w:color w:val="auto"/>
          <w:kern w:val="0"/>
          <w:sz w:val="28"/>
          <w:szCs w:val="28"/>
        </w:rPr>
        <w:t xml:space="preserve">⑤ </w:t>
      </w:r>
      <w:r>
        <w:rPr>
          <w:rFonts w:ascii="宋体" w:hAnsi="宋体" w:cs="宋体"/>
          <w:color w:val="auto"/>
          <w:kern w:val="0"/>
          <w:sz w:val="28"/>
          <w:szCs w:val="28"/>
        </w:rPr>
        <w:t>推广和应用新工艺、新技术、新材料和新设备，提高供热设施的现代化水平。</w:t>
      </w:r>
    </w:p>
    <w:p>
      <w:pPr>
        <w:rPr>
          <w:rFonts w:ascii="宋体" w:hAnsi="宋体" w:cs="宋体"/>
          <w:color w:val="auto"/>
          <w:kern w:val="0"/>
          <w:sz w:val="26"/>
          <w:szCs w:val="26"/>
        </w:rPr>
      </w:pPr>
      <w:r>
        <w:rPr>
          <w:rFonts w:ascii="宋体" w:hAnsi="宋体" w:cs="宋体"/>
          <w:color w:val="auto"/>
          <w:kern w:val="0"/>
          <w:sz w:val="26"/>
          <w:szCs w:val="26"/>
        </w:rPr>
        <w:br w:type="page"/>
      </w:r>
    </w:p>
    <w:p>
      <w:pPr>
        <w:spacing w:line="360" w:lineRule="auto"/>
        <w:jc w:val="center"/>
        <w:outlineLvl w:val="0"/>
        <w:rPr>
          <w:b/>
          <w:color w:val="auto"/>
          <w:sz w:val="30"/>
          <w:szCs w:val="32"/>
        </w:rPr>
      </w:pPr>
      <w:bookmarkStart w:id="277" w:name="_Toc487113147"/>
      <w:bookmarkStart w:id="278" w:name="_Toc3072"/>
      <w:r>
        <w:rPr>
          <w:b/>
          <w:color w:val="auto"/>
          <w:sz w:val="30"/>
          <w:szCs w:val="32"/>
        </w:rPr>
        <w:t>第</w:t>
      </w:r>
      <w:r>
        <w:rPr>
          <w:rFonts w:hint="eastAsia"/>
          <w:b/>
          <w:color w:val="auto"/>
          <w:sz w:val="30"/>
          <w:szCs w:val="32"/>
        </w:rPr>
        <w:t>八</w:t>
      </w:r>
      <w:r>
        <w:rPr>
          <w:b/>
          <w:color w:val="auto"/>
          <w:sz w:val="30"/>
          <w:szCs w:val="32"/>
        </w:rPr>
        <w:t xml:space="preserve">章 </w:t>
      </w:r>
      <w:r>
        <w:rPr>
          <w:rFonts w:hint="eastAsia"/>
          <w:b/>
          <w:color w:val="auto"/>
          <w:sz w:val="30"/>
          <w:szCs w:val="32"/>
        </w:rPr>
        <w:t>规划结论</w:t>
      </w:r>
      <w:bookmarkEnd w:id="277"/>
      <w:bookmarkEnd w:id="278"/>
    </w:p>
    <w:p>
      <w:pPr>
        <w:spacing w:line="360" w:lineRule="auto"/>
        <w:ind w:firstLine="560" w:firstLineChars="200"/>
        <w:rPr>
          <w:color w:val="auto"/>
          <w:sz w:val="28"/>
          <w:szCs w:val="28"/>
        </w:rPr>
      </w:pPr>
      <w:r>
        <w:rPr>
          <w:color w:val="auto"/>
          <w:sz w:val="28"/>
          <w:szCs w:val="28"/>
        </w:rPr>
        <w:t>根据《抚顺市国土空间总体规划（2021-2035）》</w:t>
      </w:r>
      <w:r>
        <w:rPr>
          <w:rFonts w:hint="eastAsia"/>
          <w:color w:val="auto"/>
          <w:sz w:val="28"/>
          <w:szCs w:val="28"/>
        </w:rPr>
        <w:t>（过程版）和《抚顺市中心城区热电发展规划》（2021-2035年）。</w:t>
      </w:r>
      <w:r>
        <w:rPr>
          <w:color w:val="auto"/>
          <w:sz w:val="28"/>
          <w:szCs w:val="28"/>
        </w:rPr>
        <w:t>结合抚顺市现有热负荷分布及热源情况，确定规划的总体思路是：以符合市场经济要求的新型供热管理体制</w:t>
      </w:r>
      <w:r>
        <w:rPr>
          <w:rFonts w:hint="eastAsia"/>
          <w:color w:val="auto"/>
          <w:sz w:val="28"/>
          <w:szCs w:val="28"/>
        </w:rPr>
        <w:t>，</w:t>
      </w:r>
      <w:r>
        <w:rPr>
          <w:color w:val="auto"/>
          <w:sz w:val="28"/>
          <w:szCs w:val="28"/>
        </w:rPr>
        <w:t>最终实现抚顺市</w:t>
      </w:r>
      <w:r>
        <w:rPr>
          <w:rFonts w:hint="eastAsia"/>
          <w:color w:val="auto"/>
          <w:sz w:val="28"/>
          <w:szCs w:val="28"/>
        </w:rPr>
        <w:t>城区以热电联产为主、工业余热及水源热泵等清洁能源为补充的供热格局。本期供热专项规划确定抚顺热电有限公司、辽宁东方发电有限公司、抚矿中机热电有限公司三大热电联产</w:t>
      </w:r>
      <w:r>
        <w:rPr>
          <w:color w:val="auto"/>
          <w:sz w:val="28"/>
          <w:szCs w:val="28"/>
        </w:rPr>
        <w:t>供热区域</w:t>
      </w:r>
      <w:r>
        <w:rPr>
          <w:rFonts w:hint="eastAsia"/>
          <w:color w:val="auto"/>
          <w:sz w:val="28"/>
          <w:szCs w:val="28"/>
        </w:rPr>
        <w:t>，确定抚顺新钢铁公司高炉冲渣水余热利用、抚矿页岩炼油厂和抚矿坑口油厂余热利用、</w:t>
      </w:r>
      <w:r>
        <w:rPr>
          <w:color w:val="auto"/>
          <w:sz w:val="28"/>
          <w:szCs w:val="28"/>
        </w:rPr>
        <w:t>抚顺中燃燃气炉</w:t>
      </w:r>
      <w:r>
        <w:rPr>
          <w:rFonts w:hint="eastAsia"/>
          <w:color w:val="auto"/>
          <w:sz w:val="28"/>
          <w:szCs w:val="28"/>
        </w:rPr>
        <w:t>为清洁能源，形成抚顺市总体供热体系。</w:t>
      </w:r>
    </w:p>
    <w:p>
      <w:pPr>
        <w:spacing w:line="360" w:lineRule="auto"/>
        <w:ind w:firstLine="560" w:firstLineChars="200"/>
        <w:rPr>
          <w:color w:val="auto"/>
          <w:sz w:val="28"/>
          <w:szCs w:val="28"/>
        </w:rPr>
      </w:pPr>
      <w:r>
        <w:rPr>
          <w:rFonts w:hint="eastAsia"/>
          <w:color w:val="auto"/>
          <w:sz w:val="28"/>
          <w:szCs w:val="28"/>
        </w:rPr>
        <w:t>本期规划的实施，将对抚顺市总体的经济发展和城市建设起到积极地推动作用。</w:t>
      </w:r>
    </w:p>
    <w:p>
      <w:pPr>
        <w:spacing w:line="360" w:lineRule="auto"/>
        <w:ind w:firstLine="560" w:firstLineChars="200"/>
        <w:rPr>
          <w:rFonts w:ascii="宋体" w:hAnsi="宋体"/>
          <w:color w:val="auto"/>
          <w:sz w:val="28"/>
          <w:szCs w:val="28"/>
        </w:rPr>
      </w:pPr>
    </w:p>
    <w:sectPr>
      <w:headerReference r:id="rId5" w:type="default"/>
      <w:footerReference r:id="rId6" w:type="default"/>
      <w:pgSz w:w="11913" w:h="16834"/>
      <w:pgMar w:top="1418" w:right="1418" w:bottom="1558" w:left="1701" w:header="851"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华文中宋">
    <w:altName w:val="汉仪中宋简"/>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Verdana">
    <w:altName w:val="Ubuntu"/>
    <w:panose1 w:val="020B0604030504040204"/>
    <w:charset w:val="00"/>
    <w:family w:val="swiss"/>
    <w:pitch w:val="default"/>
    <w:sig w:usb0="00000000" w:usb1="00000000" w:usb2="00000010"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Arial">
    <w:altName w:val="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0"/>
      </w:rPr>
    </w:pPr>
    <w:r>
      <w:fldChar w:fldCharType="begin"/>
    </w:r>
    <w:r>
      <w:rPr>
        <w:rStyle w:val="40"/>
      </w:rPr>
      <w:instrText xml:space="preserve">PAGE  </w:instrText>
    </w:r>
    <w:r>
      <w:fldChar w:fldCharType="separate"/>
    </w:r>
    <w:r>
      <w:rPr>
        <w:rStyle w:val="40"/>
      </w:rPr>
      <w:t>25</w:t>
    </w:r>
    <w:r>
      <w:fldChar w:fldCharType="end"/>
    </w:r>
  </w:p>
  <w:p>
    <w:pPr>
      <w:pStyle w:val="2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ind w:firstLine="316" w:firstLineChars="150"/>
      <w:rPr>
        <w:rFonts w:ascii="楷体_GB2312" w:eastAsia="楷体_GB2312"/>
        <w:b/>
        <w:sz w:val="21"/>
        <w:szCs w:val="21"/>
      </w:rPr>
    </w:pPr>
    <w:r>
      <w:rPr>
        <w:rFonts w:hint="eastAsia" w:ascii="楷体_GB2312" w:eastAsia="楷体_GB2312"/>
        <w:b/>
        <w:sz w:val="21"/>
        <w:szCs w:val="21"/>
      </w:rPr>
      <w:t xml:space="preserve">辽宁城建设计院有限公司                              </w:t>
    </w:r>
    <w:r>
      <w:rPr>
        <w:rFonts w:ascii="楷体_GB2312" w:eastAsia="楷体_GB2312"/>
        <w:b/>
        <w:sz w:val="21"/>
        <w:szCs w:val="21"/>
      </w:rPr>
      <w:t xml:space="preserve">    </w:t>
    </w:r>
    <w:r>
      <w:rPr>
        <w:rFonts w:hint="eastAsia" w:ascii="楷体_GB2312" w:eastAsia="楷体_GB2312"/>
        <w:b/>
        <w:sz w:val="21"/>
        <w:szCs w:val="21"/>
      </w:rPr>
      <w:t xml:space="preserve">                     </w:t>
    </w:r>
    <w:r>
      <w:rPr>
        <w:rStyle w:val="40"/>
        <w:rFonts w:hint="eastAsia" w:ascii="楷体_GB2312" w:eastAsia="楷体_GB2312"/>
        <w:b/>
        <w:sz w:val="21"/>
        <w:szCs w:val="21"/>
      </w:rPr>
      <w:fldChar w:fldCharType="begin"/>
    </w:r>
    <w:r>
      <w:rPr>
        <w:rStyle w:val="40"/>
        <w:rFonts w:hint="eastAsia" w:ascii="楷体_GB2312" w:eastAsia="楷体_GB2312"/>
        <w:b/>
        <w:sz w:val="21"/>
        <w:szCs w:val="21"/>
      </w:rPr>
      <w:instrText xml:space="preserve"> PAGE </w:instrText>
    </w:r>
    <w:r>
      <w:rPr>
        <w:rStyle w:val="40"/>
        <w:rFonts w:hint="eastAsia" w:ascii="楷体_GB2312" w:eastAsia="楷体_GB2312"/>
        <w:b/>
        <w:sz w:val="21"/>
        <w:szCs w:val="21"/>
      </w:rPr>
      <w:fldChar w:fldCharType="separate"/>
    </w:r>
    <w:r>
      <w:rPr>
        <w:rStyle w:val="40"/>
        <w:rFonts w:ascii="楷体_GB2312" w:eastAsia="楷体_GB2312"/>
        <w:b/>
        <w:sz w:val="21"/>
        <w:szCs w:val="21"/>
      </w:rPr>
      <w:t>11</w:t>
    </w:r>
    <w:r>
      <w:rPr>
        <w:rStyle w:val="40"/>
        <w:rFonts w:hint="eastAsia" w:ascii="楷体_GB2312" w:eastAsia="楷体_GB2312"/>
        <w:b/>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jc w:val="both"/>
      <w:rPr>
        <w:rFonts w:ascii="楷体_GB2312" w:eastAsia="楷体_GB2312"/>
        <w:sz w:val="21"/>
        <w:szCs w:val="21"/>
      </w:rPr>
    </w:pPr>
    <w:r>
      <w:rPr>
        <w:rFonts w:hint="eastAsia" w:ascii="楷体_GB2312" w:eastAsia="楷体_GB2312"/>
        <w:b/>
        <w:color w:val="000000"/>
        <w:spacing w:val="20"/>
        <w:sz w:val="21"/>
        <w:szCs w:val="21"/>
      </w:rPr>
      <w:t>抚顺市城市供热专项规划（202</w:t>
    </w:r>
    <w:r>
      <w:rPr>
        <w:rFonts w:hint="eastAsia" w:ascii="楷体_GB2312" w:eastAsia="楷体_GB2312"/>
        <w:b/>
        <w:color w:val="000000"/>
        <w:spacing w:val="20"/>
        <w:sz w:val="21"/>
        <w:szCs w:val="21"/>
        <w:lang w:val="en-US" w:eastAsia="zh-CN"/>
      </w:rPr>
      <w:t>1</w:t>
    </w:r>
    <w:r>
      <w:rPr>
        <w:rFonts w:hint="eastAsia" w:ascii="楷体_GB2312" w:eastAsia="楷体_GB2312"/>
        <w:b/>
        <w:color w:val="000000"/>
        <w:spacing w:val="20"/>
        <w:sz w:val="21"/>
        <w:szCs w:val="21"/>
      </w:rPr>
      <w:t>-203</w:t>
    </w:r>
    <w:r>
      <w:rPr>
        <w:rFonts w:hint="eastAsia" w:ascii="楷体_GB2312" w:eastAsia="楷体_GB2312"/>
        <w:b/>
        <w:color w:val="000000"/>
        <w:spacing w:val="20"/>
        <w:sz w:val="21"/>
        <w:szCs w:val="21"/>
        <w:lang w:val="en-US" w:eastAsia="zh-CN"/>
      </w:rPr>
      <w:t>5</w:t>
    </w:r>
    <w:r>
      <w:rPr>
        <w:rFonts w:hint="eastAsia" w:ascii="楷体_GB2312" w:eastAsia="楷体_GB2312"/>
        <w:b/>
        <w:color w:val="000000"/>
        <w:spacing w:val="20"/>
        <w:sz w:val="21"/>
        <w:szCs w:val="21"/>
      </w:rPr>
      <w:t>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90CEB1"/>
    <w:multiLevelType w:val="singleLevel"/>
    <w:tmpl w:val="3C90CEB1"/>
    <w:lvl w:ilvl="0" w:tentative="0">
      <w:start w:val="2"/>
      <w:numFmt w:val="chineseCounting"/>
      <w:suff w:val="nothing"/>
      <w:lvlText w:val="%1、"/>
      <w:lvlJc w:val="left"/>
      <w:rPr>
        <w:rFonts w:hint="eastAsia"/>
      </w:rPr>
    </w:lvl>
  </w:abstractNum>
  <w:abstractNum w:abstractNumId="1">
    <w:nsid w:val="61D74E5E"/>
    <w:multiLevelType w:val="multilevel"/>
    <w:tmpl w:val="61D74E5E"/>
    <w:lvl w:ilvl="0" w:tentative="0">
      <w:start w:val="1"/>
      <w:numFmt w:val="decimal"/>
      <w:lvlText w:val="第%1章"/>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pStyle w:val="56"/>
      <w:lvlText w:val="第 %3 条"/>
      <w:lvlJc w:val="left"/>
      <w:pPr>
        <w:ind w:left="720" w:hanging="720"/>
      </w:pPr>
      <w:rPr>
        <w:rFonts w:hint="eastAsia"/>
        <w:sz w:val="30"/>
        <w:szCs w:val="30"/>
      </w:rPr>
    </w:lvl>
    <w:lvl w:ilvl="3" w:tentative="0">
      <w:start w:val="1"/>
      <w:numFmt w:val="decimal"/>
      <w:lvlText w:val="%1.%2.%3.%4"/>
      <w:lvlJc w:val="left"/>
      <w:pPr>
        <w:ind w:left="3842"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68BE1548"/>
    <w:multiLevelType w:val="multilevel"/>
    <w:tmpl w:val="68BE1548"/>
    <w:lvl w:ilvl="0" w:tentative="0">
      <w:start w:val="1"/>
      <w:numFmt w:val="japaneseCounting"/>
      <w:lvlText w:val="第%1章"/>
      <w:lvlJc w:val="left"/>
      <w:pPr>
        <w:ind w:left="1245" w:hanging="12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true"/>
  <w:bordersDoNotSurroundFooter w:val="tru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1MDkyMmQxNTgwZjU1MTM1YzRhOWI1NmFiYTM1MTAifQ=="/>
  </w:docVars>
  <w:rsids>
    <w:rsidRoot w:val="00172A27"/>
    <w:rsid w:val="00000574"/>
    <w:rsid w:val="000006B7"/>
    <w:rsid w:val="000020C3"/>
    <w:rsid w:val="000052E3"/>
    <w:rsid w:val="00005DD0"/>
    <w:rsid w:val="00006773"/>
    <w:rsid w:val="00011C4B"/>
    <w:rsid w:val="00011D6E"/>
    <w:rsid w:val="00012785"/>
    <w:rsid w:val="00013358"/>
    <w:rsid w:val="00017622"/>
    <w:rsid w:val="00024006"/>
    <w:rsid w:val="000243AE"/>
    <w:rsid w:val="00024D18"/>
    <w:rsid w:val="00025FA1"/>
    <w:rsid w:val="00026B9D"/>
    <w:rsid w:val="00027148"/>
    <w:rsid w:val="00030956"/>
    <w:rsid w:val="00030A1B"/>
    <w:rsid w:val="00031993"/>
    <w:rsid w:val="00031ACF"/>
    <w:rsid w:val="00034BE1"/>
    <w:rsid w:val="0003647D"/>
    <w:rsid w:val="00037364"/>
    <w:rsid w:val="00040416"/>
    <w:rsid w:val="00042E34"/>
    <w:rsid w:val="00047483"/>
    <w:rsid w:val="00050B6F"/>
    <w:rsid w:val="00050D49"/>
    <w:rsid w:val="00050E93"/>
    <w:rsid w:val="00051CAB"/>
    <w:rsid w:val="0005280C"/>
    <w:rsid w:val="000531E0"/>
    <w:rsid w:val="00053C2B"/>
    <w:rsid w:val="0005627D"/>
    <w:rsid w:val="000571E9"/>
    <w:rsid w:val="00062C45"/>
    <w:rsid w:val="00066566"/>
    <w:rsid w:val="00073D3C"/>
    <w:rsid w:val="000756FB"/>
    <w:rsid w:val="0007578D"/>
    <w:rsid w:val="000758EF"/>
    <w:rsid w:val="000765A6"/>
    <w:rsid w:val="0007674F"/>
    <w:rsid w:val="0007741F"/>
    <w:rsid w:val="00081491"/>
    <w:rsid w:val="000827DD"/>
    <w:rsid w:val="00083007"/>
    <w:rsid w:val="000879BC"/>
    <w:rsid w:val="0009114E"/>
    <w:rsid w:val="00093714"/>
    <w:rsid w:val="00093B88"/>
    <w:rsid w:val="000959AD"/>
    <w:rsid w:val="00096C8A"/>
    <w:rsid w:val="000A06F5"/>
    <w:rsid w:val="000A3B47"/>
    <w:rsid w:val="000A466E"/>
    <w:rsid w:val="000A5A43"/>
    <w:rsid w:val="000A6319"/>
    <w:rsid w:val="000B007C"/>
    <w:rsid w:val="000B0144"/>
    <w:rsid w:val="000B1612"/>
    <w:rsid w:val="000B168A"/>
    <w:rsid w:val="000B2008"/>
    <w:rsid w:val="000B2F37"/>
    <w:rsid w:val="000B42C3"/>
    <w:rsid w:val="000B5D87"/>
    <w:rsid w:val="000C186B"/>
    <w:rsid w:val="000C243E"/>
    <w:rsid w:val="000C260E"/>
    <w:rsid w:val="000C445A"/>
    <w:rsid w:val="000C475F"/>
    <w:rsid w:val="000C5032"/>
    <w:rsid w:val="000D119E"/>
    <w:rsid w:val="000D4A8B"/>
    <w:rsid w:val="000D76C9"/>
    <w:rsid w:val="000D7759"/>
    <w:rsid w:val="000E076A"/>
    <w:rsid w:val="000E0DF5"/>
    <w:rsid w:val="000E197A"/>
    <w:rsid w:val="000E19F4"/>
    <w:rsid w:val="000E2D6C"/>
    <w:rsid w:val="000E2DB2"/>
    <w:rsid w:val="000E2E84"/>
    <w:rsid w:val="000E6641"/>
    <w:rsid w:val="000E6DCC"/>
    <w:rsid w:val="000E7B47"/>
    <w:rsid w:val="000F04D3"/>
    <w:rsid w:val="000F267E"/>
    <w:rsid w:val="000F2BEA"/>
    <w:rsid w:val="000F3874"/>
    <w:rsid w:val="000F6476"/>
    <w:rsid w:val="001001D1"/>
    <w:rsid w:val="00101389"/>
    <w:rsid w:val="00101BED"/>
    <w:rsid w:val="00101C19"/>
    <w:rsid w:val="00102B2D"/>
    <w:rsid w:val="00103EF8"/>
    <w:rsid w:val="00104147"/>
    <w:rsid w:val="0010421C"/>
    <w:rsid w:val="00105C98"/>
    <w:rsid w:val="00106143"/>
    <w:rsid w:val="00111648"/>
    <w:rsid w:val="0011679D"/>
    <w:rsid w:val="00120B97"/>
    <w:rsid w:val="0012249C"/>
    <w:rsid w:val="0012307D"/>
    <w:rsid w:val="001248C4"/>
    <w:rsid w:val="00126A06"/>
    <w:rsid w:val="00130E07"/>
    <w:rsid w:val="001319B4"/>
    <w:rsid w:val="0013213A"/>
    <w:rsid w:val="00134884"/>
    <w:rsid w:val="00135FB9"/>
    <w:rsid w:val="0013681E"/>
    <w:rsid w:val="00140064"/>
    <w:rsid w:val="00140EEA"/>
    <w:rsid w:val="0014131A"/>
    <w:rsid w:val="00143770"/>
    <w:rsid w:val="001466CE"/>
    <w:rsid w:val="0014682F"/>
    <w:rsid w:val="001470C7"/>
    <w:rsid w:val="001475E1"/>
    <w:rsid w:val="001503A0"/>
    <w:rsid w:val="001528BC"/>
    <w:rsid w:val="00152D6A"/>
    <w:rsid w:val="001536DB"/>
    <w:rsid w:val="00155418"/>
    <w:rsid w:val="00156CF3"/>
    <w:rsid w:val="00157310"/>
    <w:rsid w:val="00160C9A"/>
    <w:rsid w:val="0016136F"/>
    <w:rsid w:val="00161A4D"/>
    <w:rsid w:val="00162D89"/>
    <w:rsid w:val="00164452"/>
    <w:rsid w:val="00166853"/>
    <w:rsid w:val="001703C4"/>
    <w:rsid w:val="00170D40"/>
    <w:rsid w:val="0017155A"/>
    <w:rsid w:val="001715BA"/>
    <w:rsid w:val="00172A27"/>
    <w:rsid w:val="00172F3B"/>
    <w:rsid w:val="001735B5"/>
    <w:rsid w:val="00181D37"/>
    <w:rsid w:val="00182B77"/>
    <w:rsid w:val="00183633"/>
    <w:rsid w:val="001840BB"/>
    <w:rsid w:val="001865AF"/>
    <w:rsid w:val="00186A32"/>
    <w:rsid w:val="00186DE9"/>
    <w:rsid w:val="001877DF"/>
    <w:rsid w:val="00190C64"/>
    <w:rsid w:val="001914A9"/>
    <w:rsid w:val="00195342"/>
    <w:rsid w:val="00196FBF"/>
    <w:rsid w:val="001A6938"/>
    <w:rsid w:val="001A7319"/>
    <w:rsid w:val="001A7EA7"/>
    <w:rsid w:val="001B2B1B"/>
    <w:rsid w:val="001B2CBC"/>
    <w:rsid w:val="001B4C10"/>
    <w:rsid w:val="001B75A0"/>
    <w:rsid w:val="001C094D"/>
    <w:rsid w:val="001C2507"/>
    <w:rsid w:val="001C3BD1"/>
    <w:rsid w:val="001C4C94"/>
    <w:rsid w:val="001C6A72"/>
    <w:rsid w:val="001D047A"/>
    <w:rsid w:val="001D13F2"/>
    <w:rsid w:val="001D34F8"/>
    <w:rsid w:val="001E1357"/>
    <w:rsid w:val="001E15C6"/>
    <w:rsid w:val="001E15FF"/>
    <w:rsid w:val="001E2B50"/>
    <w:rsid w:val="001E3809"/>
    <w:rsid w:val="001E4442"/>
    <w:rsid w:val="001E5138"/>
    <w:rsid w:val="001E5CA5"/>
    <w:rsid w:val="001E5F70"/>
    <w:rsid w:val="001E6B8E"/>
    <w:rsid w:val="001E7899"/>
    <w:rsid w:val="001E79E3"/>
    <w:rsid w:val="001F0318"/>
    <w:rsid w:val="001F130A"/>
    <w:rsid w:val="001F2158"/>
    <w:rsid w:val="001F260A"/>
    <w:rsid w:val="001F5A54"/>
    <w:rsid w:val="001F6630"/>
    <w:rsid w:val="0020313D"/>
    <w:rsid w:val="002035C1"/>
    <w:rsid w:val="00204CC1"/>
    <w:rsid w:val="00205263"/>
    <w:rsid w:val="002066C2"/>
    <w:rsid w:val="00210598"/>
    <w:rsid w:val="00211C7A"/>
    <w:rsid w:val="002123EB"/>
    <w:rsid w:val="002125A7"/>
    <w:rsid w:val="00212888"/>
    <w:rsid w:val="00213010"/>
    <w:rsid w:val="0021358A"/>
    <w:rsid w:val="00214FEA"/>
    <w:rsid w:val="0021784C"/>
    <w:rsid w:val="0021788D"/>
    <w:rsid w:val="0022215B"/>
    <w:rsid w:val="00222DD4"/>
    <w:rsid w:val="00223ABA"/>
    <w:rsid w:val="00224259"/>
    <w:rsid w:val="00227544"/>
    <w:rsid w:val="00227791"/>
    <w:rsid w:val="0022794F"/>
    <w:rsid w:val="00232D89"/>
    <w:rsid w:val="002347E9"/>
    <w:rsid w:val="00237423"/>
    <w:rsid w:val="002429E3"/>
    <w:rsid w:val="00243F1F"/>
    <w:rsid w:val="00246645"/>
    <w:rsid w:val="0025099F"/>
    <w:rsid w:val="00251460"/>
    <w:rsid w:val="00252601"/>
    <w:rsid w:val="002533B5"/>
    <w:rsid w:val="002543F3"/>
    <w:rsid w:val="00254893"/>
    <w:rsid w:val="00260731"/>
    <w:rsid w:val="00263504"/>
    <w:rsid w:val="00263869"/>
    <w:rsid w:val="00264148"/>
    <w:rsid w:val="002644AD"/>
    <w:rsid w:val="00265B6E"/>
    <w:rsid w:val="00266618"/>
    <w:rsid w:val="00270540"/>
    <w:rsid w:val="002706B4"/>
    <w:rsid w:val="00273F70"/>
    <w:rsid w:val="00274691"/>
    <w:rsid w:val="00274D0F"/>
    <w:rsid w:val="00275334"/>
    <w:rsid w:val="00276C3C"/>
    <w:rsid w:val="00276CBA"/>
    <w:rsid w:val="00283587"/>
    <w:rsid w:val="00283BA5"/>
    <w:rsid w:val="00283BFD"/>
    <w:rsid w:val="00284E4A"/>
    <w:rsid w:val="00285906"/>
    <w:rsid w:val="00286310"/>
    <w:rsid w:val="002870ED"/>
    <w:rsid w:val="00292699"/>
    <w:rsid w:val="00296C82"/>
    <w:rsid w:val="002971D8"/>
    <w:rsid w:val="00297B46"/>
    <w:rsid w:val="002A0E2C"/>
    <w:rsid w:val="002A1958"/>
    <w:rsid w:val="002A320B"/>
    <w:rsid w:val="002A3D0F"/>
    <w:rsid w:val="002A5CA7"/>
    <w:rsid w:val="002A687C"/>
    <w:rsid w:val="002A7017"/>
    <w:rsid w:val="002B0191"/>
    <w:rsid w:val="002B38D3"/>
    <w:rsid w:val="002B45F0"/>
    <w:rsid w:val="002B4A51"/>
    <w:rsid w:val="002B77C5"/>
    <w:rsid w:val="002C0A1A"/>
    <w:rsid w:val="002C4A45"/>
    <w:rsid w:val="002C6675"/>
    <w:rsid w:val="002C6BBF"/>
    <w:rsid w:val="002C7C3D"/>
    <w:rsid w:val="002D0F30"/>
    <w:rsid w:val="002D538C"/>
    <w:rsid w:val="002D7EDB"/>
    <w:rsid w:val="002E23CB"/>
    <w:rsid w:val="002E2B1B"/>
    <w:rsid w:val="002E3746"/>
    <w:rsid w:val="002E4E40"/>
    <w:rsid w:val="002E70C0"/>
    <w:rsid w:val="002E70E2"/>
    <w:rsid w:val="002E77B6"/>
    <w:rsid w:val="002F1D28"/>
    <w:rsid w:val="002F27BE"/>
    <w:rsid w:val="002F49FB"/>
    <w:rsid w:val="002F4B11"/>
    <w:rsid w:val="002F5228"/>
    <w:rsid w:val="002F5C6E"/>
    <w:rsid w:val="002F6700"/>
    <w:rsid w:val="002F7290"/>
    <w:rsid w:val="00301702"/>
    <w:rsid w:val="0030218E"/>
    <w:rsid w:val="003041AB"/>
    <w:rsid w:val="00310358"/>
    <w:rsid w:val="00312A8C"/>
    <w:rsid w:val="00312DC0"/>
    <w:rsid w:val="00316D97"/>
    <w:rsid w:val="00317420"/>
    <w:rsid w:val="003174F1"/>
    <w:rsid w:val="00320FB3"/>
    <w:rsid w:val="00321157"/>
    <w:rsid w:val="003224F3"/>
    <w:rsid w:val="003225A0"/>
    <w:rsid w:val="00323EF1"/>
    <w:rsid w:val="003310BF"/>
    <w:rsid w:val="00331173"/>
    <w:rsid w:val="00331B77"/>
    <w:rsid w:val="003335AF"/>
    <w:rsid w:val="00333ACC"/>
    <w:rsid w:val="003347ED"/>
    <w:rsid w:val="00336415"/>
    <w:rsid w:val="00337C23"/>
    <w:rsid w:val="00346A41"/>
    <w:rsid w:val="00347153"/>
    <w:rsid w:val="00352940"/>
    <w:rsid w:val="003530C1"/>
    <w:rsid w:val="003531AD"/>
    <w:rsid w:val="003545C5"/>
    <w:rsid w:val="0035526C"/>
    <w:rsid w:val="0035569A"/>
    <w:rsid w:val="00356117"/>
    <w:rsid w:val="00356669"/>
    <w:rsid w:val="00356D96"/>
    <w:rsid w:val="003604C2"/>
    <w:rsid w:val="00361C7E"/>
    <w:rsid w:val="00364D6C"/>
    <w:rsid w:val="0036595E"/>
    <w:rsid w:val="00366EDF"/>
    <w:rsid w:val="0037047D"/>
    <w:rsid w:val="00370A1D"/>
    <w:rsid w:val="003712B1"/>
    <w:rsid w:val="00372074"/>
    <w:rsid w:val="00372B34"/>
    <w:rsid w:val="003741CF"/>
    <w:rsid w:val="00375E75"/>
    <w:rsid w:val="003800D4"/>
    <w:rsid w:val="0038078E"/>
    <w:rsid w:val="00381320"/>
    <w:rsid w:val="00382151"/>
    <w:rsid w:val="0038500A"/>
    <w:rsid w:val="00386B00"/>
    <w:rsid w:val="003901CA"/>
    <w:rsid w:val="00390440"/>
    <w:rsid w:val="003911B6"/>
    <w:rsid w:val="00391256"/>
    <w:rsid w:val="00393CCE"/>
    <w:rsid w:val="00394167"/>
    <w:rsid w:val="00396372"/>
    <w:rsid w:val="0039785A"/>
    <w:rsid w:val="003A0F6E"/>
    <w:rsid w:val="003A6B4F"/>
    <w:rsid w:val="003A7DF8"/>
    <w:rsid w:val="003B0004"/>
    <w:rsid w:val="003B4806"/>
    <w:rsid w:val="003B66E6"/>
    <w:rsid w:val="003B7E16"/>
    <w:rsid w:val="003C0902"/>
    <w:rsid w:val="003C1D96"/>
    <w:rsid w:val="003C5E5D"/>
    <w:rsid w:val="003C629F"/>
    <w:rsid w:val="003C6A1A"/>
    <w:rsid w:val="003C7146"/>
    <w:rsid w:val="003C7733"/>
    <w:rsid w:val="003D2088"/>
    <w:rsid w:val="003D27F0"/>
    <w:rsid w:val="003D3738"/>
    <w:rsid w:val="003D3A1B"/>
    <w:rsid w:val="003D47CE"/>
    <w:rsid w:val="003D535A"/>
    <w:rsid w:val="003D5410"/>
    <w:rsid w:val="003D5917"/>
    <w:rsid w:val="003D6117"/>
    <w:rsid w:val="003D64B0"/>
    <w:rsid w:val="003D69D4"/>
    <w:rsid w:val="003D7364"/>
    <w:rsid w:val="003E0F8D"/>
    <w:rsid w:val="003E3753"/>
    <w:rsid w:val="003E5177"/>
    <w:rsid w:val="003E58DE"/>
    <w:rsid w:val="003E620B"/>
    <w:rsid w:val="003F1AC5"/>
    <w:rsid w:val="003F2011"/>
    <w:rsid w:val="003F23B6"/>
    <w:rsid w:val="003F2F3F"/>
    <w:rsid w:val="003F3BA6"/>
    <w:rsid w:val="003F6AB1"/>
    <w:rsid w:val="003F756A"/>
    <w:rsid w:val="003F7D8C"/>
    <w:rsid w:val="004008C2"/>
    <w:rsid w:val="004012AF"/>
    <w:rsid w:val="00402A3D"/>
    <w:rsid w:val="00402B1B"/>
    <w:rsid w:val="00402BD1"/>
    <w:rsid w:val="004039EC"/>
    <w:rsid w:val="00404502"/>
    <w:rsid w:val="00405639"/>
    <w:rsid w:val="00405CFB"/>
    <w:rsid w:val="00406AF8"/>
    <w:rsid w:val="004072F6"/>
    <w:rsid w:val="004138FB"/>
    <w:rsid w:val="0041495C"/>
    <w:rsid w:val="00415CBE"/>
    <w:rsid w:val="004162E7"/>
    <w:rsid w:val="0041675C"/>
    <w:rsid w:val="004203B2"/>
    <w:rsid w:val="004244A5"/>
    <w:rsid w:val="00426D28"/>
    <w:rsid w:val="00427434"/>
    <w:rsid w:val="00427D3C"/>
    <w:rsid w:val="004315E1"/>
    <w:rsid w:val="00432284"/>
    <w:rsid w:val="00435F80"/>
    <w:rsid w:val="00441765"/>
    <w:rsid w:val="00443ED0"/>
    <w:rsid w:val="00445722"/>
    <w:rsid w:val="00445E7A"/>
    <w:rsid w:val="0044618A"/>
    <w:rsid w:val="00446D2F"/>
    <w:rsid w:val="00451A84"/>
    <w:rsid w:val="00452769"/>
    <w:rsid w:val="004527FC"/>
    <w:rsid w:val="00453A5E"/>
    <w:rsid w:val="00453C06"/>
    <w:rsid w:val="00453F8F"/>
    <w:rsid w:val="00454A23"/>
    <w:rsid w:val="0045585D"/>
    <w:rsid w:val="00455A54"/>
    <w:rsid w:val="00455B3B"/>
    <w:rsid w:val="00456516"/>
    <w:rsid w:val="00460DB0"/>
    <w:rsid w:val="00462581"/>
    <w:rsid w:val="00462731"/>
    <w:rsid w:val="00462BCB"/>
    <w:rsid w:val="00463A2E"/>
    <w:rsid w:val="00463B0B"/>
    <w:rsid w:val="00466EEA"/>
    <w:rsid w:val="00470B8A"/>
    <w:rsid w:val="0047157A"/>
    <w:rsid w:val="00471767"/>
    <w:rsid w:val="00472EF5"/>
    <w:rsid w:val="004734F6"/>
    <w:rsid w:val="0047399D"/>
    <w:rsid w:val="004739A1"/>
    <w:rsid w:val="004739D7"/>
    <w:rsid w:val="00477F02"/>
    <w:rsid w:val="00480AEE"/>
    <w:rsid w:val="00482080"/>
    <w:rsid w:val="00482A7C"/>
    <w:rsid w:val="00482E5D"/>
    <w:rsid w:val="004830CC"/>
    <w:rsid w:val="00485609"/>
    <w:rsid w:val="004869B6"/>
    <w:rsid w:val="0048792A"/>
    <w:rsid w:val="004947E7"/>
    <w:rsid w:val="00495A60"/>
    <w:rsid w:val="00497C38"/>
    <w:rsid w:val="004A22B1"/>
    <w:rsid w:val="004A320A"/>
    <w:rsid w:val="004A3466"/>
    <w:rsid w:val="004A4EE4"/>
    <w:rsid w:val="004A59E4"/>
    <w:rsid w:val="004A6E45"/>
    <w:rsid w:val="004B09B8"/>
    <w:rsid w:val="004B3631"/>
    <w:rsid w:val="004B4390"/>
    <w:rsid w:val="004B72C0"/>
    <w:rsid w:val="004C0C2A"/>
    <w:rsid w:val="004C1E52"/>
    <w:rsid w:val="004C2DB4"/>
    <w:rsid w:val="004C6607"/>
    <w:rsid w:val="004C7343"/>
    <w:rsid w:val="004C774E"/>
    <w:rsid w:val="004D01CD"/>
    <w:rsid w:val="004D1209"/>
    <w:rsid w:val="004D1E8F"/>
    <w:rsid w:val="004D3BE5"/>
    <w:rsid w:val="004D4577"/>
    <w:rsid w:val="004D7B21"/>
    <w:rsid w:val="004E17C0"/>
    <w:rsid w:val="004E3311"/>
    <w:rsid w:val="004E3A8B"/>
    <w:rsid w:val="004E4C82"/>
    <w:rsid w:val="004F12AA"/>
    <w:rsid w:val="004F2331"/>
    <w:rsid w:val="004F2D13"/>
    <w:rsid w:val="004F43C5"/>
    <w:rsid w:val="004F4AA6"/>
    <w:rsid w:val="004F7362"/>
    <w:rsid w:val="005021B6"/>
    <w:rsid w:val="00502D16"/>
    <w:rsid w:val="00506017"/>
    <w:rsid w:val="005064BC"/>
    <w:rsid w:val="005067EF"/>
    <w:rsid w:val="0051061F"/>
    <w:rsid w:val="005106FE"/>
    <w:rsid w:val="00512954"/>
    <w:rsid w:val="005131E2"/>
    <w:rsid w:val="00513647"/>
    <w:rsid w:val="005144DC"/>
    <w:rsid w:val="00516BE8"/>
    <w:rsid w:val="0051755E"/>
    <w:rsid w:val="00521C81"/>
    <w:rsid w:val="00523293"/>
    <w:rsid w:val="00525A8A"/>
    <w:rsid w:val="00527EF2"/>
    <w:rsid w:val="0053007D"/>
    <w:rsid w:val="005300FA"/>
    <w:rsid w:val="00530222"/>
    <w:rsid w:val="0053026A"/>
    <w:rsid w:val="00530823"/>
    <w:rsid w:val="00531277"/>
    <w:rsid w:val="0053354C"/>
    <w:rsid w:val="00535F5E"/>
    <w:rsid w:val="005370D7"/>
    <w:rsid w:val="005373AC"/>
    <w:rsid w:val="00537D89"/>
    <w:rsid w:val="00540620"/>
    <w:rsid w:val="005407B5"/>
    <w:rsid w:val="005413C9"/>
    <w:rsid w:val="00541A16"/>
    <w:rsid w:val="005431D7"/>
    <w:rsid w:val="00544BBA"/>
    <w:rsid w:val="00545854"/>
    <w:rsid w:val="00547A02"/>
    <w:rsid w:val="00547A0A"/>
    <w:rsid w:val="00550DC7"/>
    <w:rsid w:val="005510DE"/>
    <w:rsid w:val="00551D24"/>
    <w:rsid w:val="00554FAA"/>
    <w:rsid w:val="00555695"/>
    <w:rsid w:val="00556674"/>
    <w:rsid w:val="0056502F"/>
    <w:rsid w:val="00565FD7"/>
    <w:rsid w:val="0057215C"/>
    <w:rsid w:val="0057339C"/>
    <w:rsid w:val="00575245"/>
    <w:rsid w:val="00576075"/>
    <w:rsid w:val="00577D0A"/>
    <w:rsid w:val="00580A7D"/>
    <w:rsid w:val="00580C4F"/>
    <w:rsid w:val="005812C6"/>
    <w:rsid w:val="00583F5C"/>
    <w:rsid w:val="0058425A"/>
    <w:rsid w:val="00586308"/>
    <w:rsid w:val="00586998"/>
    <w:rsid w:val="00587033"/>
    <w:rsid w:val="005878BF"/>
    <w:rsid w:val="00590936"/>
    <w:rsid w:val="0059126A"/>
    <w:rsid w:val="0059235B"/>
    <w:rsid w:val="00593EA5"/>
    <w:rsid w:val="0059430A"/>
    <w:rsid w:val="00597BA9"/>
    <w:rsid w:val="005A0D90"/>
    <w:rsid w:val="005A0F33"/>
    <w:rsid w:val="005A2F17"/>
    <w:rsid w:val="005A35D1"/>
    <w:rsid w:val="005A3AAF"/>
    <w:rsid w:val="005A67E7"/>
    <w:rsid w:val="005A73FF"/>
    <w:rsid w:val="005B0655"/>
    <w:rsid w:val="005B1FD3"/>
    <w:rsid w:val="005B437B"/>
    <w:rsid w:val="005B525D"/>
    <w:rsid w:val="005B53CC"/>
    <w:rsid w:val="005B56CD"/>
    <w:rsid w:val="005C27E0"/>
    <w:rsid w:val="005C3152"/>
    <w:rsid w:val="005C335F"/>
    <w:rsid w:val="005D12E7"/>
    <w:rsid w:val="005D1D28"/>
    <w:rsid w:val="005D217D"/>
    <w:rsid w:val="005D2FB3"/>
    <w:rsid w:val="005D72B7"/>
    <w:rsid w:val="005D7A90"/>
    <w:rsid w:val="005E01D3"/>
    <w:rsid w:val="005E0828"/>
    <w:rsid w:val="005E0C95"/>
    <w:rsid w:val="005E10EF"/>
    <w:rsid w:val="005E1787"/>
    <w:rsid w:val="005E186F"/>
    <w:rsid w:val="005E1F0B"/>
    <w:rsid w:val="005E41BE"/>
    <w:rsid w:val="005E536F"/>
    <w:rsid w:val="005E6A8E"/>
    <w:rsid w:val="005E7320"/>
    <w:rsid w:val="005E7B97"/>
    <w:rsid w:val="005F035D"/>
    <w:rsid w:val="005F09C1"/>
    <w:rsid w:val="005F2720"/>
    <w:rsid w:val="005F3671"/>
    <w:rsid w:val="005F4BAC"/>
    <w:rsid w:val="005F4C56"/>
    <w:rsid w:val="005F577F"/>
    <w:rsid w:val="005F5DAE"/>
    <w:rsid w:val="005F6164"/>
    <w:rsid w:val="005F66CB"/>
    <w:rsid w:val="00600AF9"/>
    <w:rsid w:val="00601452"/>
    <w:rsid w:val="006019F3"/>
    <w:rsid w:val="00601DF1"/>
    <w:rsid w:val="00606117"/>
    <w:rsid w:val="0060686E"/>
    <w:rsid w:val="00607451"/>
    <w:rsid w:val="00607AF8"/>
    <w:rsid w:val="00612190"/>
    <w:rsid w:val="00612F39"/>
    <w:rsid w:val="00613257"/>
    <w:rsid w:val="006147B3"/>
    <w:rsid w:val="00615659"/>
    <w:rsid w:val="00615B1F"/>
    <w:rsid w:val="006179AB"/>
    <w:rsid w:val="00620EF3"/>
    <w:rsid w:val="00621E20"/>
    <w:rsid w:val="006227D2"/>
    <w:rsid w:val="00622C12"/>
    <w:rsid w:val="00624BD1"/>
    <w:rsid w:val="00627904"/>
    <w:rsid w:val="00627CA2"/>
    <w:rsid w:val="00630AB6"/>
    <w:rsid w:val="00631D8E"/>
    <w:rsid w:val="00632D78"/>
    <w:rsid w:val="00633410"/>
    <w:rsid w:val="0063467C"/>
    <w:rsid w:val="006356EE"/>
    <w:rsid w:val="00636C45"/>
    <w:rsid w:val="00637685"/>
    <w:rsid w:val="00637F2F"/>
    <w:rsid w:val="006409F4"/>
    <w:rsid w:val="00643FA7"/>
    <w:rsid w:val="0064460C"/>
    <w:rsid w:val="0064505F"/>
    <w:rsid w:val="00647D60"/>
    <w:rsid w:val="00647F7D"/>
    <w:rsid w:val="00650B37"/>
    <w:rsid w:val="00652A76"/>
    <w:rsid w:val="006530E0"/>
    <w:rsid w:val="00653441"/>
    <w:rsid w:val="00654447"/>
    <w:rsid w:val="00660C4E"/>
    <w:rsid w:val="00665395"/>
    <w:rsid w:val="00665A6F"/>
    <w:rsid w:val="00665D08"/>
    <w:rsid w:val="00666406"/>
    <w:rsid w:val="006720F5"/>
    <w:rsid w:val="0067299F"/>
    <w:rsid w:val="0067432F"/>
    <w:rsid w:val="006743D8"/>
    <w:rsid w:val="0067482E"/>
    <w:rsid w:val="00675E54"/>
    <w:rsid w:val="00676DB9"/>
    <w:rsid w:val="00677D50"/>
    <w:rsid w:val="0068258A"/>
    <w:rsid w:val="00682691"/>
    <w:rsid w:val="0068297C"/>
    <w:rsid w:val="00685801"/>
    <w:rsid w:val="00686544"/>
    <w:rsid w:val="00686E10"/>
    <w:rsid w:val="00686F35"/>
    <w:rsid w:val="006879D3"/>
    <w:rsid w:val="00690264"/>
    <w:rsid w:val="0069027B"/>
    <w:rsid w:val="006911BC"/>
    <w:rsid w:val="00696E1F"/>
    <w:rsid w:val="0069740B"/>
    <w:rsid w:val="006A0CF3"/>
    <w:rsid w:val="006A1297"/>
    <w:rsid w:val="006A13A3"/>
    <w:rsid w:val="006A3FC7"/>
    <w:rsid w:val="006A4B14"/>
    <w:rsid w:val="006A4FB1"/>
    <w:rsid w:val="006A69C3"/>
    <w:rsid w:val="006B1C03"/>
    <w:rsid w:val="006B2576"/>
    <w:rsid w:val="006C0B58"/>
    <w:rsid w:val="006C227E"/>
    <w:rsid w:val="006C281F"/>
    <w:rsid w:val="006C28A3"/>
    <w:rsid w:val="006C3930"/>
    <w:rsid w:val="006C45D8"/>
    <w:rsid w:val="006C7F0B"/>
    <w:rsid w:val="006D0A2C"/>
    <w:rsid w:val="006D1E8E"/>
    <w:rsid w:val="006D30D7"/>
    <w:rsid w:val="006D4513"/>
    <w:rsid w:val="006D6A96"/>
    <w:rsid w:val="006E19EB"/>
    <w:rsid w:val="006E2BC4"/>
    <w:rsid w:val="006E3C58"/>
    <w:rsid w:val="006E4348"/>
    <w:rsid w:val="006E585F"/>
    <w:rsid w:val="006E5F94"/>
    <w:rsid w:val="006E7ED5"/>
    <w:rsid w:val="006F0572"/>
    <w:rsid w:val="006F0FDB"/>
    <w:rsid w:val="006F1B1C"/>
    <w:rsid w:val="006F3200"/>
    <w:rsid w:val="006F5A70"/>
    <w:rsid w:val="006F5F6C"/>
    <w:rsid w:val="007058D9"/>
    <w:rsid w:val="007062D1"/>
    <w:rsid w:val="00706E92"/>
    <w:rsid w:val="007107AC"/>
    <w:rsid w:val="007140ED"/>
    <w:rsid w:val="00714C4E"/>
    <w:rsid w:val="007162FB"/>
    <w:rsid w:val="0071755A"/>
    <w:rsid w:val="00723384"/>
    <w:rsid w:val="00724CC2"/>
    <w:rsid w:val="007273C9"/>
    <w:rsid w:val="00731DAB"/>
    <w:rsid w:val="00731F92"/>
    <w:rsid w:val="00734C9E"/>
    <w:rsid w:val="00734CCD"/>
    <w:rsid w:val="007421B3"/>
    <w:rsid w:val="00743621"/>
    <w:rsid w:val="00747F5A"/>
    <w:rsid w:val="0075046B"/>
    <w:rsid w:val="00751E50"/>
    <w:rsid w:val="007531C2"/>
    <w:rsid w:val="0075579F"/>
    <w:rsid w:val="00755889"/>
    <w:rsid w:val="00755A0D"/>
    <w:rsid w:val="00756E0E"/>
    <w:rsid w:val="00760B35"/>
    <w:rsid w:val="007626E9"/>
    <w:rsid w:val="007631CB"/>
    <w:rsid w:val="007635BD"/>
    <w:rsid w:val="00765819"/>
    <w:rsid w:val="00767E25"/>
    <w:rsid w:val="007737CA"/>
    <w:rsid w:val="00775905"/>
    <w:rsid w:val="00776887"/>
    <w:rsid w:val="00776A6A"/>
    <w:rsid w:val="00777D7F"/>
    <w:rsid w:val="00780826"/>
    <w:rsid w:val="00781631"/>
    <w:rsid w:val="007816B1"/>
    <w:rsid w:val="00782045"/>
    <w:rsid w:val="00782B7A"/>
    <w:rsid w:val="007862F0"/>
    <w:rsid w:val="00787DEF"/>
    <w:rsid w:val="00790C58"/>
    <w:rsid w:val="00796CCE"/>
    <w:rsid w:val="007A1272"/>
    <w:rsid w:val="007A1A56"/>
    <w:rsid w:val="007A502C"/>
    <w:rsid w:val="007B2E8D"/>
    <w:rsid w:val="007B4463"/>
    <w:rsid w:val="007B4C9F"/>
    <w:rsid w:val="007B5C4F"/>
    <w:rsid w:val="007B7A18"/>
    <w:rsid w:val="007C133F"/>
    <w:rsid w:val="007C37E9"/>
    <w:rsid w:val="007C68F3"/>
    <w:rsid w:val="007C7640"/>
    <w:rsid w:val="007D06C7"/>
    <w:rsid w:val="007D0BAF"/>
    <w:rsid w:val="007D0C7D"/>
    <w:rsid w:val="007D134D"/>
    <w:rsid w:val="007D3341"/>
    <w:rsid w:val="007D562C"/>
    <w:rsid w:val="007D5846"/>
    <w:rsid w:val="007D5C07"/>
    <w:rsid w:val="007D62D0"/>
    <w:rsid w:val="007E0172"/>
    <w:rsid w:val="007E2500"/>
    <w:rsid w:val="007E33B6"/>
    <w:rsid w:val="007E6260"/>
    <w:rsid w:val="007F3C71"/>
    <w:rsid w:val="007F3DBB"/>
    <w:rsid w:val="007F4E1A"/>
    <w:rsid w:val="007F591F"/>
    <w:rsid w:val="007F61FD"/>
    <w:rsid w:val="00804345"/>
    <w:rsid w:val="0080534D"/>
    <w:rsid w:val="00805E07"/>
    <w:rsid w:val="008078AF"/>
    <w:rsid w:val="0081033F"/>
    <w:rsid w:val="00810CF2"/>
    <w:rsid w:val="0081517F"/>
    <w:rsid w:val="008167C8"/>
    <w:rsid w:val="008201B7"/>
    <w:rsid w:val="00820AB5"/>
    <w:rsid w:val="008229F7"/>
    <w:rsid w:val="0082635E"/>
    <w:rsid w:val="008307E0"/>
    <w:rsid w:val="00830C33"/>
    <w:rsid w:val="0083155C"/>
    <w:rsid w:val="00834E17"/>
    <w:rsid w:val="00835A1A"/>
    <w:rsid w:val="00835A48"/>
    <w:rsid w:val="00836637"/>
    <w:rsid w:val="00837207"/>
    <w:rsid w:val="00837A77"/>
    <w:rsid w:val="00837B56"/>
    <w:rsid w:val="008420F2"/>
    <w:rsid w:val="008429FE"/>
    <w:rsid w:val="0084364B"/>
    <w:rsid w:val="00844A4F"/>
    <w:rsid w:val="00844E2D"/>
    <w:rsid w:val="008456DD"/>
    <w:rsid w:val="0085363E"/>
    <w:rsid w:val="00853C33"/>
    <w:rsid w:val="0085402D"/>
    <w:rsid w:val="008553C4"/>
    <w:rsid w:val="0085705D"/>
    <w:rsid w:val="00860D1C"/>
    <w:rsid w:val="0086134A"/>
    <w:rsid w:val="00861614"/>
    <w:rsid w:val="00861A13"/>
    <w:rsid w:val="00861AE0"/>
    <w:rsid w:val="00862DAD"/>
    <w:rsid w:val="0086521A"/>
    <w:rsid w:val="00865F8D"/>
    <w:rsid w:val="008679C0"/>
    <w:rsid w:val="00870144"/>
    <w:rsid w:val="00870517"/>
    <w:rsid w:val="008712D6"/>
    <w:rsid w:val="008723B2"/>
    <w:rsid w:val="00872901"/>
    <w:rsid w:val="00874418"/>
    <w:rsid w:val="008744D4"/>
    <w:rsid w:val="00874F1B"/>
    <w:rsid w:val="0087564F"/>
    <w:rsid w:val="008764C2"/>
    <w:rsid w:val="00876EFA"/>
    <w:rsid w:val="00880225"/>
    <w:rsid w:val="00880411"/>
    <w:rsid w:val="008814D0"/>
    <w:rsid w:val="00881546"/>
    <w:rsid w:val="00883950"/>
    <w:rsid w:val="00890488"/>
    <w:rsid w:val="00892455"/>
    <w:rsid w:val="00892822"/>
    <w:rsid w:val="00892CA9"/>
    <w:rsid w:val="00892EE0"/>
    <w:rsid w:val="00894814"/>
    <w:rsid w:val="00895036"/>
    <w:rsid w:val="00897D0E"/>
    <w:rsid w:val="008A3EC8"/>
    <w:rsid w:val="008A3F2B"/>
    <w:rsid w:val="008A4E86"/>
    <w:rsid w:val="008A549A"/>
    <w:rsid w:val="008A671F"/>
    <w:rsid w:val="008A70C2"/>
    <w:rsid w:val="008A7168"/>
    <w:rsid w:val="008B0045"/>
    <w:rsid w:val="008B2135"/>
    <w:rsid w:val="008B60C1"/>
    <w:rsid w:val="008B7729"/>
    <w:rsid w:val="008B7B10"/>
    <w:rsid w:val="008B7C0B"/>
    <w:rsid w:val="008C35B0"/>
    <w:rsid w:val="008D3194"/>
    <w:rsid w:val="008D6842"/>
    <w:rsid w:val="008D6A5A"/>
    <w:rsid w:val="008D6F1B"/>
    <w:rsid w:val="008E5C83"/>
    <w:rsid w:val="008E7487"/>
    <w:rsid w:val="008F040C"/>
    <w:rsid w:val="008F1716"/>
    <w:rsid w:val="008F2DFC"/>
    <w:rsid w:val="008F4B81"/>
    <w:rsid w:val="008F504F"/>
    <w:rsid w:val="008F7723"/>
    <w:rsid w:val="009009E0"/>
    <w:rsid w:val="009039D7"/>
    <w:rsid w:val="00904F1D"/>
    <w:rsid w:val="0090721C"/>
    <w:rsid w:val="00912A8D"/>
    <w:rsid w:val="0091499C"/>
    <w:rsid w:val="009177EF"/>
    <w:rsid w:val="00920105"/>
    <w:rsid w:val="00920302"/>
    <w:rsid w:val="00920F67"/>
    <w:rsid w:val="0092129E"/>
    <w:rsid w:val="00921368"/>
    <w:rsid w:val="00921B62"/>
    <w:rsid w:val="00922668"/>
    <w:rsid w:val="00924A65"/>
    <w:rsid w:val="00924EF0"/>
    <w:rsid w:val="009306A6"/>
    <w:rsid w:val="00930F5B"/>
    <w:rsid w:val="009343EA"/>
    <w:rsid w:val="00934560"/>
    <w:rsid w:val="00934E94"/>
    <w:rsid w:val="009369D8"/>
    <w:rsid w:val="00937180"/>
    <w:rsid w:val="00937D55"/>
    <w:rsid w:val="00941CBA"/>
    <w:rsid w:val="00941DA2"/>
    <w:rsid w:val="009435A8"/>
    <w:rsid w:val="009463E4"/>
    <w:rsid w:val="00947A3D"/>
    <w:rsid w:val="00947E16"/>
    <w:rsid w:val="00950A02"/>
    <w:rsid w:val="00950B95"/>
    <w:rsid w:val="0095113B"/>
    <w:rsid w:val="0095172B"/>
    <w:rsid w:val="00951D6C"/>
    <w:rsid w:val="0095399A"/>
    <w:rsid w:val="00962073"/>
    <w:rsid w:val="00963730"/>
    <w:rsid w:val="009658C0"/>
    <w:rsid w:val="00965B34"/>
    <w:rsid w:val="00966B43"/>
    <w:rsid w:val="00972BA9"/>
    <w:rsid w:val="00973ED5"/>
    <w:rsid w:val="00974620"/>
    <w:rsid w:val="009803CE"/>
    <w:rsid w:val="0098048A"/>
    <w:rsid w:val="00980B04"/>
    <w:rsid w:val="00983C65"/>
    <w:rsid w:val="009861B5"/>
    <w:rsid w:val="00986223"/>
    <w:rsid w:val="00986897"/>
    <w:rsid w:val="009939E5"/>
    <w:rsid w:val="009948A9"/>
    <w:rsid w:val="00996866"/>
    <w:rsid w:val="00997AD8"/>
    <w:rsid w:val="009A0279"/>
    <w:rsid w:val="009A0DEC"/>
    <w:rsid w:val="009A2A7C"/>
    <w:rsid w:val="009A636C"/>
    <w:rsid w:val="009A6D65"/>
    <w:rsid w:val="009A7861"/>
    <w:rsid w:val="009B0176"/>
    <w:rsid w:val="009B0EAE"/>
    <w:rsid w:val="009B143E"/>
    <w:rsid w:val="009B37FA"/>
    <w:rsid w:val="009B533B"/>
    <w:rsid w:val="009B57F3"/>
    <w:rsid w:val="009B5E62"/>
    <w:rsid w:val="009B6469"/>
    <w:rsid w:val="009C05F8"/>
    <w:rsid w:val="009C33BB"/>
    <w:rsid w:val="009C4866"/>
    <w:rsid w:val="009C5A7F"/>
    <w:rsid w:val="009C7C64"/>
    <w:rsid w:val="009D1D1F"/>
    <w:rsid w:val="009D4ED9"/>
    <w:rsid w:val="009D5328"/>
    <w:rsid w:val="009D5B22"/>
    <w:rsid w:val="009D64EA"/>
    <w:rsid w:val="009D6875"/>
    <w:rsid w:val="009D7134"/>
    <w:rsid w:val="009D7C52"/>
    <w:rsid w:val="009D7EAA"/>
    <w:rsid w:val="009E2F76"/>
    <w:rsid w:val="009E3187"/>
    <w:rsid w:val="009E38C6"/>
    <w:rsid w:val="009E4A30"/>
    <w:rsid w:val="009E54A3"/>
    <w:rsid w:val="009F0449"/>
    <w:rsid w:val="009F2F94"/>
    <w:rsid w:val="009F43A9"/>
    <w:rsid w:val="009F49FB"/>
    <w:rsid w:val="009F4EF3"/>
    <w:rsid w:val="009F5BB9"/>
    <w:rsid w:val="009F6170"/>
    <w:rsid w:val="009F6F99"/>
    <w:rsid w:val="00A001B0"/>
    <w:rsid w:val="00A05AC9"/>
    <w:rsid w:val="00A07309"/>
    <w:rsid w:val="00A07A66"/>
    <w:rsid w:val="00A07A82"/>
    <w:rsid w:val="00A12BB9"/>
    <w:rsid w:val="00A14411"/>
    <w:rsid w:val="00A254C1"/>
    <w:rsid w:val="00A2578F"/>
    <w:rsid w:val="00A25E76"/>
    <w:rsid w:val="00A262D8"/>
    <w:rsid w:val="00A30A2A"/>
    <w:rsid w:val="00A31DC8"/>
    <w:rsid w:val="00A31EC6"/>
    <w:rsid w:val="00A344E5"/>
    <w:rsid w:val="00A351E5"/>
    <w:rsid w:val="00A35B27"/>
    <w:rsid w:val="00A372D3"/>
    <w:rsid w:val="00A41A2D"/>
    <w:rsid w:val="00A430F8"/>
    <w:rsid w:val="00A4347B"/>
    <w:rsid w:val="00A43595"/>
    <w:rsid w:val="00A445F3"/>
    <w:rsid w:val="00A4706F"/>
    <w:rsid w:val="00A47B73"/>
    <w:rsid w:val="00A51409"/>
    <w:rsid w:val="00A517A3"/>
    <w:rsid w:val="00A51AB3"/>
    <w:rsid w:val="00A53AEE"/>
    <w:rsid w:val="00A547D5"/>
    <w:rsid w:val="00A569CA"/>
    <w:rsid w:val="00A6005B"/>
    <w:rsid w:val="00A634E7"/>
    <w:rsid w:val="00A6554C"/>
    <w:rsid w:val="00A658F6"/>
    <w:rsid w:val="00A663B0"/>
    <w:rsid w:val="00A67044"/>
    <w:rsid w:val="00A71546"/>
    <w:rsid w:val="00A7403D"/>
    <w:rsid w:val="00A767CA"/>
    <w:rsid w:val="00A7689A"/>
    <w:rsid w:val="00A81769"/>
    <w:rsid w:val="00A823A6"/>
    <w:rsid w:val="00A842F5"/>
    <w:rsid w:val="00A85AE9"/>
    <w:rsid w:val="00A87891"/>
    <w:rsid w:val="00A87CD2"/>
    <w:rsid w:val="00A90E0A"/>
    <w:rsid w:val="00A91C51"/>
    <w:rsid w:val="00A936C7"/>
    <w:rsid w:val="00A93B3D"/>
    <w:rsid w:val="00A97BE4"/>
    <w:rsid w:val="00AA10EB"/>
    <w:rsid w:val="00AA2654"/>
    <w:rsid w:val="00AA28F9"/>
    <w:rsid w:val="00AA2A3B"/>
    <w:rsid w:val="00AA383D"/>
    <w:rsid w:val="00AA3E77"/>
    <w:rsid w:val="00AA5905"/>
    <w:rsid w:val="00AA6E5C"/>
    <w:rsid w:val="00AB032A"/>
    <w:rsid w:val="00AB284C"/>
    <w:rsid w:val="00AB3143"/>
    <w:rsid w:val="00AB319F"/>
    <w:rsid w:val="00AB48A7"/>
    <w:rsid w:val="00AB66F8"/>
    <w:rsid w:val="00AB78A4"/>
    <w:rsid w:val="00AC5999"/>
    <w:rsid w:val="00AC5E0F"/>
    <w:rsid w:val="00AC6966"/>
    <w:rsid w:val="00AC756D"/>
    <w:rsid w:val="00AD0227"/>
    <w:rsid w:val="00AD0998"/>
    <w:rsid w:val="00AD1DC1"/>
    <w:rsid w:val="00AD2A30"/>
    <w:rsid w:val="00AD61DD"/>
    <w:rsid w:val="00AD73A7"/>
    <w:rsid w:val="00AE0D68"/>
    <w:rsid w:val="00AE208F"/>
    <w:rsid w:val="00AE3614"/>
    <w:rsid w:val="00AE3879"/>
    <w:rsid w:val="00AE5A13"/>
    <w:rsid w:val="00AF3B83"/>
    <w:rsid w:val="00AF56C4"/>
    <w:rsid w:val="00AF6A23"/>
    <w:rsid w:val="00AF7D71"/>
    <w:rsid w:val="00B02528"/>
    <w:rsid w:val="00B027DC"/>
    <w:rsid w:val="00B02948"/>
    <w:rsid w:val="00B0366D"/>
    <w:rsid w:val="00B03BA0"/>
    <w:rsid w:val="00B03C93"/>
    <w:rsid w:val="00B048E9"/>
    <w:rsid w:val="00B04A48"/>
    <w:rsid w:val="00B10BCE"/>
    <w:rsid w:val="00B126A5"/>
    <w:rsid w:val="00B15288"/>
    <w:rsid w:val="00B15933"/>
    <w:rsid w:val="00B204A4"/>
    <w:rsid w:val="00B21263"/>
    <w:rsid w:val="00B213F0"/>
    <w:rsid w:val="00B248DC"/>
    <w:rsid w:val="00B252E2"/>
    <w:rsid w:val="00B26035"/>
    <w:rsid w:val="00B27A6B"/>
    <w:rsid w:val="00B301BA"/>
    <w:rsid w:val="00B3275E"/>
    <w:rsid w:val="00B3406B"/>
    <w:rsid w:val="00B36080"/>
    <w:rsid w:val="00B405A8"/>
    <w:rsid w:val="00B40BA9"/>
    <w:rsid w:val="00B40CBB"/>
    <w:rsid w:val="00B421E9"/>
    <w:rsid w:val="00B47A37"/>
    <w:rsid w:val="00B50F57"/>
    <w:rsid w:val="00B51786"/>
    <w:rsid w:val="00B52C1E"/>
    <w:rsid w:val="00B52D5D"/>
    <w:rsid w:val="00B533F7"/>
    <w:rsid w:val="00B54D47"/>
    <w:rsid w:val="00B55C4A"/>
    <w:rsid w:val="00B55E94"/>
    <w:rsid w:val="00B564E4"/>
    <w:rsid w:val="00B61407"/>
    <w:rsid w:val="00B61A93"/>
    <w:rsid w:val="00B6699F"/>
    <w:rsid w:val="00B673F2"/>
    <w:rsid w:val="00B67454"/>
    <w:rsid w:val="00B717F5"/>
    <w:rsid w:val="00B72247"/>
    <w:rsid w:val="00B72E7C"/>
    <w:rsid w:val="00B7493B"/>
    <w:rsid w:val="00B752B2"/>
    <w:rsid w:val="00B81AD9"/>
    <w:rsid w:val="00B824CF"/>
    <w:rsid w:val="00B82F9E"/>
    <w:rsid w:val="00B832E5"/>
    <w:rsid w:val="00B8599E"/>
    <w:rsid w:val="00B85A01"/>
    <w:rsid w:val="00B86FA7"/>
    <w:rsid w:val="00B9160A"/>
    <w:rsid w:val="00B925F6"/>
    <w:rsid w:val="00B92A96"/>
    <w:rsid w:val="00B92BD2"/>
    <w:rsid w:val="00B9323F"/>
    <w:rsid w:val="00B96F0B"/>
    <w:rsid w:val="00BA1603"/>
    <w:rsid w:val="00BA18B2"/>
    <w:rsid w:val="00BA1EC7"/>
    <w:rsid w:val="00BA219F"/>
    <w:rsid w:val="00BA5B28"/>
    <w:rsid w:val="00BB0C11"/>
    <w:rsid w:val="00BB18BE"/>
    <w:rsid w:val="00BB212A"/>
    <w:rsid w:val="00BB3272"/>
    <w:rsid w:val="00BB38D7"/>
    <w:rsid w:val="00BB39A0"/>
    <w:rsid w:val="00BB5380"/>
    <w:rsid w:val="00BC0451"/>
    <w:rsid w:val="00BC5DD6"/>
    <w:rsid w:val="00BC6F3C"/>
    <w:rsid w:val="00BD0E62"/>
    <w:rsid w:val="00BD29EF"/>
    <w:rsid w:val="00BD33E1"/>
    <w:rsid w:val="00BD5593"/>
    <w:rsid w:val="00BD5E8D"/>
    <w:rsid w:val="00BD6B64"/>
    <w:rsid w:val="00BE247F"/>
    <w:rsid w:val="00BE369F"/>
    <w:rsid w:val="00BF0AC7"/>
    <w:rsid w:val="00BF3477"/>
    <w:rsid w:val="00BF39EA"/>
    <w:rsid w:val="00BF4942"/>
    <w:rsid w:val="00BF5516"/>
    <w:rsid w:val="00BF6E7F"/>
    <w:rsid w:val="00BF7021"/>
    <w:rsid w:val="00BF7901"/>
    <w:rsid w:val="00BF7CB5"/>
    <w:rsid w:val="00C001D4"/>
    <w:rsid w:val="00C00925"/>
    <w:rsid w:val="00C01634"/>
    <w:rsid w:val="00C02B8B"/>
    <w:rsid w:val="00C037C0"/>
    <w:rsid w:val="00C05AFB"/>
    <w:rsid w:val="00C06834"/>
    <w:rsid w:val="00C07992"/>
    <w:rsid w:val="00C10ED6"/>
    <w:rsid w:val="00C11E4A"/>
    <w:rsid w:val="00C11E61"/>
    <w:rsid w:val="00C1223B"/>
    <w:rsid w:val="00C141DA"/>
    <w:rsid w:val="00C15A58"/>
    <w:rsid w:val="00C16DB5"/>
    <w:rsid w:val="00C179F1"/>
    <w:rsid w:val="00C20D93"/>
    <w:rsid w:val="00C21C94"/>
    <w:rsid w:val="00C26BFC"/>
    <w:rsid w:val="00C26EE1"/>
    <w:rsid w:val="00C271DA"/>
    <w:rsid w:val="00C311EA"/>
    <w:rsid w:val="00C3219D"/>
    <w:rsid w:val="00C32D97"/>
    <w:rsid w:val="00C32EAA"/>
    <w:rsid w:val="00C33DA3"/>
    <w:rsid w:val="00C35DF2"/>
    <w:rsid w:val="00C44BC1"/>
    <w:rsid w:val="00C47207"/>
    <w:rsid w:val="00C47D89"/>
    <w:rsid w:val="00C47F28"/>
    <w:rsid w:val="00C50E43"/>
    <w:rsid w:val="00C51C0F"/>
    <w:rsid w:val="00C52F14"/>
    <w:rsid w:val="00C539FF"/>
    <w:rsid w:val="00C54467"/>
    <w:rsid w:val="00C54529"/>
    <w:rsid w:val="00C564E3"/>
    <w:rsid w:val="00C5732D"/>
    <w:rsid w:val="00C60418"/>
    <w:rsid w:val="00C62944"/>
    <w:rsid w:val="00C6442C"/>
    <w:rsid w:val="00C65044"/>
    <w:rsid w:val="00C65221"/>
    <w:rsid w:val="00C70041"/>
    <w:rsid w:val="00C703B1"/>
    <w:rsid w:val="00C714CD"/>
    <w:rsid w:val="00C73C18"/>
    <w:rsid w:val="00C748D5"/>
    <w:rsid w:val="00C74EE3"/>
    <w:rsid w:val="00C7649F"/>
    <w:rsid w:val="00C803E8"/>
    <w:rsid w:val="00C81789"/>
    <w:rsid w:val="00C81E2D"/>
    <w:rsid w:val="00C83BD7"/>
    <w:rsid w:val="00C85E07"/>
    <w:rsid w:val="00C905D8"/>
    <w:rsid w:val="00C92A24"/>
    <w:rsid w:val="00C95C8D"/>
    <w:rsid w:val="00CA1184"/>
    <w:rsid w:val="00CA2221"/>
    <w:rsid w:val="00CA77D1"/>
    <w:rsid w:val="00CB1437"/>
    <w:rsid w:val="00CB1A8A"/>
    <w:rsid w:val="00CB2E09"/>
    <w:rsid w:val="00CB30B4"/>
    <w:rsid w:val="00CB489A"/>
    <w:rsid w:val="00CB68BD"/>
    <w:rsid w:val="00CB7194"/>
    <w:rsid w:val="00CB71D2"/>
    <w:rsid w:val="00CB733B"/>
    <w:rsid w:val="00CB786A"/>
    <w:rsid w:val="00CC21E3"/>
    <w:rsid w:val="00CC24AE"/>
    <w:rsid w:val="00CC56BA"/>
    <w:rsid w:val="00CC7D1D"/>
    <w:rsid w:val="00CD0B6E"/>
    <w:rsid w:val="00CD0CFF"/>
    <w:rsid w:val="00CD18EB"/>
    <w:rsid w:val="00CD3E4A"/>
    <w:rsid w:val="00CD5793"/>
    <w:rsid w:val="00CD5B26"/>
    <w:rsid w:val="00CD706C"/>
    <w:rsid w:val="00CE0A7E"/>
    <w:rsid w:val="00CE105E"/>
    <w:rsid w:val="00CE2701"/>
    <w:rsid w:val="00CE27F9"/>
    <w:rsid w:val="00CE3F75"/>
    <w:rsid w:val="00CE43A0"/>
    <w:rsid w:val="00CE7CC4"/>
    <w:rsid w:val="00CF4F10"/>
    <w:rsid w:val="00CF50EF"/>
    <w:rsid w:val="00CF6CF1"/>
    <w:rsid w:val="00CF735A"/>
    <w:rsid w:val="00CF7BF3"/>
    <w:rsid w:val="00D0150F"/>
    <w:rsid w:val="00D02039"/>
    <w:rsid w:val="00D033E8"/>
    <w:rsid w:val="00D03CE3"/>
    <w:rsid w:val="00D046A8"/>
    <w:rsid w:val="00D05157"/>
    <w:rsid w:val="00D05CE8"/>
    <w:rsid w:val="00D05D5E"/>
    <w:rsid w:val="00D11E6A"/>
    <w:rsid w:val="00D131F2"/>
    <w:rsid w:val="00D17441"/>
    <w:rsid w:val="00D20D30"/>
    <w:rsid w:val="00D21C6F"/>
    <w:rsid w:val="00D3415C"/>
    <w:rsid w:val="00D402BB"/>
    <w:rsid w:val="00D423A1"/>
    <w:rsid w:val="00D42C1D"/>
    <w:rsid w:val="00D43242"/>
    <w:rsid w:val="00D441FA"/>
    <w:rsid w:val="00D44874"/>
    <w:rsid w:val="00D466B7"/>
    <w:rsid w:val="00D47B59"/>
    <w:rsid w:val="00D50BAF"/>
    <w:rsid w:val="00D51679"/>
    <w:rsid w:val="00D51FA1"/>
    <w:rsid w:val="00D52225"/>
    <w:rsid w:val="00D5306A"/>
    <w:rsid w:val="00D533AF"/>
    <w:rsid w:val="00D53C19"/>
    <w:rsid w:val="00D5518B"/>
    <w:rsid w:val="00D5550E"/>
    <w:rsid w:val="00D557DA"/>
    <w:rsid w:val="00D55F11"/>
    <w:rsid w:val="00D572A4"/>
    <w:rsid w:val="00D61580"/>
    <w:rsid w:val="00D62280"/>
    <w:rsid w:val="00D625CB"/>
    <w:rsid w:val="00D632B9"/>
    <w:rsid w:val="00D63BB0"/>
    <w:rsid w:val="00D6597C"/>
    <w:rsid w:val="00D72933"/>
    <w:rsid w:val="00D72DAF"/>
    <w:rsid w:val="00D73072"/>
    <w:rsid w:val="00D7355C"/>
    <w:rsid w:val="00D772CB"/>
    <w:rsid w:val="00D77C25"/>
    <w:rsid w:val="00D81A37"/>
    <w:rsid w:val="00D829F6"/>
    <w:rsid w:val="00D84030"/>
    <w:rsid w:val="00D863C3"/>
    <w:rsid w:val="00D9028A"/>
    <w:rsid w:val="00D94EF3"/>
    <w:rsid w:val="00D977B0"/>
    <w:rsid w:val="00DA098A"/>
    <w:rsid w:val="00DA0E9C"/>
    <w:rsid w:val="00DA1FC1"/>
    <w:rsid w:val="00DA2383"/>
    <w:rsid w:val="00DA31B0"/>
    <w:rsid w:val="00DA542D"/>
    <w:rsid w:val="00DB187F"/>
    <w:rsid w:val="00DB2B5B"/>
    <w:rsid w:val="00DB3D61"/>
    <w:rsid w:val="00DB58DE"/>
    <w:rsid w:val="00DB6B7F"/>
    <w:rsid w:val="00DB71AE"/>
    <w:rsid w:val="00DC145E"/>
    <w:rsid w:val="00DC14A9"/>
    <w:rsid w:val="00DC362E"/>
    <w:rsid w:val="00DD1296"/>
    <w:rsid w:val="00DD1CF5"/>
    <w:rsid w:val="00DD2276"/>
    <w:rsid w:val="00DD5757"/>
    <w:rsid w:val="00DD695D"/>
    <w:rsid w:val="00DD7AF7"/>
    <w:rsid w:val="00DE0E8F"/>
    <w:rsid w:val="00DE2DC9"/>
    <w:rsid w:val="00DE332F"/>
    <w:rsid w:val="00DE3B8A"/>
    <w:rsid w:val="00DE47DA"/>
    <w:rsid w:val="00DE7024"/>
    <w:rsid w:val="00DE761D"/>
    <w:rsid w:val="00DE7668"/>
    <w:rsid w:val="00DF19EF"/>
    <w:rsid w:val="00DF29D5"/>
    <w:rsid w:val="00DF3DAA"/>
    <w:rsid w:val="00DF4BBF"/>
    <w:rsid w:val="00DF62B9"/>
    <w:rsid w:val="00E032F8"/>
    <w:rsid w:val="00E0382C"/>
    <w:rsid w:val="00E04073"/>
    <w:rsid w:val="00E04D5C"/>
    <w:rsid w:val="00E06585"/>
    <w:rsid w:val="00E068CE"/>
    <w:rsid w:val="00E06CE9"/>
    <w:rsid w:val="00E070BC"/>
    <w:rsid w:val="00E07DE5"/>
    <w:rsid w:val="00E11D54"/>
    <w:rsid w:val="00E11EA7"/>
    <w:rsid w:val="00E147D5"/>
    <w:rsid w:val="00E1622A"/>
    <w:rsid w:val="00E165F9"/>
    <w:rsid w:val="00E1735E"/>
    <w:rsid w:val="00E1741D"/>
    <w:rsid w:val="00E17BC8"/>
    <w:rsid w:val="00E205ED"/>
    <w:rsid w:val="00E22AE0"/>
    <w:rsid w:val="00E25B2A"/>
    <w:rsid w:val="00E30E91"/>
    <w:rsid w:val="00E315F0"/>
    <w:rsid w:val="00E31A6C"/>
    <w:rsid w:val="00E31B5E"/>
    <w:rsid w:val="00E31DD7"/>
    <w:rsid w:val="00E31EFF"/>
    <w:rsid w:val="00E32491"/>
    <w:rsid w:val="00E32930"/>
    <w:rsid w:val="00E33EAC"/>
    <w:rsid w:val="00E3467D"/>
    <w:rsid w:val="00E3749B"/>
    <w:rsid w:val="00E40A6E"/>
    <w:rsid w:val="00E41AAD"/>
    <w:rsid w:val="00E41ABE"/>
    <w:rsid w:val="00E426F2"/>
    <w:rsid w:val="00E43EBE"/>
    <w:rsid w:val="00E46125"/>
    <w:rsid w:val="00E479D1"/>
    <w:rsid w:val="00E506CC"/>
    <w:rsid w:val="00E51E99"/>
    <w:rsid w:val="00E54451"/>
    <w:rsid w:val="00E54556"/>
    <w:rsid w:val="00E557E4"/>
    <w:rsid w:val="00E606A6"/>
    <w:rsid w:val="00E621B2"/>
    <w:rsid w:val="00E63151"/>
    <w:rsid w:val="00E656B8"/>
    <w:rsid w:val="00E67BD0"/>
    <w:rsid w:val="00E71006"/>
    <w:rsid w:val="00E72B3F"/>
    <w:rsid w:val="00E73DC9"/>
    <w:rsid w:val="00E75F8F"/>
    <w:rsid w:val="00E760CE"/>
    <w:rsid w:val="00E77A47"/>
    <w:rsid w:val="00E81BAC"/>
    <w:rsid w:val="00E82170"/>
    <w:rsid w:val="00E83EB7"/>
    <w:rsid w:val="00E8575E"/>
    <w:rsid w:val="00E91122"/>
    <w:rsid w:val="00E9363A"/>
    <w:rsid w:val="00E9418D"/>
    <w:rsid w:val="00E945E2"/>
    <w:rsid w:val="00E96999"/>
    <w:rsid w:val="00E969BC"/>
    <w:rsid w:val="00E96F27"/>
    <w:rsid w:val="00EA186B"/>
    <w:rsid w:val="00EA2442"/>
    <w:rsid w:val="00EA36DB"/>
    <w:rsid w:val="00EA4957"/>
    <w:rsid w:val="00EA66FD"/>
    <w:rsid w:val="00EB1ABD"/>
    <w:rsid w:val="00EB2C3C"/>
    <w:rsid w:val="00EB3EF8"/>
    <w:rsid w:val="00EB5273"/>
    <w:rsid w:val="00EB5611"/>
    <w:rsid w:val="00EB67CF"/>
    <w:rsid w:val="00EC06A4"/>
    <w:rsid w:val="00EC14B6"/>
    <w:rsid w:val="00EC17A1"/>
    <w:rsid w:val="00EC30C3"/>
    <w:rsid w:val="00EC3FC6"/>
    <w:rsid w:val="00EC56AA"/>
    <w:rsid w:val="00ED0ED5"/>
    <w:rsid w:val="00ED238D"/>
    <w:rsid w:val="00ED29D3"/>
    <w:rsid w:val="00ED36FE"/>
    <w:rsid w:val="00ED6E2A"/>
    <w:rsid w:val="00ED70C6"/>
    <w:rsid w:val="00EE0803"/>
    <w:rsid w:val="00EE0B1C"/>
    <w:rsid w:val="00EE2C2D"/>
    <w:rsid w:val="00EE55DE"/>
    <w:rsid w:val="00EE7EFE"/>
    <w:rsid w:val="00EF00C5"/>
    <w:rsid w:val="00EF2752"/>
    <w:rsid w:val="00EF2A91"/>
    <w:rsid w:val="00EF448C"/>
    <w:rsid w:val="00EF55D4"/>
    <w:rsid w:val="00EF5B10"/>
    <w:rsid w:val="00F0005A"/>
    <w:rsid w:val="00F008D0"/>
    <w:rsid w:val="00F0266D"/>
    <w:rsid w:val="00F03B4B"/>
    <w:rsid w:val="00F03DAD"/>
    <w:rsid w:val="00F04973"/>
    <w:rsid w:val="00F06778"/>
    <w:rsid w:val="00F06D78"/>
    <w:rsid w:val="00F07BB7"/>
    <w:rsid w:val="00F12FFB"/>
    <w:rsid w:val="00F131C0"/>
    <w:rsid w:val="00F136F1"/>
    <w:rsid w:val="00F13B41"/>
    <w:rsid w:val="00F13FE0"/>
    <w:rsid w:val="00F17517"/>
    <w:rsid w:val="00F205F7"/>
    <w:rsid w:val="00F20C70"/>
    <w:rsid w:val="00F20F7E"/>
    <w:rsid w:val="00F22BA4"/>
    <w:rsid w:val="00F24346"/>
    <w:rsid w:val="00F25653"/>
    <w:rsid w:val="00F27167"/>
    <w:rsid w:val="00F30072"/>
    <w:rsid w:val="00F35578"/>
    <w:rsid w:val="00F3672C"/>
    <w:rsid w:val="00F400B6"/>
    <w:rsid w:val="00F41486"/>
    <w:rsid w:val="00F42402"/>
    <w:rsid w:val="00F431C2"/>
    <w:rsid w:val="00F44EED"/>
    <w:rsid w:val="00F4724B"/>
    <w:rsid w:val="00F4749A"/>
    <w:rsid w:val="00F5155D"/>
    <w:rsid w:val="00F51F81"/>
    <w:rsid w:val="00F55172"/>
    <w:rsid w:val="00F55C93"/>
    <w:rsid w:val="00F57159"/>
    <w:rsid w:val="00F6038B"/>
    <w:rsid w:val="00F632A5"/>
    <w:rsid w:val="00F64497"/>
    <w:rsid w:val="00F6545C"/>
    <w:rsid w:val="00F669C2"/>
    <w:rsid w:val="00F67BB2"/>
    <w:rsid w:val="00F67D0E"/>
    <w:rsid w:val="00F70127"/>
    <w:rsid w:val="00F70B37"/>
    <w:rsid w:val="00F74078"/>
    <w:rsid w:val="00F74FEC"/>
    <w:rsid w:val="00F7572F"/>
    <w:rsid w:val="00F77E62"/>
    <w:rsid w:val="00F812C7"/>
    <w:rsid w:val="00F81DC6"/>
    <w:rsid w:val="00F81EF0"/>
    <w:rsid w:val="00F8449B"/>
    <w:rsid w:val="00F84FE6"/>
    <w:rsid w:val="00F8731B"/>
    <w:rsid w:val="00F91553"/>
    <w:rsid w:val="00F92726"/>
    <w:rsid w:val="00F96BC9"/>
    <w:rsid w:val="00F96FB9"/>
    <w:rsid w:val="00FA1889"/>
    <w:rsid w:val="00FA372D"/>
    <w:rsid w:val="00FB0D53"/>
    <w:rsid w:val="00FB4C05"/>
    <w:rsid w:val="00FB5633"/>
    <w:rsid w:val="00FB6621"/>
    <w:rsid w:val="00FB7588"/>
    <w:rsid w:val="00FB7B50"/>
    <w:rsid w:val="00FC318B"/>
    <w:rsid w:val="00FC34D8"/>
    <w:rsid w:val="00FC3DAF"/>
    <w:rsid w:val="00FC4182"/>
    <w:rsid w:val="00FC49D7"/>
    <w:rsid w:val="00FC7722"/>
    <w:rsid w:val="00FD1681"/>
    <w:rsid w:val="00FD1E8A"/>
    <w:rsid w:val="00FD5E58"/>
    <w:rsid w:val="00FE052C"/>
    <w:rsid w:val="00FE0603"/>
    <w:rsid w:val="00FE2226"/>
    <w:rsid w:val="00FE282E"/>
    <w:rsid w:val="00FE2BFB"/>
    <w:rsid w:val="00FF04E6"/>
    <w:rsid w:val="00FF0ED7"/>
    <w:rsid w:val="00FF1230"/>
    <w:rsid w:val="00FF16C7"/>
    <w:rsid w:val="00FF1FDF"/>
    <w:rsid w:val="00FF2D7C"/>
    <w:rsid w:val="00FF304E"/>
    <w:rsid w:val="00FF5FE6"/>
    <w:rsid w:val="00FF6001"/>
    <w:rsid w:val="00FF6468"/>
    <w:rsid w:val="00FF6660"/>
    <w:rsid w:val="00FF70A2"/>
    <w:rsid w:val="00FF7842"/>
    <w:rsid w:val="057C6FBC"/>
    <w:rsid w:val="05920DB0"/>
    <w:rsid w:val="07923EC0"/>
    <w:rsid w:val="09130117"/>
    <w:rsid w:val="0AFE6006"/>
    <w:rsid w:val="0EA40E19"/>
    <w:rsid w:val="12E552F2"/>
    <w:rsid w:val="17AC60D5"/>
    <w:rsid w:val="19481E9C"/>
    <w:rsid w:val="1BE07F0D"/>
    <w:rsid w:val="1D224866"/>
    <w:rsid w:val="1ED077A3"/>
    <w:rsid w:val="29306559"/>
    <w:rsid w:val="2CDF19EA"/>
    <w:rsid w:val="3B4C7529"/>
    <w:rsid w:val="4D907E72"/>
    <w:rsid w:val="4F7DA64D"/>
    <w:rsid w:val="57FC7BB1"/>
    <w:rsid w:val="593D5BC1"/>
    <w:rsid w:val="5B3A02AC"/>
    <w:rsid w:val="5C11169E"/>
    <w:rsid w:val="6163782B"/>
    <w:rsid w:val="70325F44"/>
    <w:rsid w:val="73C72CDC"/>
    <w:rsid w:val="77BD7217"/>
    <w:rsid w:val="7AFFA00E"/>
    <w:rsid w:val="7C73594B"/>
    <w:rsid w:val="7FF76109"/>
    <w:rsid w:val="EF7F6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paragraph" w:styleId="5">
    <w:name w:val="heading 4"/>
    <w:basedOn w:val="1"/>
    <w:next w:val="1"/>
    <w:qFormat/>
    <w:uiPriority w:val="0"/>
    <w:pPr>
      <w:keepNext/>
      <w:keepLines/>
      <w:tabs>
        <w:tab w:val="left" w:pos="864"/>
      </w:tabs>
      <w:spacing w:before="280" w:after="290" w:line="372" w:lineRule="auto"/>
      <w:ind w:left="864" w:hanging="864"/>
      <w:outlineLvl w:val="3"/>
    </w:pPr>
    <w:rPr>
      <w:rFonts w:ascii="Arial" w:hAnsi="Arial" w:eastAsia="黑体"/>
      <w:b/>
      <w:bCs/>
      <w:sz w:val="28"/>
      <w:szCs w:val="28"/>
    </w:rPr>
  </w:style>
  <w:style w:type="paragraph" w:styleId="6">
    <w:name w:val="heading 5"/>
    <w:basedOn w:val="1"/>
    <w:next w:val="1"/>
    <w:qFormat/>
    <w:uiPriority w:val="0"/>
    <w:pPr>
      <w:keepNext/>
      <w:keepLines/>
      <w:tabs>
        <w:tab w:val="left" w:pos="1008"/>
      </w:tabs>
      <w:spacing w:before="280" w:after="290" w:line="372" w:lineRule="auto"/>
      <w:ind w:left="1008" w:hanging="1008"/>
      <w:outlineLvl w:val="4"/>
    </w:pPr>
    <w:rPr>
      <w:b/>
      <w:bCs/>
      <w:sz w:val="28"/>
      <w:szCs w:val="28"/>
    </w:rPr>
  </w:style>
  <w:style w:type="paragraph" w:styleId="7">
    <w:name w:val="heading 6"/>
    <w:basedOn w:val="1"/>
    <w:next w:val="1"/>
    <w:qFormat/>
    <w:uiPriority w:val="0"/>
    <w:pPr>
      <w:keepNext/>
      <w:keepLines/>
      <w:tabs>
        <w:tab w:val="left" w:pos="1152"/>
      </w:tabs>
      <w:spacing w:before="240" w:after="64" w:line="317" w:lineRule="auto"/>
      <w:ind w:left="1152" w:hanging="1152"/>
      <w:outlineLvl w:val="5"/>
    </w:pPr>
    <w:rPr>
      <w:rFonts w:ascii="Arial" w:hAnsi="Arial" w:eastAsia="黑体"/>
      <w:b/>
      <w:bCs/>
      <w:sz w:val="24"/>
    </w:rPr>
  </w:style>
  <w:style w:type="paragraph" w:styleId="8">
    <w:name w:val="heading 7"/>
    <w:basedOn w:val="1"/>
    <w:next w:val="1"/>
    <w:qFormat/>
    <w:uiPriority w:val="0"/>
    <w:pPr>
      <w:keepNext/>
      <w:keepLines/>
      <w:tabs>
        <w:tab w:val="left" w:pos="1296"/>
      </w:tabs>
      <w:spacing w:before="240" w:after="64" w:line="317" w:lineRule="auto"/>
      <w:ind w:left="1296" w:hanging="1296"/>
      <w:outlineLvl w:val="6"/>
    </w:pPr>
    <w:rPr>
      <w:b/>
      <w:bCs/>
      <w:sz w:val="24"/>
    </w:rPr>
  </w:style>
  <w:style w:type="paragraph" w:styleId="9">
    <w:name w:val="heading 8"/>
    <w:basedOn w:val="1"/>
    <w:next w:val="1"/>
    <w:qFormat/>
    <w:uiPriority w:val="0"/>
    <w:pPr>
      <w:keepNext/>
      <w:keepLines/>
      <w:tabs>
        <w:tab w:val="left" w:pos="1440"/>
      </w:tabs>
      <w:spacing w:before="240" w:after="64" w:line="317" w:lineRule="auto"/>
      <w:ind w:left="1440" w:hanging="1440"/>
      <w:outlineLvl w:val="7"/>
    </w:pPr>
    <w:rPr>
      <w:rFonts w:ascii="Arial" w:hAnsi="Arial" w:eastAsia="黑体"/>
      <w:sz w:val="24"/>
    </w:rPr>
  </w:style>
  <w:style w:type="paragraph" w:styleId="10">
    <w:name w:val="heading 9"/>
    <w:basedOn w:val="1"/>
    <w:next w:val="1"/>
    <w:qFormat/>
    <w:uiPriority w:val="0"/>
    <w:pPr>
      <w:keepNext/>
      <w:keepLines/>
      <w:tabs>
        <w:tab w:val="left" w:pos="1584"/>
      </w:tabs>
      <w:spacing w:before="240" w:after="64" w:line="317" w:lineRule="auto"/>
      <w:ind w:left="1584" w:hanging="1584"/>
      <w:outlineLvl w:val="8"/>
    </w:pPr>
    <w:rPr>
      <w:rFonts w:ascii="Arial" w:hAnsi="Arial" w:eastAsia="黑体"/>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qFormat/>
    <w:uiPriority w:val="0"/>
    <w:pPr>
      <w:adjustRightInd w:val="0"/>
      <w:spacing w:line="360" w:lineRule="atLeast"/>
      <w:ind w:firstLine="420"/>
      <w:jc w:val="left"/>
      <w:textAlignment w:val="baseline"/>
    </w:pPr>
    <w:rPr>
      <w:kern w:val="24"/>
      <w:sz w:val="24"/>
    </w:rPr>
  </w:style>
  <w:style w:type="paragraph" w:styleId="13">
    <w:name w:val="Document Map"/>
    <w:basedOn w:val="1"/>
    <w:qFormat/>
    <w:uiPriority w:val="0"/>
    <w:pPr>
      <w:shd w:val="clear" w:color="auto" w:fill="000080"/>
    </w:pPr>
  </w:style>
  <w:style w:type="paragraph" w:styleId="14">
    <w:name w:val="annotation text"/>
    <w:basedOn w:val="1"/>
    <w:link w:val="61"/>
    <w:semiHidden/>
    <w:unhideWhenUsed/>
    <w:qFormat/>
    <w:uiPriority w:val="0"/>
    <w:pPr>
      <w:jc w:val="left"/>
    </w:pPr>
  </w:style>
  <w:style w:type="paragraph" w:styleId="15">
    <w:name w:val="Body Text"/>
    <w:basedOn w:val="1"/>
    <w:qFormat/>
    <w:uiPriority w:val="0"/>
    <w:rPr>
      <w:rFonts w:hAnsi="宋体"/>
      <w:sz w:val="24"/>
    </w:rPr>
  </w:style>
  <w:style w:type="paragraph" w:styleId="16">
    <w:name w:val="Body Text Indent"/>
    <w:basedOn w:val="1"/>
    <w:qFormat/>
    <w:uiPriority w:val="0"/>
    <w:pPr>
      <w:spacing w:after="120"/>
      <w:ind w:left="420" w:leftChars="200"/>
    </w:pPr>
  </w:style>
  <w:style w:type="paragraph" w:styleId="17">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8">
    <w:name w:val="toc 3"/>
    <w:basedOn w:val="1"/>
    <w:next w:val="1"/>
    <w:qFormat/>
    <w:uiPriority w:val="39"/>
    <w:pPr>
      <w:ind w:left="840" w:leftChars="400"/>
    </w:pPr>
  </w:style>
  <w:style w:type="paragraph" w:styleId="19">
    <w:name w:val="Plain Text"/>
    <w:basedOn w:val="1"/>
    <w:link w:val="44"/>
    <w:qFormat/>
    <w:uiPriority w:val="0"/>
    <w:rPr>
      <w:rFonts w:ascii="宋体" w:hAnsi="Courier New" w:cs="Courier New"/>
      <w:szCs w:val="21"/>
    </w:rPr>
  </w:style>
  <w:style w:type="paragraph" w:styleId="20">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1">
    <w:name w:val="Date"/>
    <w:basedOn w:val="1"/>
    <w:next w:val="1"/>
    <w:qFormat/>
    <w:uiPriority w:val="0"/>
    <w:pPr>
      <w:ind w:left="100" w:leftChars="2500"/>
    </w:pPr>
    <w:rPr>
      <w:rFonts w:eastAsia="华文中宋"/>
      <w:b/>
      <w:bCs/>
      <w:w w:val="90"/>
      <w:sz w:val="36"/>
    </w:rPr>
  </w:style>
  <w:style w:type="paragraph" w:styleId="22">
    <w:name w:val="Body Text Indent 2"/>
    <w:basedOn w:val="1"/>
    <w:qFormat/>
    <w:uiPriority w:val="0"/>
    <w:pPr>
      <w:spacing w:line="360" w:lineRule="auto"/>
      <w:ind w:firstLine="480" w:firstLineChars="200"/>
    </w:pPr>
    <w:rPr>
      <w:sz w:val="24"/>
    </w:rPr>
  </w:style>
  <w:style w:type="paragraph" w:styleId="23">
    <w:name w:val="endnote text"/>
    <w:basedOn w:val="1"/>
    <w:link w:val="55"/>
    <w:semiHidden/>
    <w:unhideWhenUsed/>
    <w:qFormat/>
    <w:uiPriority w:val="0"/>
    <w:pPr>
      <w:snapToGrid w:val="0"/>
      <w:jc w:val="left"/>
    </w:pPr>
  </w:style>
  <w:style w:type="paragraph" w:styleId="24">
    <w:name w:val="Balloon Text"/>
    <w:basedOn w:val="1"/>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9">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30">
    <w:name w:val="Body Text Indent 3"/>
    <w:basedOn w:val="1"/>
    <w:qFormat/>
    <w:uiPriority w:val="0"/>
    <w:pPr>
      <w:spacing w:line="360" w:lineRule="auto"/>
      <w:ind w:left="420"/>
    </w:pPr>
    <w:rPr>
      <w:sz w:val="24"/>
    </w:rPr>
  </w:style>
  <w:style w:type="paragraph" w:styleId="31">
    <w:name w:val="toc 2"/>
    <w:basedOn w:val="1"/>
    <w:next w:val="1"/>
    <w:qFormat/>
    <w:uiPriority w:val="39"/>
    <w:pPr>
      <w:ind w:left="420" w:leftChars="200"/>
    </w:pPr>
  </w:style>
  <w:style w:type="paragraph" w:styleId="32">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5">
    <w:name w:val="annotation subject"/>
    <w:basedOn w:val="14"/>
    <w:next w:val="14"/>
    <w:link w:val="62"/>
    <w:semiHidden/>
    <w:unhideWhenUsed/>
    <w:qFormat/>
    <w:uiPriority w:val="0"/>
    <w:rPr>
      <w:b/>
      <w:bCs/>
    </w:rPr>
  </w:style>
  <w:style w:type="table" w:styleId="37">
    <w:name w:val="Table Grid"/>
    <w:basedOn w:val="36"/>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endnote reference"/>
    <w:basedOn w:val="38"/>
    <w:semiHidden/>
    <w:unhideWhenUsed/>
    <w:qFormat/>
    <w:uiPriority w:val="0"/>
    <w:rPr>
      <w:vertAlign w:val="superscript"/>
    </w:rPr>
  </w:style>
  <w:style w:type="character" w:styleId="40">
    <w:name w:val="page number"/>
    <w:basedOn w:val="38"/>
    <w:qFormat/>
    <w:uiPriority w:val="0"/>
  </w:style>
  <w:style w:type="character" w:styleId="41">
    <w:name w:val="Hyperlink"/>
    <w:basedOn w:val="38"/>
    <w:qFormat/>
    <w:uiPriority w:val="99"/>
    <w:rPr>
      <w:color w:val="0000FF"/>
      <w:u w:val="single"/>
    </w:rPr>
  </w:style>
  <w:style w:type="character" w:styleId="42">
    <w:name w:val="annotation reference"/>
    <w:basedOn w:val="38"/>
    <w:semiHidden/>
    <w:unhideWhenUsed/>
    <w:qFormat/>
    <w:uiPriority w:val="0"/>
    <w:rPr>
      <w:sz w:val="21"/>
      <w:szCs w:val="21"/>
    </w:rPr>
  </w:style>
  <w:style w:type="character" w:customStyle="1" w:styleId="43">
    <w:name w:val="标题 2 Char"/>
    <w:basedOn w:val="38"/>
    <w:link w:val="3"/>
    <w:qFormat/>
    <w:uiPriority w:val="0"/>
    <w:rPr>
      <w:rFonts w:ascii="Arial" w:hAnsi="Arial" w:eastAsia="黑体"/>
      <w:b/>
      <w:bCs/>
      <w:kern w:val="2"/>
      <w:sz w:val="32"/>
      <w:szCs w:val="32"/>
      <w:lang w:val="en-US" w:eastAsia="zh-CN" w:bidi="ar-SA"/>
    </w:rPr>
  </w:style>
  <w:style w:type="character" w:customStyle="1" w:styleId="44">
    <w:name w:val="纯文本 Char1"/>
    <w:basedOn w:val="38"/>
    <w:link w:val="19"/>
    <w:qFormat/>
    <w:uiPriority w:val="0"/>
    <w:rPr>
      <w:rFonts w:ascii="宋体" w:hAnsi="Courier New" w:eastAsia="宋体" w:cs="Courier New"/>
      <w:kern w:val="2"/>
      <w:sz w:val="21"/>
      <w:szCs w:val="21"/>
      <w:lang w:val="en-US" w:eastAsia="zh-CN" w:bidi="ar-SA"/>
    </w:rPr>
  </w:style>
  <w:style w:type="character" w:customStyle="1" w:styleId="45">
    <w:name w:val="纯文本 Char"/>
    <w:basedOn w:val="38"/>
    <w:qFormat/>
    <w:uiPriority w:val="0"/>
    <w:rPr>
      <w:rFonts w:ascii="宋体" w:hAnsi="Courier New" w:eastAsia="宋体" w:cs="Courier New"/>
      <w:kern w:val="2"/>
      <w:sz w:val="21"/>
      <w:szCs w:val="21"/>
      <w:lang w:val="en-US" w:eastAsia="zh-CN" w:bidi="ar-SA"/>
    </w:rPr>
  </w:style>
  <w:style w:type="character" w:customStyle="1" w:styleId="46">
    <w:name w:val="首行缩进 Char Char"/>
    <w:basedOn w:val="38"/>
    <w:link w:val="47"/>
    <w:qFormat/>
    <w:uiPriority w:val="0"/>
    <w:rPr>
      <w:rFonts w:ascii="宋体" w:eastAsia="宋体" w:cs="宋体"/>
      <w:sz w:val="24"/>
      <w:lang w:val="en-GB" w:eastAsia="zh-CN" w:bidi="ar-SA"/>
    </w:rPr>
  </w:style>
  <w:style w:type="paragraph" w:customStyle="1" w:styleId="47">
    <w:name w:val="首行缩进"/>
    <w:link w:val="46"/>
    <w:qFormat/>
    <w:uiPriority w:val="0"/>
    <w:pPr>
      <w:widowControl w:val="0"/>
      <w:spacing w:beforeLines="50" w:line="300" w:lineRule="auto"/>
      <w:ind w:firstLine="480" w:firstLineChars="200"/>
    </w:pPr>
    <w:rPr>
      <w:rFonts w:ascii="宋体" w:hAnsi="Times New Roman" w:eastAsia="宋体" w:cs="宋体"/>
      <w:sz w:val="24"/>
      <w:lang w:val="en-GB" w:eastAsia="zh-CN" w:bidi="ar-SA"/>
    </w:rPr>
  </w:style>
  <w:style w:type="paragraph" w:customStyle="1" w:styleId="48">
    <w:name w:val="列出段落1"/>
    <w:basedOn w:val="1"/>
    <w:qFormat/>
    <w:uiPriority w:val="0"/>
    <w:pPr>
      <w:ind w:firstLine="420" w:firstLineChars="200"/>
    </w:pPr>
  </w:style>
  <w:style w:type="paragraph" w:customStyle="1" w:styleId="49">
    <w:name w:val="样式2"/>
    <w:basedOn w:val="1"/>
    <w:qFormat/>
    <w:uiPriority w:val="0"/>
    <w:pPr>
      <w:ind w:firstLine="200" w:firstLineChars="200"/>
    </w:pPr>
    <w:rPr>
      <w:rFonts w:eastAsia="仿宋_GB2312"/>
      <w:sz w:val="30"/>
    </w:rPr>
  </w:style>
  <w:style w:type="paragraph" w:customStyle="1" w:styleId="50">
    <w:name w:val="xl27"/>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51">
    <w:name w:val="样式1"/>
    <w:basedOn w:val="49"/>
    <w:qFormat/>
    <w:uiPriority w:val="0"/>
    <w:pPr>
      <w:ind w:firstLine="560"/>
    </w:pPr>
    <w:rPr>
      <w:rFonts w:eastAsia="宋体"/>
      <w:sz w:val="28"/>
      <w:u w:val="single"/>
    </w:rPr>
  </w:style>
  <w:style w:type="paragraph" w:customStyle="1" w:styleId="52">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3">
    <w:name w:val="样式3"/>
    <w:basedOn w:val="1"/>
    <w:qFormat/>
    <w:uiPriority w:val="0"/>
    <w:pPr>
      <w:tabs>
        <w:tab w:val="center" w:pos="4153"/>
        <w:tab w:val="right" w:pos="8306"/>
      </w:tabs>
      <w:snapToGrid w:val="0"/>
      <w:jc w:val="center"/>
    </w:pPr>
    <w:rPr>
      <w:sz w:val="18"/>
      <w:szCs w:val="18"/>
    </w:rPr>
  </w:style>
  <w:style w:type="paragraph" w:customStyle="1" w:styleId="54">
    <w:name w:val="Char Char Char Char"/>
    <w:basedOn w:val="1"/>
    <w:qFormat/>
    <w:uiPriority w:val="0"/>
    <w:rPr>
      <w:sz w:val="24"/>
    </w:rPr>
  </w:style>
  <w:style w:type="character" w:customStyle="1" w:styleId="55">
    <w:name w:val="尾注文本 Char"/>
    <w:basedOn w:val="38"/>
    <w:link w:val="23"/>
    <w:semiHidden/>
    <w:qFormat/>
    <w:uiPriority w:val="0"/>
    <w:rPr>
      <w:kern w:val="2"/>
      <w:sz w:val="21"/>
      <w:szCs w:val="24"/>
    </w:rPr>
  </w:style>
  <w:style w:type="paragraph" w:customStyle="1" w:styleId="56">
    <w:name w:val="标题 31"/>
    <w:basedOn w:val="1"/>
    <w:next w:val="1"/>
    <w:link w:val="58"/>
    <w:unhideWhenUsed/>
    <w:qFormat/>
    <w:uiPriority w:val="0"/>
    <w:pPr>
      <w:keepNext/>
      <w:keepLines/>
      <w:numPr>
        <w:ilvl w:val="2"/>
        <w:numId w:val="1"/>
      </w:numPr>
      <w:tabs>
        <w:tab w:val="left" w:pos="1276"/>
      </w:tabs>
      <w:spacing w:afterLines="30" w:line="560" w:lineRule="exact"/>
      <w:outlineLvl w:val="2"/>
    </w:pPr>
    <w:rPr>
      <w:rFonts w:eastAsia="黑体"/>
      <w:b/>
      <w:bCs/>
      <w:sz w:val="30"/>
      <w:szCs w:val="32"/>
      <w:lang w:val="zh-CN"/>
    </w:rPr>
  </w:style>
  <w:style w:type="paragraph" w:customStyle="1" w:styleId="57">
    <w:name w:val="文本正文"/>
    <w:basedOn w:val="1"/>
    <w:qFormat/>
    <w:uiPriority w:val="0"/>
    <w:pPr>
      <w:spacing w:afterLines="30" w:line="560" w:lineRule="exact"/>
      <w:ind w:firstLine="200" w:firstLineChars="200"/>
    </w:pPr>
    <w:rPr>
      <w:rFonts w:eastAsia="仿宋"/>
      <w:sz w:val="30"/>
    </w:rPr>
  </w:style>
  <w:style w:type="character" w:customStyle="1" w:styleId="58">
    <w:name w:val="标题 3 Char"/>
    <w:link w:val="56"/>
    <w:qFormat/>
    <w:uiPriority w:val="0"/>
    <w:rPr>
      <w:rFonts w:eastAsia="黑体"/>
      <w:b/>
      <w:bCs/>
      <w:kern w:val="2"/>
      <w:sz w:val="30"/>
      <w:szCs w:val="32"/>
      <w:lang w:val="zh-CN" w:eastAsia="zh-CN"/>
    </w:rPr>
  </w:style>
  <w:style w:type="paragraph" w:styleId="59">
    <w:name w:val="List Paragraph"/>
    <w:basedOn w:val="1"/>
    <w:qFormat/>
    <w:uiPriority w:val="34"/>
    <w:pPr>
      <w:ind w:firstLine="420" w:firstLineChars="200"/>
    </w:pPr>
  </w:style>
  <w:style w:type="paragraph" w:customStyle="1" w:styleId="60">
    <w:name w:val="1"/>
    <w:basedOn w:val="1"/>
    <w:qFormat/>
    <w:uiPriority w:val="0"/>
    <w:pPr>
      <w:widowControl/>
      <w:spacing w:after="160" w:line="240" w:lineRule="exact"/>
      <w:jc w:val="left"/>
    </w:pPr>
    <w:rPr>
      <w:rFonts w:ascii="Verdana" w:hAnsi="Verdana"/>
      <w:kern w:val="0"/>
      <w:sz w:val="20"/>
      <w:szCs w:val="20"/>
      <w:lang w:eastAsia="en-US"/>
    </w:rPr>
  </w:style>
  <w:style w:type="character" w:customStyle="1" w:styleId="61">
    <w:name w:val="批注文字 Char"/>
    <w:basedOn w:val="38"/>
    <w:link w:val="14"/>
    <w:semiHidden/>
    <w:qFormat/>
    <w:uiPriority w:val="0"/>
    <w:rPr>
      <w:kern w:val="2"/>
      <w:sz w:val="21"/>
      <w:szCs w:val="24"/>
    </w:rPr>
  </w:style>
  <w:style w:type="character" w:customStyle="1" w:styleId="62">
    <w:name w:val="批注主题 Char"/>
    <w:basedOn w:val="61"/>
    <w:link w:val="3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jujumao</Company>
  <Pages>54</Pages>
  <Words>24216</Words>
  <Characters>27022</Characters>
  <Lines>215</Lines>
  <Paragraphs>60</Paragraphs>
  <TotalTime>151</TotalTime>
  <ScaleCrop>false</ScaleCrop>
  <LinksUpToDate>false</LinksUpToDate>
  <CharactersWithSpaces>27469</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2023-03-24T14:21:00Z</dcterms:created>
  <dc:creator>user</dc:creator>
  <cp:lastModifiedBy>fushunshi</cp:lastModifiedBy>
  <cp:lastPrinted>2024-06-13T19:15:00Z</cp:lastPrinted>
  <dcterms:modified xsi:type="dcterms:W3CDTF">2026-01-27T08:51:02Z</dcterms:modified>
  <dc:title>抚顺市城市绿地系统规划</dc:title>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8AA6F8E43502413D91B92EC957ABF7A2</vt:lpwstr>
  </property>
</Properties>
</file>