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40"/>
          <w:tab w:val="center" w:pos="4218"/>
        </w:tabs>
        <w:spacing w:line="520" w:lineRule="exac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附 件1</w:t>
      </w:r>
    </w:p>
    <w:p>
      <w:pPr>
        <w:spacing w:line="520" w:lineRule="exact"/>
        <w:ind w:firstLine="688" w:firstLineChars="200"/>
        <w:jc w:val="left"/>
        <w:rPr>
          <w:rFonts w:hint="eastAsia" w:ascii="方正小标宋简体" w:hAnsi="宋体" w:eastAsia="方正小标宋简体" w:cs="宋体"/>
          <w:spacing w:val="-6"/>
          <w:kern w:val="0"/>
          <w:sz w:val="36"/>
          <w:szCs w:val="36"/>
        </w:rPr>
      </w:pPr>
      <w:r>
        <w:rPr>
          <w:rFonts w:hint="eastAsia" w:ascii="方正小标宋简体" w:hAnsi="仿宋_GB2312" w:eastAsia="方正小标宋简体" w:cs="仿宋_GB2312"/>
          <w:spacing w:val="-6"/>
          <w:sz w:val="36"/>
          <w:szCs w:val="36"/>
        </w:rPr>
        <w:t>抚顺市老旧小区改造提质工程领导小组</w:t>
      </w:r>
      <w:r>
        <w:rPr>
          <w:rFonts w:hint="eastAsia" w:ascii="方正小标宋简体" w:hAnsi="宋体" w:eastAsia="方正小标宋简体" w:cs="宋体"/>
          <w:spacing w:val="-6"/>
          <w:kern w:val="0"/>
          <w:sz w:val="36"/>
          <w:szCs w:val="36"/>
        </w:rPr>
        <w:t>组成人员名单</w:t>
      </w:r>
    </w:p>
    <w:p>
      <w:pPr>
        <w:spacing w:line="520" w:lineRule="exact"/>
        <w:ind w:firstLine="608" w:firstLineChars="200"/>
        <w:jc w:val="left"/>
        <w:rPr>
          <w:rFonts w:hint="eastAsia" w:ascii="方正仿宋简体" w:hAnsi="宋体" w:eastAsia="方正仿宋简体" w:cs="宋体"/>
          <w:spacing w:val="-6"/>
          <w:kern w:val="0"/>
          <w:szCs w:val="32"/>
        </w:rPr>
      </w:pPr>
    </w:p>
    <w:p>
      <w:pPr>
        <w:spacing w:line="520" w:lineRule="exact"/>
        <w:ind w:firstLine="632"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组  长：市长     </w:t>
      </w:r>
    </w:p>
    <w:p>
      <w:pPr>
        <w:spacing w:line="520" w:lineRule="exact"/>
        <w:ind w:firstLine="464"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w w:val="74"/>
          <w:szCs w:val="32"/>
        </w:rPr>
        <w:t>常务副组长：</w:t>
      </w:r>
      <w:r>
        <w:rPr>
          <w:rFonts w:hint="eastAsia" w:ascii="方正仿宋简体" w:hAnsi="仿宋_GB2312" w:eastAsia="方正仿宋简体" w:cs="仿宋_GB2312"/>
          <w:szCs w:val="32"/>
        </w:rPr>
        <w:t>分管市城建副市长</w:t>
      </w:r>
    </w:p>
    <w:p>
      <w:pPr>
        <w:spacing w:line="520" w:lineRule="exact"/>
        <w:ind w:firstLine="632"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副组长：分管市国资委副市长</w:t>
      </w:r>
    </w:p>
    <w:p>
      <w:pPr>
        <w:spacing w:line="520" w:lineRule="exact"/>
        <w:ind w:firstLine="632"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成  员：市政府分管城建副秘书长</w:t>
      </w:r>
    </w:p>
    <w:p>
      <w:pPr>
        <w:spacing w:line="520" w:lineRule="exact"/>
        <w:ind w:firstLine="632"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市政府分管国资副秘书长</w:t>
      </w:r>
    </w:p>
    <w:p>
      <w:pPr>
        <w:spacing w:line="520" w:lineRule="exact"/>
        <w:ind w:firstLine="1896" w:firstLineChars="6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市委宣传部常务副部长</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市信访局局长</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市发展改革委主任</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市工业和信息化委主任</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市公安局副局长  </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市民政局局长</w:t>
      </w:r>
    </w:p>
    <w:p>
      <w:pPr>
        <w:spacing w:line="520" w:lineRule="exact"/>
        <w:ind w:firstLine="1896" w:firstLineChars="6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市财政局局长    </w:t>
      </w:r>
    </w:p>
    <w:p>
      <w:pPr>
        <w:spacing w:line="520" w:lineRule="exact"/>
        <w:ind w:firstLine="632"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市规划局局长</w:t>
      </w:r>
    </w:p>
    <w:p>
      <w:pPr>
        <w:spacing w:line="520" w:lineRule="exact"/>
        <w:ind w:firstLine="632"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市住房城乡建设委主任    </w:t>
      </w:r>
    </w:p>
    <w:p>
      <w:pPr>
        <w:spacing w:line="520" w:lineRule="exact"/>
        <w:ind w:firstLine="632"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市城管局（市综合执法局）局长</w:t>
      </w:r>
    </w:p>
    <w:p>
      <w:pPr>
        <w:spacing w:line="520" w:lineRule="exact"/>
        <w:ind w:firstLine="632"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市交管局局长  </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市体育局局长</w:t>
      </w:r>
    </w:p>
    <w:p>
      <w:pPr>
        <w:spacing w:line="520" w:lineRule="exact"/>
        <w:ind w:firstLine="632" w:firstLineChars="20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市国资委主任</w:t>
      </w:r>
    </w:p>
    <w:p>
      <w:pPr>
        <w:spacing w:line="520" w:lineRule="exact"/>
        <w:jc w:val="left"/>
        <w:rPr>
          <w:rFonts w:hint="eastAsia" w:ascii="方正仿宋简体" w:hAnsi="仿宋_GB2312" w:eastAsia="方正仿宋简体" w:cs="仿宋_GB2312"/>
          <w:color w:val="FF0000"/>
          <w:szCs w:val="32"/>
        </w:rPr>
      </w:pPr>
      <w:r>
        <w:rPr>
          <w:rFonts w:hint="eastAsia" w:ascii="方正仿宋简体" w:hAnsi="仿宋_GB2312" w:eastAsia="方正仿宋简体" w:cs="仿宋_GB2312"/>
          <w:szCs w:val="32"/>
        </w:rPr>
        <w:t xml:space="preserve">            市质监局局长</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市营商环境建设监督局局长 </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市政府投资评审中心主任       </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新抚区政府区长    </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望花区政府区长    </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东洲区政府区长    </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顺城区政府区长                     </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市供电公司总经理  </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市供水集团董事长</w:t>
      </w:r>
    </w:p>
    <w:p>
      <w:pPr>
        <w:spacing w:line="520" w:lineRule="exact"/>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 xml:space="preserve">            市通信管理办公室主任</w:t>
      </w:r>
    </w:p>
    <w:p>
      <w:pPr>
        <w:spacing w:line="520" w:lineRule="exact"/>
        <w:ind w:firstLine="630"/>
        <w:jc w:val="left"/>
        <w:rPr>
          <w:rFonts w:hint="eastAsia" w:ascii="方正仿宋简体" w:hAnsi="仿宋_GB2312" w:eastAsia="方正仿宋简体" w:cs="仿宋_GB2312"/>
          <w:szCs w:val="32"/>
        </w:rPr>
      </w:pPr>
      <w:r>
        <w:rPr>
          <w:rFonts w:hint="eastAsia" w:ascii="方正仿宋简体" w:hAnsi="仿宋_GB2312" w:eastAsia="方正仿宋简体" w:cs="仿宋_GB2312"/>
          <w:szCs w:val="32"/>
        </w:rPr>
        <w:t>领导小组办公室设在市住房城乡建设委，成员单位为市财政局、国资委。办公室主任由市政府分管市城建副市长兼任。</w:t>
      </w: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widowControl/>
        <w:ind w:firstLine="1422" w:firstLineChars="450"/>
        <w:jc w:val="left"/>
        <w:rPr>
          <w:rFonts w:hint="eastAsia" w:ascii="方正仿宋简体" w:hAnsi="宋体" w:eastAsia="方正仿宋简体" w:cs="宋体"/>
          <w:kern w:val="0"/>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ascii="仿宋_GB2312" w:hAnsi="仿宋"/>
          <w:szCs w:val="32"/>
        </w:rPr>
        <w:sectPr>
          <w:footerReference r:id="rId3" w:type="default"/>
          <w:footerReference r:id="rId4" w:type="even"/>
          <w:pgSz w:w="11906" w:h="16838"/>
          <w:pgMar w:top="2098" w:right="1474" w:bottom="1985" w:left="1588" w:header="851" w:footer="1418" w:gutter="0"/>
          <w:cols w:space="425" w:num="1"/>
          <w:docGrid w:type="linesAndChars" w:linePitch="579" w:charSpace="-849"/>
        </w:sectPr>
      </w:pPr>
    </w:p>
    <w:p>
      <w:pPr>
        <w:jc w:val="left"/>
        <w:rPr>
          <w:rFonts w:hint="eastAsia" w:ascii="方正黑体简体" w:hAnsi="宋体" w:eastAsia="方正黑体简体" w:cs="宋体"/>
          <w:color w:val="000000"/>
          <w:kern w:val="0"/>
          <w:szCs w:val="32"/>
          <w:lang w:eastAsia="zh-CN" w:bidi="ar"/>
        </w:rPr>
      </w:pPr>
      <w:r>
        <w:rPr>
          <w:rFonts w:hint="eastAsia" w:ascii="方正黑体简体" w:hAnsi="宋体" w:eastAsia="方正黑体简体" w:cs="宋体"/>
          <w:color w:val="000000"/>
          <w:kern w:val="0"/>
          <w:szCs w:val="32"/>
          <w:lang w:bidi="ar"/>
        </w:rPr>
        <w:t>附件</w:t>
      </w:r>
      <w:r>
        <w:rPr>
          <w:rFonts w:hint="eastAsia" w:ascii="方正黑体简体" w:hAnsi="宋体" w:eastAsia="方正黑体简体" w:cs="宋体"/>
          <w:color w:val="000000"/>
          <w:kern w:val="0"/>
          <w:szCs w:val="32"/>
          <w:lang w:val="en-US" w:eastAsia="zh-CN" w:bidi="ar"/>
        </w:rPr>
        <w:t>2</w:t>
      </w:r>
      <w:bookmarkStart w:id="0" w:name="_GoBack"/>
      <w:bookmarkEnd w:id="0"/>
    </w:p>
    <w:p>
      <w:pPr>
        <w:jc w:val="center"/>
        <w:rPr>
          <w:rFonts w:hint="eastAsia"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抚顺市2018年老旧小区改造提质计划表</w:t>
      </w:r>
    </w:p>
    <w:p>
      <w:pPr>
        <w:jc w:val="right"/>
        <w:rPr>
          <w:rFonts w:hint="eastAsia" w:ascii="宋体" w:hAnsi="宋体" w:eastAsia="宋体" w:cs="宋体"/>
          <w:color w:val="000000"/>
          <w:kern w:val="0"/>
          <w:szCs w:val="32"/>
          <w:lang w:bidi="ar"/>
        </w:rPr>
      </w:pPr>
      <w:r>
        <w:rPr>
          <w:rFonts w:hint="eastAsia" w:ascii="宋体" w:hAnsi="宋体" w:eastAsia="宋体" w:cs="宋体"/>
          <w:color w:val="000000"/>
          <w:kern w:val="0"/>
          <w:szCs w:val="32"/>
          <w:lang w:bidi="ar"/>
        </w:rPr>
        <w:t>单位：个</w:t>
      </w:r>
    </w:p>
    <w:tbl>
      <w:tblPr>
        <w:tblStyle w:val="6"/>
        <w:tblW w:w="13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exact"/>
        </w:trPr>
        <w:tc>
          <w:tcPr>
            <w:tcW w:w="4958" w:type="dxa"/>
            <w:vAlign w:val="center"/>
          </w:tcPr>
          <w:p>
            <w:pPr>
              <w:widowControl/>
              <w:jc w:val="center"/>
              <w:textAlignment w:val="center"/>
              <w:rPr>
                <w:rFonts w:hint="eastAsia" w:ascii="仿宋" w:hAnsi="仿宋" w:eastAsia="仿宋" w:cs="仿宋"/>
                <w:color w:val="000000"/>
                <w:kern w:val="0"/>
                <w:sz w:val="36"/>
                <w:szCs w:val="36"/>
                <w:lang w:bidi="ar"/>
              </w:rPr>
            </w:pPr>
            <w:r>
              <w:rPr>
                <w:rFonts w:hint="eastAsia" w:ascii="仿宋" w:hAnsi="仿宋" w:eastAsia="仿宋" w:cs="仿宋"/>
                <w:b/>
                <w:bCs/>
                <w:color w:val="000000"/>
                <w:kern w:val="0"/>
                <w:sz w:val="36"/>
                <w:szCs w:val="36"/>
                <w:lang w:bidi="ar"/>
              </w:rPr>
              <w:t>全市合计</w:t>
            </w:r>
          </w:p>
        </w:tc>
        <w:tc>
          <w:tcPr>
            <w:tcW w:w="8090" w:type="dxa"/>
            <w:vAlign w:val="center"/>
          </w:tcPr>
          <w:p>
            <w:pPr>
              <w:jc w:val="center"/>
              <w:rPr>
                <w:rFonts w:eastAsia="仿宋"/>
                <w:color w:val="000000"/>
                <w:kern w:val="0"/>
                <w:sz w:val="36"/>
                <w:szCs w:val="36"/>
                <w:lang w:bidi="ar"/>
              </w:rPr>
            </w:pPr>
            <w:r>
              <w:rPr>
                <w:rFonts w:hint="eastAsia" w:eastAsia="仿宋"/>
                <w:color w:val="000000"/>
                <w:kern w:val="0"/>
                <w:sz w:val="36"/>
                <w:szCs w:val="36"/>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exact"/>
        </w:trPr>
        <w:tc>
          <w:tcPr>
            <w:tcW w:w="4958" w:type="dxa"/>
            <w:vAlign w:val="center"/>
          </w:tcPr>
          <w:p>
            <w:pPr>
              <w:widowControl/>
              <w:jc w:val="center"/>
              <w:textAlignment w:val="center"/>
              <w:rPr>
                <w:rFonts w:hint="eastAsia" w:ascii="仿宋" w:hAnsi="仿宋" w:eastAsia="仿宋" w:cs="仿宋"/>
                <w:color w:val="000000"/>
                <w:kern w:val="0"/>
                <w:sz w:val="36"/>
                <w:szCs w:val="36"/>
                <w:lang w:bidi="ar"/>
              </w:rPr>
            </w:pPr>
            <w:r>
              <w:rPr>
                <w:rFonts w:hint="eastAsia" w:ascii="仿宋" w:hAnsi="仿宋" w:eastAsia="仿宋" w:cs="仿宋"/>
                <w:color w:val="000000"/>
                <w:kern w:val="0"/>
                <w:sz w:val="36"/>
                <w:szCs w:val="36"/>
                <w:lang w:bidi="ar"/>
              </w:rPr>
              <w:t>新抚区</w:t>
            </w:r>
          </w:p>
        </w:tc>
        <w:tc>
          <w:tcPr>
            <w:tcW w:w="8090" w:type="dxa"/>
            <w:vAlign w:val="center"/>
          </w:tcPr>
          <w:p>
            <w:pPr>
              <w:jc w:val="center"/>
              <w:rPr>
                <w:rFonts w:eastAsia="仿宋"/>
                <w:color w:val="000000"/>
                <w:kern w:val="0"/>
                <w:sz w:val="36"/>
                <w:szCs w:val="36"/>
                <w:lang w:bidi="ar"/>
              </w:rPr>
            </w:pPr>
            <w:r>
              <w:rPr>
                <w:rFonts w:hint="eastAsia" w:eastAsia="仿宋"/>
                <w:color w:val="000000"/>
                <w:kern w:val="0"/>
                <w:sz w:val="36"/>
                <w:szCs w:val="36"/>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exact"/>
        </w:trPr>
        <w:tc>
          <w:tcPr>
            <w:tcW w:w="4958" w:type="dxa"/>
            <w:vAlign w:val="center"/>
          </w:tcPr>
          <w:p>
            <w:pPr>
              <w:widowControl/>
              <w:jc w:val="center"/>
              <w:textAlignment w:val="center"/>
              <w:rPr>
                <w:rFonts w:hint="eastAsia" w:ascii="仿宋" w:hAnsi="仿宋" w:eastAsia="仿宋" w:cs="仿宋"/>
                <w:color w:val="000000"/>
                <w:kern w:val="0"/>
                <w:sz w:val="36"/>
                <w:szCs w:val="36"/>
                <w:lang w:bidi="ar"/>
              </w:rPr>
            </w:pPr>
            <w:r>
              <w:rPr>
                <w:rFonts w:hint="eastAsia" w:ascii="仿宋" w:hAnsi="仿宋" w:eastAsia="仿宋" w:cs="仿宋"/>
                <w:color w:val="000000"/>
                <w:kern w:val="0"/>
                <w:sz w:val="36"/>
                <w:szCs w:val="36"/>
                <w:lang w:bidi="ar"/>
              </w:rPr>
              <w:t>望花区</w:t>
            </w:r>
          </w:p>
        </w:tc>
        <w:tc>
          <w:tcPr>
            <w:tcW w:w="8090" w:type="dxa"/>
            <w:vAlign w:val="center"/>
          </w:tcPr>
          <w:p>
            <w:pPr>
              <w:jc w:val="center"/>
              <w:rPr>
                <w:rFonts w:eastAsia="仿宋"/>
                <w:color w:val="000000"/>
                <w:kern w:val="0"/>
                <w:sz w:val="36"/>
                <w:szCs w:val="36"/>
                <w:lang w:bidi="ar"/>
              </w:rPr>
            </w:pPr>
            <w:r>
              <w:rPr>
                <w:rFonts w:hint="eastAsia" w:eastAsia="仿宋"/>
                <w:color w:val="000000"/>
                <w:kern w:val="0"/>
                <w:sz w:val="36"/>
                <w:szCs w:val="36"/>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exact"/>
        </w:trPr>
        <w:tc>
          <w:tcPr>
            <w:tcW w:w="4958" w:type="dxa"/>
            <w:vAlign w:val="center"/>
          </w:tcPr>
          <w:p>
            <w:pPr>
              <w:widowControl/>
              <w:jc w:val="center"/>
              <w:textAlignment w:val="center"/>
              <w:rPr>
                <w:rFonts w:hint="eastAsia" w:ascii="仿宋" w:hAnsi="仿宋" w:eastAsia="仿宋" w:cs="仿宋"/>
                <w:color w:val="000000"/>
                <w:kern w:val="0"/>
                <w:sz w:val="36"/>
                <w:szCs w:val="36"/>
                <w:lang w:bidi="ar"/>
              </w:rPr>
            </w:pPr>
            <w:r>
              <w:rPr>
                <w:rFonts w:hint="eastAsia" w:ascii="仿宋" w:hAnsi="仿宋" w:eastAsia="仿宋" w:cs="仿宋"/>
                <w:color w:val="000000"/>
                <w:kern w:val="0"/>
                <w:sz w:val="36"/>
                <w:szCs w:val="36"/>
                <w:lang w:bidi="ar"/>
              </w:rPr>
              <w:t>顺城区</w:t>
            </w:r>
          </w:p>
        </w:tc>
        <w:tc>
          <w:tcPr>
            <w:tcW w:w="8090" w:type="dxa"/>
            <w:vAlign w:val="center"/>
          </w:tcPr>
          <w:p>
            <w:pPr>
              <w:jc w:val="center"/>
              <w:rPr>
                <w:rFonts w:eastAsia="仿宋"/>
                <w:color w:val="000000"/>
                <w:kern w:val="0"/>
                <w:sz w:val="36"/>
                <w:szCs w:val="36"/>
                <w:lang w:bidi="ar"/>
              </w:rPr>
            </w:pPr>
            <w:r>
              <w:rPr>
                <w:rFonts w:hint="eastAsia" w:eastAsia="仿宋"/>
                <w:color w:val="000000"/>
                <w:kern w:val="0"/>
                <w:sz w:val="36"/>
                <w:szCs w:val="36"/>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exact"/>
        </w:trPr>
        <w:tc>
          <w:tcPr>
            <w:tcW w:w="4958" w:type="dxa"/>
            <w:vAlign w:val="center"/>
          </w:tcPr>
          <w:p>
            <w:pPr>
              <w:widowControl/>
              <w:jc w:val="center"/>
              <w:textAlignment w:val="center"/>
              <w:rPr>
                <w:rFonts w:hint="eastAsia" w:ascii="仿宋" w:hAnsi="仿宋" w:eastAsia="仿宋" w:cs="仿宋"/>
                <w:color w:val="000000"/>
                <w:kern w:val="0"/>
                <w:sz w:val="36"/>
                <w:szCs w:val="36"/>
                <w:lang w:bidi="ar"/>
              </w:rPr>
            </w:pPr>
            <w:r>
              <w:rPr>
                <w:rFonts w:hint="eastAsia" w:ascii="仿宋" w:hAnsi="仿宋" w:eastAsia="仿宋" w:cs="仿宋"/>
                <w:color w:val="000000"/>
                <w:kern w:val="0"/>
                <w:sz w:val="36"/>
                <w:szCs w:val="36"/>
                <w:lang w:bidi="ar"/>
              </w:rPr>
              <w:t>东洲区</w:t>
            </w:r>
          </w:p>
        </w:tc>
        <w:tc>
          <w:tcPr>
            <w:tcW w:w="8090" w:type="dxa"/>
            <w:vAlign w:val="center"/>
          </w:tcPr>
          <w:p>
            <w:pPr>
              <w:jc w:val="center"/>
              <w:rPr>
                <w:rFonts w:eastAsia="仿宋"/>
                <w:color w:val="000000"/>
                <w:kern w:val="0"/>
                <w:sz w:val="36"/>
                <w:szCs w:val="36"/>
                <w:lang w:bidi="ar"/>
              </w:rPr>
            </w:pPr>
            <w:r>
              <w:rPr>
                <w:rFonts w:hint="eastAsia" w:eastAsia="仿宋"/>
                <w:color w:val="000000"/>
                <w:kern w:val="0"/>
                <w:sz w:val="36"/>
                <w:szCs w:val="36"/>
                <w:lang w:bidi="ar"/>
              </w:rPr>
              <w:t>2</w:t>
            </w:r>
          </w:p>
        </w:tc>
      </w:tr>
    </w:tbl>
    <w:p>
      <w:pPr>
        <w:rPr>
          <w:rFonts w:hint="eastAsia" w:ascii="仿宋" w:hAnsi="仿宋" w:eastAsia="仿宋" w:cs="仿宋"/>
          <w:szCs w:val="32"/>
        </w:rPr>
      </w:pPr>
    </w:p>
    <w:p>
      <w:pPr>
        <w:spacing w:line="560" w:lineRule="exact"/>
        <w:ind w:firstLine="632" w:firstLineChars="200"/>
        <w:rPr>
          <w:rFonts w:ascii="仿宋_GB2312" w:hAnsi="仿宋"/>
          <w:szCs w:val="32"/>
        </w:rPr>
        <w:sectPr>
          <w:pgSz w:w="16838" w:h="11906" w:orient="landscape"/>
          <w:pgMar w:top="1474" w:right="1985" w:bottom="1588" w:left="2098" w:header="851" w:footer="1418" w:gutter="0"/>
          <w:cols w:space="425" w:num="1"/>
          <w:docGrid w:type="linesAndChars" w:linePitch="579" w:charSpace="-849"/>
        </w:sectPr>
      </w:pPr>
    </w:p>
    <w:p>
      <w:pPr>
        <w:rPr>
          <w:rFonts w:hint="eastAsia" w:ascii="方正黑体简体" w:eastAsia="方正黑体简体" w:cs="宋体"/>
          <w:szCs w:val="32"/>
          <w:lang w:eastAsia="zh-CN"/>
        </w:rPr>
      </w:pPr>
      <w:r>
        <w:rPr>
          <w:rFonts w:hint="eastAsia" w:ascii="方正黑体简体" w:hAnsi="宋体" w:eastAsia="方正黑体简体" w:cs="宋体"/>
          <w:szCs w:val="32"/>
        </w:rPr>
        <w:t>附件</w:t>
      </w:r>
      <w:r>
        <w:rPr>
          <w:rFonts w:hint="eastAsia" w:ascii="方正黑体简体" w:hAnsi="宋体" w:eastAsia="方正黑体简体" w:cs="宋体"/>
          <w:szCs w:val="32"/>
          <w:lang w:val="en-US" w:eastAsia="zh-CN"/>
        </w:rPr>
        <w:t>3</w:t>
      </w:r>
    </w:p>
    <w:p>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抚顺市</w:t>
      </w: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年老旧小区</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改造提质工程资金计算规则</w:t>
      </w:r>
    </w:p>
    <w:p>
      <w:pPr>
        <w:rPr>
          <w:rFonts w:ascii="仿宋" w:hAnsi="仿宋" w:eastAsia="仿宋" w:cs="仿宋"/>
          <w:szCs w:val="32"/>
        </w:rPr>
      </w:pPr>
    </w:p>
    <w:p>
      <w:pPr>
        <w:ind w:firstLine="632" w:firstLineChars="200"/>
        <w:rPr>
          <w:rFonts w:hint="eastAsia" w:ascii="方正仿宋简体" w:hAnsi="仿宋" w:eastAsia="方正仿宋简体" w:cs="仿宋"/>
          <w:szCs w:val="32"/>
        </w:rPr>
      </w:pPr>
      <w:r>
        <w:rPr>
          <w:rFonts w:hint="eastAsia" w:ascii="方正仿宋简体" w:hAnsi="仿宋" w:eastAsia="方正仿宋简体" w:cs="仿宋"/>
          <w:szCs w:val="32"/>
        </w:rPr>
        <w:t>一、市住房城乡建设委会同市财政、国资委根据工程进度按评审核定金额分期拨付，确保改造达到基本标准的资金需要。</w:t>
      </w:r>
    </w:p>
    <w:p>
      <w:pPr>
        <w:ind w:firstLine="632" w:firstLineChars="200"/>
        <w:rPr>
          <w:rFonts w:hint="eastAsia" w:ascii="方正仿宋简体" w:hAnsi="仿宋" w:eastAsia="方正仿宋简体" w:cs="仿宋"/>
          <w:szCs w:val="32"/>
        </w:rPr>
      </w:pPr>
      <w:r>
        <w:rPr>
          <w:rFonts w:hint="eastAsia" w:ascii="方正仿宋简体" w:hAnsi="仿宋" w:eastAsia="方正仿宋简体" w:cs="仿宋"/>
          <w:szCs w:val="32"/>
        </w:rPr>
        <w:t>二、改造类别中，房屋建筑本体、基础配套设施、小区生活环境、公共服务设施的基本完善类项目，对达到改造基本标准的项目，改造费用由市财政统筹拨付。</w:t>
      </w:r>
    </w:p>
    <w:p>
      <w:pPr>
        <w:ind w:firstLine="632" w:firstLineChars="200"/>
        <w:rPr>
          <w:rFonts w:hint="eastAsia" w:ascii="方正仿宋简体" w:hAnsi="仿宋" w:eastAsia="方正仿宋简体" w:cs="仿宋"/>
          <w:szCs w:val="32"/>
        </w:rPr>
      </w:pPr>
      <w:r>
        <w:rPr>
          <w:rFonts w:hint="eastAsia" w:ascii="方正仿宋简体" w:hAnsi="仿宋" w:eastAsia="方正仿宋简体" w:cs="仿宋"/>
          <w:szCs w:val="32"/>
        </w:rPr>
        <w:t>三、关于老旧小区改造提质项目中的提质选做项目，原则上由各区吸引社会资本、动员小区居民参与小区改造，增加社会资本和业主自筹资金的投入量，扩大改造规模，作为提质选做项目改造费用。</w:t>
      </w:r>
    </w:p>
    <w:p>
      <w:pPr>
        <w:ind w:firstLine="632" w:firstLineChars="200"/>
        <w:rPr>
          <w:rFonts w:hint="eastAsia" w:ascii="方正仿宋简体" w:hAnsi="仿宋" w:eastAsia="方正仿宋简体" w:cs="仿宋"/>
          <w:szCs w:val="32"/>
        </w:rPr>
      </w:pPr>
      <w:r>
        <w:rPr>
          <w:rFonts w:hint="eastAsia" w:ascii="方正仿宋简体" w:hAnsi="仿宋" w:eastAsia="方正仿宋简体" w:cs="仿宋"/>
          <w:szCs w:val="32"/>
        </w:rPr>
        <w:t>四、对提质选做项目经相关单位验收合格并投入使用的，由抚顺市老旧小区改造提质工作领导小组根据评定结果，结合项目对小区百姓满意程度给予后续工程项目奖励。</w:t>
      </w:r>
    </w:p>
    <w:p>
      <w:pPr>
        <w:ind w:firstLine="632" w:firstLineChars="200"/>
        <w:rPr>
          <w:rFonts w:hint="eastAsia" w:ascii="方正仿宋简体" w:hAnsi="仿宋" w:eastAsia="方正仿宋简体" w:cs="仿宋"/>
          <w:szCs w:val="32"/>
        </w:rPr>
      </w:pPr>
      <w:r>
        <w:rPr>
          <w:rFonts w:hint="eastAsia" w:ascii="方正仿宋简体" w:hAnsi="仿宋" w:eastAsia="方正仿宋简体" w:cs="仿宋"/>
          <w:szCs w:val="32"/>
        </w:rPr>
        <w:t>五、供水、供气、供暖、供电及通信等管网及设施改造，已经明确产权专业单位管理的由相关专业产权单位同步实施并承担其改造费用，本次新移交项目的改造费用由市财政统筹安排。</w:t>
      </w:r>
    </w:p>
    <w:p>
      <w:pPr>
        <w:ind w:firstLine="632" w:firstLineChars="200"/>
        <w:rPr>
          <w:rFonts w:hint="eastAsia" w:ascii="方正仿宋简体" w:hAnsi="仿宋" w:eastAsia="方正仿宋简体" w:cs="仿宋"/>
          <w:szCs w:val="32"/>
        </w:rPr>
      </w:pPr>
      <w:r>
        <w:rPr>
          <w:rFonts w:hint="eastAsia" w:ascii="方正仿宋简体" w:hAnsi="仿宋" w:eastAsia="方正仿宋简体" w:cs="仿宋"/>
          <w:szCs w:val="32"/>
        </w:rPr>
        <w:t>六、各小区内管线工程施工的路面开挖、恢复工程预算统一安排由各区组织实施，重复施工费用由专业公司自行承担。</w:t>
      </w:r>
    </w:p>
    <w:p>
      <w:pPr>
        <w:ind w:firstLine="632" w:firstLineChars="200"/>
        <w:rPr>
          <w:rFonts w:hint="eastAsia" w:ascii="方正仿宋简体" w:hAnsi="仿宋" w:eastAsia="方正仿宋简体" w:cs="仿宋"/>
          <w:szCs w:val="32"/>
        </w:rPr>
      </w:pPr>
      <w:r>
        <w:rPr>
          <w:rFonts w:hint="eastAsia" w:ascii="方正仿宋简体" w:hAnsi="仿宋" w:eastAsia="方正仿宋简体" w:cs="仿宋"/>
          <w:szCs w:val="32"/>
        </w:rPr>
        <w:t>七、各区可以根据本区实际情况对资金计算标准进行适当调整，制定区级标准。</w:t>
      </w:r>
    </w:p>
    <w:p>
      <w:pPr>
        <w:ind w:firstLine="632" w:firstLineChars="200"/>
        <w:rPr>
          <w:rFonts w:hint="eastAsia" w:ascii="方正仿宋简体" w:hAnsi="仿宋" w:eastAsia="方正仿宋简体" w:cs="仿宋"/>
          <w:szCs w:val="32"/>
        </w:rPr>
      </w:pPr>
      <w:r>
        <w:rPr>
          <w:rFonts w:hint="eastAsia" w:ascii="方正仿宋简体" w:hAnsi="仿宋" w:eastAsia="方正仿宋简体" w:cs="仿宋"/>
          <w:szCs w:val="32"/>
        </w:rPr>
        <w:t>八、区政府可根据本地区实际情况，研究制定鼓励骨干物业企业接管老旧小区的支持政策，其标准和办法由项目所在区政府自行确定。</w:t>
      </w:r>
    </w:p>
    <w:p>
      <w:pPr>
        <w:ind w:firstLine="632" w:firstLineChars="200"/>
        <w:rPr>
          <w:rFonts w:hint="eastAsia" w:ascii="方正仿宋简体" w:hAnsi="仿宋" w:eastAsia="方正仿宋简体" w:cs="仿宋"/>
          <w:szCs w:val="32"/>
        </w:rPr>
      </w:pPr>
      <w:r>
        <w:rPr>
          <w:rFonts w:hint="eastAsia" w:ascii="方正仿宋简体" w:hAnsi="仿宋" w:eastAsia="方正仿宋简体" w:cs="仿宋"/>
          <w:szCs w:val="32"/>
        </w:rPr>
        <w:t>九、改造工程监管和资金支付办法，另行规定。</w:t>
      </w:r>
    </w:p>
    <w:p>
      <w:pPr>
        <w:rPr>
          <w:rFonts w:ascii="仿宋" w:hAnsi="仿宋" w:eastAsia="仿宋" w:cs="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ascii="仿宋_GB2312" w:hAnsi="仿宋"/>
          <w:szCs w:val="32"/>
        </w:rPr>
        <w:sectPr>
          <w:pgSz w:w="11906" w:h="16838"/>
          <w:pgMar w:top="2098" w:right="1474" w:bottom="1985" w:left="1588" w:header="851" w:footer="1418" w:gutter="0"/>
          <w:cols w:space="425" w:num="1"/>
          <w:docGrid w:type="linesAndChars" w:linePitch="579" w:charSpace="-849"/>
        </w:sectPr>
      </w:pPr>
    </w:p>
    <w:p>
      <w:pPr>
        <w:spacing w:line="560" w:lineRule="exact"/>
        <w:rPr>
          <w:rFonts w:hint="eastAsia" w:ascii="仿宋_GB2312" w:hAnsi="仿宋" w:eastAsia="仿宋_GB2312"/>
          <w:szCs w:val="32"/>
          <w:lang w:eastAsia="zh-CN"/>
        </w:rPr>
      </w:pPr>
      <w:r>
        <w:rPr>
          <w:rFonts w:hint="eastAsia" w:ascii="仿宋_GB2312" w:hAnsi="仿宋"/>
          <w:szCs w:val="32"/>
        </w:rPr>
        <w:t>附件</w:t>
      </w:r>
      <w:r>
        <w:rPr>
          <w:rFonts w:hint="eastAsia" w:ascii="仿宋_GB2312" w:hAnsi="仿宋"/>
          <w:szCs w:val="32"/>
          <w:lang w:val="en-US" w:eastAsia="zh-CN"/>
        </w:rPr>
        <w:t>4</w:t>
      </w:r>
    </w:p>
    <w:tbl>
      <w:tblPr>
        <w:tblStyle w:val="6"/>
        <w:tblW w:w="12615" w:type="dxa"/>
        <w:tblInd w:w="93" w:type="dxa"/>
        <w:tblLayout w:type="fixed"/>
        <w:tblCellMar>
          <w:top w:w="0" w:type="dxa"/>
          <w:left w:w="108" w:type="dxa"/>
          <w:bottom w:w="0" w:type="dxa"/>
          <w:right w:w="108" w:type="dxa"/>
        </w:tblCellMar>
      </w:tblPr>
      <w:tblGrid>
        <w:gridCol w:w="700"/>
        <w:gridCol w:w="700"/>
        <w:gridCol w:w="1900"/>
        <w:gridCol w:w="3880"/>
        <w:gridCol w:w="5435"/>
      </w:tblGrid>
      <w:tr>
        <w:tblPrEx>
          <w:tblLayout w:type="fixed"/>
          <w:tblCellMar>
            <w:top w:w="0" w:type="dxa"/>
            <w:left w:w="108" w:type="dxa"/>
            <w:bottom w:w="0" w:type="dxa"/>
            <w:right w:w="108" w:type="dxa"/>
          </w:tblCellMar>
        </w:tblPrEx>
        <w:trPr>
          <w:trHeight w:val="739" w:hRule="atLeast"/>
        </w:trPr>
        <w:tc>
          <w:tcPr>
            <w:tcW w:w="12615" w:type="dxa"/>
            <w:gridSpan w:val="5"/>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8"/>
                <w:szCs w:val="48"/>
              </w:rPr>
            </w:pPr>
            <w:r>
              <w:rPr>
                <w:rFonts w:hint="eastAsia" w:ascii="方正小标宋简体" w:hAnsi="宋体" w:eastAsia="方正小标宋简体" w:cs="宋体"/>
                <w:kern w:val="0"/>
                <w:sz w:val="48"/>
                <w:szCs w:val="48"/>
              </w:rPr>
              <w:t>抚顺市2018年老旧小区改造提质标准</w:t>
            </w:r>
          </w:p>
        </w:tc>
      </w:tr>
      <w:tr>
        <w:tblPrEx>
          <w:tblLayout w:type="fixed"/>
          <w:tblCellMar>
            <w:top w:w="0" w:type="dxa"/>
            <w:left w:w="108" w:type="dxa"/>
            <w:bottom w:w="0" w:type="dxa"/>
            <w:right w:w="108" w:type="dxa"/>
          </w:tblCellMar>
        </w:tblPrEx>
        <w:trPr>
          <w:trHeight w:val="60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类别</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序号</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项目名称</w:t>
            </w:r>
          </w:p>
        </w:tc>
        <w:tc>
          <w:tcPr>
            <w:tcW w:w="3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基本标准</w:t>
            </w:r>
          </w:p>
        </w:tc>
        <w:tc>
          <w:tcPr>
            <w:tcW w:w="54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6"/>
                <w:szCs w:val="26"/>
              </w:rPr>
            </w:pPr>
            <w:r>
              <w:rPr>
                <w:rFonts w:hint="eastAsia" w:ascii="宋体" w:hAnsi="宋体" w:eastAsia="宋体" w:cs="宋体"/>
                <w:b/>
                <w:bCs/>
                <w:kern w:val="0"/>
                <w:sz w:val="26"/>
                <w:szCs w:val="26"/>
              </w:rPr>
              <w:t>提质标准</w:t>
            </w:r>
          </w:p>
        </w:tc>
      </w:tr>
      <w:tr>
        <w:tblPrEx>
          <w:tblLayout w:type="fixed"/>
          <w:tblCellMar>
            <w:top w:w="0" w:type="dxa"/>
            <w:left w:w="108" w:type="dxa"/>
            <w:bottom w:w="0" w:type="dxa"/>
            <w:right w:w="108" w:type="dxa"/>
          </w:tblCellMar>
        </w:tblPrEx>
        <w:trPr>
          <w:trHeight w:val="589"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b/>
                <w:bCs/>
                <w:kern w:val="0"/>
                <w:sz w:val="24"/>
                <w:szCs w:val="24"/>
              </w:rPr>
            </w:pPr>
            <w:r>
              <w:rPr>
                <w:rFonts w:hint="eastAsia" w:ascii="仿宋" w:hAnsi="宋体" w:eastAsia="仿宋" w:cs="宋体"/>
                <w:b/>
                <w:bCs/>
                <w:kern w:val="0"/>
                <w:sz w:val="24"/>
                <w:szCs w:val="24"/>
              </w:rPr>
              <w:t>房</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屋</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建</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筑</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本</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体</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屋面防水</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抹找平层，屋面两层SBS卷材防水，热熔3mm，更换排气管，达到防水基本要求，无渗漏现象</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屋面整洁，防水功能完好，屋面排水系统通畅；蓄水试验,不得有渗漏</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外立面排险</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外立面有破损的，存在安全隐患的进行修缮翻新</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对险情及时排除，外观较整洁，无缺损、接茬、漏涂、透底、流坠等现象</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外立面保温</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在室外做EPS保温板粘贴80厚，粉刷涂料，达到国家强制节能保温标准</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符合相关技术标准和要求，提高室内温度，节约能源</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4</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水落管</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拆换采用PVC，管道通畅完好，无堵塞，使用正常</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排水处整齐、清洁，水落管布局合理</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5</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楼道墙体</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楼道重新粉刷，破损位置进行重新维修</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楼道地面整洁、干净，楼梯、扶手无破损；无砂眼、咬色、色彩、流坠、起泡及透底等现象</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6</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老旧电梯*</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特种设备安全运行许可证、安全监测设备配置齐全，无安全隐患</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小区新增电梯设备</w:t>
            </w:r>
          </w:p>
        </w:tc>
      </w:tr>
      <w:tr>
        <w:tblPrEx>
          <w:tblLayout w:type="fixed"/>
          <w:tblCellMar>
            <w:top w:w="0" w:type="dxa"/>
            <w:left w:w="108" w:type="dxa"/>
            <w:bottom w:w="0" w:type="dxa"/>
            <w:right w:w="108" w:type="dxa"/>
          </w:tblCellMar>
        </w:tblPrEx>
        <w:trPr>
          <w:trHeight w:val="589"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b/>
                <w:bCs/>
                <w:kern w:val="0"/>
                <w:sz w:val="24"/>
                <w:szCs w:val="24"/>
              </w:rPr>
            </w:pPr>
            <w:r>
              <w:rPr>
                <w:rFonts w:hint="eastAsia" w:ascii="仿宋" w:hAnsi="宋体" w:eastAsia="仿宋" w:cs="宋体"/>
                <w:b/>
                <w:bCs/>
                <w:kern w:val="0"/>
                <w:sz w:val="24"/>
                <w:szCs w:val="24"/>
              </w:rPr>
              <w:t>基</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础</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配</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套</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设</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施</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公共窗户</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楼道窗维修采用塑钢窗，设施完好可用</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保温窗户完好、整洁，达到保温效果</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公共照明</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照明设施完好</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采用新材料，鼓励节能改造</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楼宇门</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无楼宇门的进行安装楼宇门，已有的进行维修或更换</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楼宇门安装完好、整洁，对讲系统完整</w:t>
            </w:r>
          </w:p>
        </w:tc>
      </w:tr>
      <w:tr>
        <w:tblPrEx>
          <w:tblLayout w:type="fixed"/>
          <w:tblCellMar>
            <w:top w:w="0" w:type="dxa"/>
            <w:left w:w="108" w:type="dxa"/>
            <w:bottom w:w="0" w:type="dxa"/>
            <w:right w:w="108" w:type="dxa"/>
          </w:tblCellMar>
        </w:tblPrEx>
        <w:trPr>
          <w:trHeight w:val="570"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4</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供水系统</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“一户一表”，水压稳定，保障居民饮用水安全，保证顶层业主用水需求</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同“基本标准”</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5</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供热系统</w:t>
            </w:r>
          </w:p>
        </w:tc>
        <w:tc>
          <w:tcPr>
            <w:tcW w:w="3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对目前由开发建设单位和物业企业管理的高层直连供热系统进行改造，取消直连供热，改为分区供热</w:t>
            </w:r>
          </w:p>
        </w:tc>
        <w:tc>
          <w:tcPr>
            <w:tcW w:w="5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同“基本标准”</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6</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燃气管道</w:t>
            </w:r>
          </w:p>
        </w:tc>
        <w:tc>
          <w:tcPr>
            <w:tcW w:w="3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按照天然气使用标准进行改造，达到使用安全</w:t>
            </w:r>
          </w:p>
        </w:tc>
        <w:tc>
          <w:tcPr>
            <w:tcW w:w="54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同“基本标准”</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7</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消防设施*</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设施改造完成，按配备要求到位并运行正常</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消防设施、消防设备完善且布局合理</w:t>
            </w:r>
          </w:p>
        </w:tc>
      </w:tr>
      <w:tr>
        <w:tblPrEx>
          <w:tblLayout w:type="fixed"/>
          <w:tblCellMar>
            <w:top w:w="0" w:type="dxa"/>
            <w:left w:w="108" w:type="dxa"/>
            <w:bottom w:w="0" w:type="dxa"/>
            <w:right w:w="108" w:type="dxa"/>
          </w:tblCellMar>
        </w:tblPrEx>
        <w:trPr>
          <w:trHeight w:val="58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8</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弱电系统*</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楼内布线合理，楼外布线做好捆扎</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楼内弱电管线布线合理，楼外弱电管线隐蔽走线不走明线</w:t>
            </w:r>
          </w:p>
        </w:tc>
      </w:tr>
      <w:tr>
        <w:tblPrEx>
          <w:tblLayout w:type="fixed"/>
          <w:tblCellMar>
            <w:top w:w="0" w:type="dxa"/>
            <w:left w:w="108" w:type="dxa"/>
            <w:bottom w:w="0" w:type="dxa"/>
            <w:right w:w="108" w:type="dxa"/>
          </w:tblCellMar>
        </w:tblPrEx>
        <w:trPr>
          <w:trHeight w:val="120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b/>
                <w:bCs/>
                <w:kern w:val="0"/>
                <w:sz w:val="24"/>
                <w:szCs w:val="24"/>
              </w:rPr>
            </w:pPr>
            <w:r>
              <w:rPr>
                <w:rFonts w:hint="eastAsia" w:ascii="仿宋" w:hAnsi="宋体" w:eastAsia="仿宋" w:cs="宋体"/>
                <w:b/>
                <w:bCs/>
                <w:kern w:val="0"/>
                <w:sz w:val="24"/>
                <w:szCs w:val="24"/>
              </w:rPr>
              <w:t>小</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区</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生</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活</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环</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境</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园区道路</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小区沥青道路修补采用盖铺5CM厚的细粒式沥青混凝土；翻建采用水稳200厚，5CM厚的细粒式沥青混凝土，道路边石维修；道路硬化平整，无破损坑洼；步道砖铺设原则采用符合海绵城市建设要求的透水砖</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人行步道砖（荷兰砖）更换，道路硬化平整，无破损坑洼，边石整齐划一，无损坏松动</w:t>
            </w:r>
          </w:p>
        </w:tc>
      </w:tr>
      <w:tr>
        <w:tblPrEx>
          <w:tblLayout w:type="fixed"/>
          <w:tblCellMar>
            <w:top w:w="0" w:type="dxa"/>
            <w:left w:w="108" w:type="dxa"/>
            <w:bottom w:w="0" w:type="dxa"/>
            <w:right w:w="108" w:type="dxa"/>
          </w:tblCellMar>
        </w:tblPrEx>
        <w:trPr>
          <w:trHeight w:val="67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园区路灯*</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安装夜晚照明设施，能够满足夜间基本活动需要</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照明设备布控合理，采用新材料达到节能标准</w:t>
            </w:r>
          </w:p>
        </w:tc>
      </w:tr>
      <w:tr>
        <w:tblPrEx>
          <w:tblLayout w:type="fixed"/>
          <w:tblCellMar>
            <w:top w:w="0" w:type="dxa"/>
            <w:left w:w="108" w:type="dxa"/>
            <w:bottom w:w="0" w:type="dxa"/>
            <w:right w:w="108" w:type="dxa"/>
          </w:tblCellMar>
        </w:tblPrEx>
        <w:trPr>
          <w:trHeight w:val="67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园区绿化</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小区绿化量平衡，以实用性为主</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设计合理，整洁美观，公共户外空间覆绿，增绿增花添彩，最大限度增加小区绿化量</w:t>
            </w:r>
          </w:p>
        </w:tc>
      </w:tr>
      <w:tr>
        <w:tblPrEx>
          <w:tblLayout w:type="fixed"/>
          <w:tblCellMar>
            <w:top w:w="0" w:type="dxa"/>
            <w:left w:w="108" w:type="dxa"/>
            <w:bottom w:w="0" w:type="dxa"/>
            <w:right w:w="108" w:type="dxa"/>
          </w:tblCellMar>
        </w:tblPrEx>
        <w:trPr>
          <w:trHeight w:val="67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4</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园区排水</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散水坡维修采用散水垫层水泥地面150厚5-32碎石灌M2.5混合砂浆，振捣压实</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下水井及下水庭院线进行清掏、疏通</w:t>
            </w:r>
          </w:p>
        </w:tc>
      </w:tr>
      <w:tr>
        <w:tblPrEx>
          <w:tblLayout w:type="fixed"/>
          <w:tblCellMar>
            <w:top w:w="0" w:type="dxa"/>
            <w:left w:w="108" w:type="dxa"/>
            <w:bottom w:w="0" w:type="dxa"/>
            <w:right w:w="108" w:type="dxa"/>
          </w:tblCellMar>
        </w:tblPrEx>
        <w:trPr>
          <w:trHeight w:val="67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5</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停车管理</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停车场的车辆按规定停放整齐、管理有序</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对业主及外来人员的车辆进行登记管理，合理设置停车位置</w:t>
            </w:r>
          </w:p>
        </w:tc>
      </w:tr>
      <w:tr>
        <w:tblPrEx>
          <w:tblLayout w:type="fixed"/>
          <w:tblCellMar>
            <w:top w:w="0" w:type="dxa"/>
            <w:left w:w="108" w:type="dxa"/>
            <w:bottom w:w="0" w:type="dxa"/>
            <w:right w:w="108" w:type="dxa"/>
          </w:tblCellMar>
        </w:tblPrEx>
        <w:trPr>
          <w:trHeight w:val="67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6</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违章建筑*</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无各类违建，违规亭棚</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无违章建筑，无私自在住宅承重墙、围墙“开门洞”现象</w:t>
            </w:r>
          </w:p>
        </w:tc>
      </w:tr>
      <w:tr>
        <w:tblPrEx>
          <w:tblLayout w:type="fixed"/>
          <w:tblCellMar>
            <w:top w:w="0" w:type="dxa"/>
            <w:left w:w="108" w:type="dxa"/>
            <w:bottom w:w="0" w:type="dxa"/>
            <w:right w:w="108" w:type="dxa"/>
          </w:tblCellMar>
        </w:tblPrEx>
        <w:trPr>
          <w:trHeight w:val="679" w:hRule="atLeast"/>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b/>
                <w:bCs/>
                <w:kern w:val="0"/>
                <w:sz w:val="24"/>
                <w:szCs w:val="24"/>
              </w:rPr>
            </w:pPr>
            <w:r>
              <w:rPr>
                <w:rFonts w:hint="eastAsia" w:ascii="仿宋" w:hAnsi="宋体" w:eastAsia="仿宋" w:cs="宋体"/>
                <w:b/>
                <w:bCs/>
                <w:kern w:val="0"/>
                <w:sz w:val="24"/>
                <w:szCs w:val="24"/>
              </w:rPr>
              <w:t>公</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共</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服</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务</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设</w:t>
            </w:r>
            <w:r>
              <w:rPr>
                <w:rFonts w:hint="eastAsia" w:ascii="仿宋" w:hAnsi="宋体" w:eastAsia="仿宋" w:cs="宋体"/>
                <w:b/>
                <w:bCs/>
                <w:kern w:val="0"/>
                <w:sz w:val="24"/>
                <w:szCs w:val="24"/>
              </w:rPr>
              <w:br w:type="textWrapping"/>
            </w:r>
            <w:r>
              <w:rPr>
                <w:rFonts w:hint="eastAsia" w:ascii="仿宋" w:hAnsi="宋体" w:eastAsia="仿宋" w:cs="宋体"/>
                <w:b/>
                <w:bCs/>
                <w:kern w:val="0"/>
                <w:sz w:val="24"/>
                <w:szCs w:val="24"/>
              </w:rPr>
              <w:t>施</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健身器材</w:t>
            </w:r>
          </w:p>
        </w:tc>
        <w:tc>
          <w:tcPr>
            <w:tcW w:w="3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设施完好可用</w:t>
            </w:r>
          </w:p>
        </w:tc>
        <w:tc>
          <w:tcPr>
            <w:tcW w:w="5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器材种类丰富，布局合理，达到老少皆宜的标准</w:t>
            </w:r>
          </w:p>
        </w:tc>
      </w:tr>
      <w:tr>
        <w:tblPrEx>
          <w:tblLayout w:type="fixed"/>
          <w:tblCellMar>
            <w:top w:w="0" w:type="dxa"/>
            <w:left w:w="108" w:type="dxa"/>
            <w:bottom w:w="0" w:type="dxa"/>
            <w:right w:w="108" w:type="dxa"/>
          </w:tblCellMar>
        </w:tblPrEx>
        <w:trPr>
          <w:trHeight w:val="679" w:hRule="atLeast"/>
        </w:trPr>
        <w:tc>
          <w:tcPr>
            <w:tcW w:w="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监控设备*</w:t>
            </w:r>
          </w:p>
        </w:tc>
        <w:tc>
          <w:tcPr>
            <w:tcW w:w="38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设施完好可用</w:t>
            </w:r>
          </w:p>
        </w:tc>
        <w:tc>
          <w:tcPr>
            <w:tcW w:w="54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小区公共区域全覆盖，做到小区内无死角，并接入公安监控系统</w:t>
            </w:r>
          </w:p>
        </w:tc>
      </w:tr>
      <w:tr>
        <w:tblPrEx>
          <w:tblLayout w:type="fixed"/>
          <w:tblCellMar>
            <w:top w:w="0" w:type="dxa"/>
            <w:left w:w="108" w:type="dxa"/>
            <w:bottom w:w="0" w:type="dxa"/>
            <w:right w:w="108" w:type="dxa"/>
          </w:tblCellMar>
        </w:tblPrEx>
        <w:trPr>
          <w:trHeight w:val="67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非机动车棚</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小区内非机动车棚位置合理，基本达到小区非机动车辆存放需求</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同“基本标准”</w:t>
            </w:r>
          </w:p>
        </w:tc>
      </w:tr>
      <w:tr>
        <w:tblPrEx>
          <w:tblLayout w:type="fixed"/>
          <w:tblCellMar>
            <w:top w:w="0" w:type="dxa"/>
            <w:left w:w="108" w:type="dxa"/>
            <w:bottom w:w="0" w:type="dxa"/>
            <w:right w:w="108" w:type="dxa"/>
          </w:tblCellMar>
        </w:tblPrEx>
        <w:trPr>
          <w:trHeight w:val="679"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4</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道路标示</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在小区关键位置设置便民道路通行标识</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小区车辆、人员出行顺畅，实现住宅区内道路微循环</w:t>
            </w:r>
          </w:p>
        </w:tc>
      </w:tr>
      <w:tr>
        <w:tblPrEx>
          <w:tblLayout w:type="fixed"/>
          <w:tblCellMar>
            <w:top w:w="0" w:type="dxa"/>
            <w:left w:w="108" w:type="dxa"/>
            <w:bottom w:w="0" w:type="dxa"/>
            <w:right w:w="108" w:type="dxa"/>
          </w:tblCellMar>
        </w:tblPrEx>
        <w:trPr>
          <w:trHeight w:val="1002" w:hRule="atLeast"/>
        </w:trPr>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b/>
                <w:bCs/>
                <w:kern w:val="0"/>
                <w:sz w:val="24"/>
                <w:szCs w:val="24"/>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5</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特色文化*</w:t>
            </w:r>
          </w:p>
        </w:tc>
        <w:tc>
          <w:tcPr>
            <w:tcW w:w="38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进一步提升社区综合服务能力，增加健身娱乐、晾衣架、垃圾收集、休闲座椅等便民设施，设置社区特色文化彩绘墙，逐步完善社区文化等基础设施</w:t>
            </w:r>
          </w:p>
        </w:tc>
      </w:tr>
      <w:tr>
        <w:tblPrEx>
          <w:tblLayout w:type="fixed"/>
          <w:tblCellMar>
            <w:top w:w="0" w:type="dxa"/>
            <w:left w:w="108" w:type="dxa"/>
            <w:bottom w:w="0" w:type="dxa"/>
            <w:right w:w="108" w:type="dxa"/>
          </w:tblCellMar>
        </w:tblPrEx>
        <w:trPr>
          <w:trHeight w:val="1200" w:hRule="atLeast"/>
        </w:trPr>
        <w:tc>
          <w:tcPr>
            <w:tcW w:w="33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b/>
                <w:bCs/>
                <w:kern w:val="0"/>
                <w:sz w:val="24"/>
                <w:szCs w:val="24"/>
              </w:rPr>
            </w:pPr>
            <w:r>
              <w:rPr>
                <w:rFonts w:hint="eastAsia" w:ascii="仿宋" w:hAnsi="宋体" w:eastAsia="仿宋" w:cs="宋体"/>
                <w:b/>
                <w:bCs/>
                <w:kern w:val="0"/>
                <w:sz w:val="24"/>
                <w:szCs w:val="24"/>
              </w:rPr>
              <w:t>后续管理</w:t>
            </w:r>
          </w:p>
        </w:tc>
        <w:tc>
          <w:tcPr>
            <w:tcW w:w="388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落实管理单位，保证日常整洁、保安、公共部位维护和保养</w:t>
            </w:r>
          </w:p>
        </w:tc>
        <w:tc>
          <w:tcPr>
            <w:tcW w:w="5435"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成立业主大会，实施专业化物业服务企业管理或自治管理，缴纳维修资金，小区管理走上正轨</w:t>
            </w:r>
          </w:p>
        </w:tc>
      </w:tr>
      <w:tr>
        <w:tblPrEx>
          <w:tblLayout w:type="fixed"/>
          <w:tblCellMar>
            <w:top w:w="0" w:type="dxa"/>
            <w:left w:w="108" w:type="dxa"/>
            <w:bottom w:w="0" w:type="dxa"/>
            <w:right w:w="108" w:type="dxa"/>
          </w:tblCellMar>
        </w:tblPrEx>
        <w:trPr>
          <w:trHeight w:val="420" w:hRule="atLeast"/>
        </w:trPr>
        <w:tc>
          <w:tcPr>
            <w:tcW w:w="12615" w:type="dxa"/>
            <w:gridSpan w:val="5"/>
            <w:tcBorders>
              <w:top w:val="nil"/>
              <w:left w:val="nil"/>
              <w:bottom w:val="nil"/>
              <w:right w:val="nil"/>
            </w:tcBorders>
            <w:shd w:val="clear" w:color="auto" w:fill="auto"/>
            <w:vAlign w:val="center"/>
          </w:tcPr>
          <w:p>
            <w:pPr>
              <w:widowControl/>
              <w:jc w:val="left"/>
              <w:rPr>
                <w:rFonts w:ascii="仿宋" w:hAnsi="宋体" w:eastAsia="仿宋" w:cs="宋体"/>
                <w:color w:val="000000"/>
                <w:kern w:val="0"/>
                <w:sz w:val="24"/>
                <w:szCs w:val="24"/>
              </w:rPr>
            </w:pPr>
            <w:r>
              <w:rPr>
                <w:rFonts w:hint="eastAsia" w:ascii="仿宋" w:hAnsi="宋体" w:eastAsia="仿宋" w:cs="宋体"/>
                <w:color w:val="000000"/>
                <w:kern w:val="0"/>
                <w:sz w:val="24"/>
                <w:szCs w:val="24"/>
              </w:rPr>
              <w:t>注：项目名称后标记“*”的为老旧小区改造项目中的提质选做项目，各小区结合实际情况进行项目改造。</w:t>
            </w:r>
          </w:p>
        </w:tc>
      </w:tr>
    </w:tbl>
    <w:p>
      <w:pPr>
        <w:spacing w:line="560" w:lineRule="exact"/>
        <w:ind w:firstLine="632" w:firstLineChars="200"/>
        <w:rPr>
          <w:rFonts w:hint="eastAsia" w:ascii="仿宋_GB2312" w:hAnsi="仿宋"/>
          <w:szCs w:val="32"/>
        </w:rPr>
      </w:pPr>
    </w:p>
    <w:p>
      <w:pPr>
        <w:spacing w:line="560" w:lineRule="exact"/>
        <w:ind w:firstLine="632" w:firstLineChars="200"/>
        <w:rPr>
          <w:rFonts w:hint="eastAsia" w:ascii="仿宋_GB2312" w:hAnsi="仿宋"/>
          <w:szCs w:val="32"/>
        </w:rPr>
      </w:pPr>
    </w:p>
    <w:p>
      <w:pPr>
        <w:spacing w:line="560" w:lineRule="exact"/>
        <w:ind w:firstLine="632" w:firstLineChars="200"/>
        <w:rPr>
          <w:rFonts w:ascii="仿宋_GB2312" w:hAnsi="仿宋"/>
          <w:szCs w:val="32"/>
        </w:rPr>
        <w:sectPr>
          <w:pgSz w:w="16838" w:h="11906" w:orient="landscape"/>
          <w:pgMar w:top="1474" w:right="1985" w:bottom="1588" w:left="2098" w:header="851" w:footer="1418" w:gutter="0"/>
          <w:cols w:space="425" w:num="1"/>
          <w:docGrid w:type="linesAndChars" w:linePitch="579" w:charSpace="-849"/>
        </w:sectPr>
      </w:pPr>
    </w:p>
    <w:p>
      <w:pPr>
        <w:spacing w:line="560" w:lineRule="exact"/>
        <w:rPr>
          <w:rFonts w:hint="eastAsia" w:ascii="方正黑体简体" w:hAnsi="仿宋" w:eastAsia="方正黑体简体"/>
          <w:szCs w:val="32"/>
        </w:rPr>
      </w:pPr>
      <w:r>
        <w:rPr>
          <w:rFonts w:hint="eastAsia" w:ascii="方正黑体简体" w:hAnsi="仿宋" w:eastAsia="方正黑体简体"/>
          <w:szCs w:val="32"/>
        </w:rPr>
        <w:t>附 件5</w:t>
      </w:r>
    </w:p>
    <w:tbl>
      <w:tblPr>
        <w:tblStyle w:val="6"/>
        <w:tblW w:w="9100" w:type="dxa"/>
        <w:tblInd w:w="93" w:type="dxa"/>
        <w:tblLayout w:type="fixed"/>
        <w:tblCellMar>
          <w:top w:w="0" w:type="dxa"/>
          <w:left w:w="108" w:type="dxa"/>
          <w:bottom w:w="0" w:type="dxa"/>
          <w:right w:w="108" w:type="dxa"/>
        </w:tblCellMar>
      </w:tblPr>
      <w:tblGrid>
        <w:gridCol w:w="980"/>
        <w:gridCol w:w="1640"/>
        <w:gridCol w:w="4400"/>
        <w:gridCol w:w="2080"/>
      </w:tblGrid>
      <w:tr>
        <w:tblPrEx>
          <w:tblLayout w:type="fixed"/>
          <w:tblCellMar>
            <w:top w:w="0" w:type="dxa"/>
            <w:left w:w="108" w:type="dxa"/>
            <w:bottom w:w="0" w:type="dxa"/>
            <w:right w:w="108" w:type="dxa"/>
          </w:tblCellMar>
        </w:tblPrEx>
        <w:trPr>
          <w:trHeight w:val="720" w:hRule="atLeast"/>
        </w:trPr>
        <w:tc>
          <w:tcPr>
            <w:tcW w:w="9100" w:type="dxa"/>
            <w:gridSpan w:val="4"/>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抚顺市2018年老旧小区改造提质工作任务推进表</w:t>
            </w:r>
          </w:p>
        </w:tc>
      </w:tr>
      <w:tr>
        <w:tblPrEx>
          <w:tblLayout w:type="fixed"/>
          <w:tblCellMar>
            <w:top w:w="0" w:type="dxa"/>
            <w:left w:w="108" w:type="dxa"/>
            <w:bottom w:w="0" w:type="dxa"/>
            <w:right w:w="108" w:type="dxa"/>
          </w:tblCellMar>
        </w:tblPrEx>
        <w:trPr>
          <w:trHeight w:val="402"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序号</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责任单位</w:t>
            </w:r>
          </w:p>
        </w:tc>
        <w:tc>
          <w:tcPr>
            <w:tcW w:w="4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工作任务</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完成时限</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市住房城乡建设委</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r>
              <w:rPr>
                <w:rFonts w:hint="eastAsia" w:ascii="仿宋" w:hAnsi="宋体" w:eastAsia="仿宋" w:cs="宋体"/>
                <w:color w:val="000000"/>
                <w:kern w:val="0"/>
                <w:sz w:val="24"/>
                <w:szCs w:val="24"/>
              </w:rPr>
              <w:t>1.制定老旧小区改造提质方案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r>
              <w:rPr>
                <w:rFonts w:hint="eastAsia" w:ascii="仿宋" w:hAnsi="宋体" w:eastAsia="仿宋" w:cs="宋体"/>
                <w:color w:val="000000"/>
                <w:kern w:val="0"/>
                <w:sz w:val="24"/>
                <w:szCs w:val="24"/>
              </w:rPr>
              <w:t>2.负责将改造项目列入城建计划</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r>
              <w:rPr>
                <w:rFonts w:hint="eastAsia" w:ascii="仿宋" w:hAnsi="宋体" w:eastAsia="仿宋" w:cs="宋体"/>
                <w:color w:val="000000"/>
                <w:kern w:val="0"/>
                <w:sz w:val="24"/>
                <w:szCs w:val="24"/>
              </w:rPr>
              <w:t>3.牵头制定工作指引和设计导则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4</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r>
              <w:rPr>
                <w:rFonts w:hint="eastAsia" w:ascii="仿宋" w:hAnsi="宋体" w:eastAsia="仿宋" w:cs="宋体"/>
                <w:color w:val="000000"/>
                <w:kern w:val="0"/>
                <w:sz w:val="24"/>
                <w:szCs w:val="24"/>
              </w:rPr>
              <w:t>4.协调各区调查摸底确定改造点位</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5</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r>
              <w:rPr>
                <w:rFonts w:hint="eastAsia" w:ascii="仿宋" w:hAnsi="宋体" w:eastAsia="仿宋" w:cs="宋体"/>
                <w:color w:val="000000"/>
                <w:kern w:val="0"/>
                <w:sz w:val="24"/>
                <w:szCs w:val="24"/>
              </w:rPr>
              <w:t>5.协调各区供水、供气、供暖、物业改造施工</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6月到10月底前</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6</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6.监督全市施工进度和质量</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6月到11月底前</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7</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市发改委</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1.负责向国家、省有关部门申请资金政策支持</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4月到12月底前</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8</w:t>
            </w:r>
          </w:p>
        </w:tc>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市国资委</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1.与住建委及各区政府对老旧小区改造项目进行项目包装</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9</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2.协调领导小组完成项目前期立项审批工作及向上争取资金</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4月到12月底前</w:t>
            </w:r>
          </w:p>
        </w:tc>
      </w:tr>
      <w:tr>
        <w:tblPrEx>
          <w:tblLayout w:type="fixed"/>
          <w:tblCellMar>
            <w:top w:w="0" w:type="dxa"/>
            <w:left w:w="108" w:type="dxa"/>
            <w:bottom w:w="0" w:type="dxa"/>
            <w:right w:w="108" w:type="dxa"/>
          </w:tblCellMar>
        </w:tblPrEx>
        <w:trPr>
          <w:trHeight w:val="855"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10</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3.配合市住房城乡建设委保证“三供一业”政策资金依规、合理使用；配合财政局按规定对资金进行监管</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4月到12月底前</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11</w:t>
            </w:r>
          </w:p>
        </w:tc>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市规划局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1.制定抚顺市老旧小区改造提质设计导则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12</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2.指导各区做好规划和设计以及规划核实工作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4月到11月底前</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13</w:t>
            </w:r>
          </w:p>
        </w:tc>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市城管执法局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1.制定老旧小区改造绿化和景观亮化工作导则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14</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2.制定违建拆除工作工作方案，指导各区具体实施</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4月到10月底前</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15</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3.指导各区清除园区固体垃圾和建筑垃圾</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4月到10月底前</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16</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4.监督指导绿化、亮化、排水工作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4月到10月底前</w:t>
            </w:r>
          </w:p>
        </w:tc>
      </w:tr>
      <w:tr>
        <w:tblPrEx>
          <w:tblLayout w:type="fixed"/>
          <w:tblCellMar>
            <w:top w:w="0" w:type="dxa"/>
            <w:left w:w="108" w:type="dxa"/>
            <w:bottom w:w="0" w:type="dxa"/>
            <w:right w:w="108" w:type="dxa"/>
          </w:tblCellMar>
        </w:tblPrEx>
        <w:trPr>
          <w:trHeight w:val="642"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17</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市公安局</w:t>
            </w: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1.制定老旧小区监控改造导则</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42"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18</w:t>
            </w: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2.指导监督监控设备改造，将监控系统纳入“天网工程”</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4月到11月底前</w:t>
            </w:r>
          </w:p>
        </w:tc>
      </w:tr>
      <w:tr>
        <w:tblPrEx>
          <w:tblLayout w:type="fixed"/>
          <w:tblCellMar>
            <w:top w:w="0" w:type="dxa"/>
            <w:left w:w="108" w:type="dxa"/>
            <w:bottom w:w="0" w:type="dxa"/>
            <w:right w:w="108" w:type="dxa"/>
          </w:tblCellMar>
        </w:tblPrEx>
        <w:trPr>
          <w:trHeight w:val="642"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19</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市质监局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1.负责居民小区电梯安全监管及老旧电梯安全风险评估检测工作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4月到11月底前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20</w:t>
            </w:r>
          </w:p>
        </w:tc>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市通管办</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1.按照相关技术标准制定老旧小区弱电改造导则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21</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2.协调电信运营商等单位参与老旧小区弱电改改造工作方案</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4月到11月底前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22</w:t>
            </w:r>
          </w:p>
        </w:tc>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市工信委</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1.协调供电公司做好各老旧小区供电系统改造设计工作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23</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2.负责监督指导老旧小区供电线路改造工作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4月到11月底前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24</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市体育局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1.负责监督指导老旧小区健身娱乐体育设施新增、改造等工作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4月到11月底前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25</w:t>
            </w:r>
          </w:p>
        </w:tc>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市交管局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1.制定老旧小区交通设计导则</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4月到5月</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26</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2.负责监督指导老旧小区交通改造</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4月到11月底前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27</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市财政局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1.负责财政资金使用、管理和统筹拨付</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4月到12月底前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28</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市审计局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1.负责对资金拨付、使用情况进行全程跟踪审计</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4月到12月底前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29</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市营监局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1.配合住建委做好具体考核，将各区老旧小区改造工作纳入市绩效考核内容</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kern w:val="0"/>
                <w:sz w:val="24"/>
                <w:szCs w:val="24"/>
              </w:rPr>
            </w:pPr>
            <w:r>
              <w:rPr>
                <w:rFonts w:hint="eastAsia" w:ascii="仿宋" w:hAnsi="宋体" w:eastAsia="仿宋" w:cs="宋体"/>
                <w:kern w:val="0"/>
                <w:sz w:val="24"/>
                <w:szCs w:val="24"/>
              </w:rPr>
              <w:t>4月到12月底前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市委宣传部</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1.负责做好政策和工作进度及成果宣传</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4月到12月底前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31</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市民政局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1.负责指导社区配合有关部门开展宣传发动工作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4月到12月底前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32</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市信访局</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1.协调各区政府，按照属地原则，做好信访工作</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4月到12月底前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33</w:t>
            </w:r>
          </w:p>
        </w:tc>
        <w:tc>
          <w:tcPr>
            <w:tcW w:w="1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各区政府</w:t>
            </w: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1.提报本地区改造计划，落实改造方案，筹集拨付区级资金</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4月到5月</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34</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2.工程立项，设计、施工和监理单位招标</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5月到6月</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35</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3.工程实施、质量管理、安全生产、预算审定和结算审核</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6月到12月底前</w:t>
            </w:r>
          </w:p>
        </w:tc>
      </w:tr>
      <w:tr>
        <w:tblPrEx>
          <w:tblLayout w:type="fixed"/>
          <w:tblCellMar>
            <w:top w:w="0" w:type="dxa"/>
            <w:left w:w="108" w:type="dxa"/>
            <w:bottom w:w="0" w:type="dxa"/>
            <w:right w:w="108" w:type="dxa"/>
          </w:tblCellMar>
        </w:tblPrEx>
        <w:trPr>
          <w:trHeight w:val="619" w:hRule="atLeast"/>
        </w:trPr>
        <w:tc>
          <w:tcPr>
            <w:tcW w:w="9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4"/>
                <w:szCs w:val="24"/>
              </w:rPr>
            </w:pPr>
            <w:r>
              <w:rPr>
                <w:rFonts w:eastAsia="宋体"/>
                <w:color w:val="000000"/>
                <w:kern w:val="0"/>
                <w:sz w:val="24"/>
                <w:szCs w:val="24"/>
              </w:rPr>
              <w:t>36</w:t>
            </w:r>
          </w:p>
        </w:tc>
        <w:tc>
          <w:tcPr>
            <w:tcW w:w="164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宋体" w:eastAsia="仿宋" w:cs="宋体"/>
                <w:color w:val="000000"/>
                <w:kern w:val="0"/>
                <w:sz w:val="24"/>
                <w:szCs w:val="24"/>
              </w:rPr>
            </w:pPr>
          </w:p>
        </w:tc>
        <w:tc>
          <w:tcPr>
            <w:tcW w:w="4400" w:type="dxa"/>
            <w:tcBorders>
              <w:top w:val="nil"/>
              <w:left w:val="nil"/>
              <w:bottom w:val="single" w:color="auto" w:sz="4" w:space="0"/>
              <w:right w:val="single" w:color="auto" w:sz="4" w:space="0"/>
            </w:tcBorders>
            <w:shd w:val="clear" w:color="auto" w:fill="auto"/>
            <w:vAlign w:val="center"/>
          </w:tcPr>
          <w:p>
            <w:pPr>
              <w:widowControl/>
              <w:jc w:val="left"/>
              <w:rPr>
                <w:rFonts w:ascii="仿宋" w:hAnsi="宋体" w:eastAsia="仿宋" w:cs="宋体"/>
                <w:kern w:val="0"/>
                <w:sz w:val="24"/>
                <w:szCs w:val="24"/>
              </w:rPr>
            </w:pPr>
            <w:r>
              <w:rPr>
                <w:rFonts w:hint="eastAsia" w:ascii="仿宋" w:hAnsi="宋体" w:eastAsia="仿宋" w:cs="宋体"/>
                <w:kern w:val="0"/>
                <w:sz w:val="24"/>
                <w:szCs w:val="24"/>
              </w:rPr>
              <w:t>4.协调解决各类矛盾纠纷</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仿宋" w:hAnsi="宋体" w:eastAsia="仿宋" w:cs="宋体"/>
                <w:color w:val="000000"/>
                <w:kern w:val="0"/>
                <w:sz w:val="24"/>
                <w:szCs w:val="24"/>
              </w:rPr>
            </w:pPr>
            <w:r>
              <w:rPr>
                <w:rFonts w:hint="eastAsia" w:ascii="仿宋" w:hAnsi="宋体" w:eastAsia="仿宋" w:cs="宋体"/>
                <w:color w:val="000000"/>
                <w:kern w:val="0"/>
                <w:sz w:val="24"/>
                <w:szCs w:val="24"/>
              </w:rPr>
              <w:t>4月到12月底前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5"/>
        <w:rFonts w:ascii="宋体"/>
        <w:b/>
        <w:bCs/>
        <w:sz w:val="28"/>
      </w:rPr>
    </w:pPr>
    <w:r>
      <w:rPr>
        <w:rStyle w:val="5"/>
        <w:rFonts w:hint="eastAsia"/>
        <w:sz w:val="28"/>
      </w:rPr>
      <w:t>—</w:t>
    </w:r>
    <w:r>
      <w:rPr>
        <w:rStyle w:val="5"/>
        <w:sz w:val="28"/>
      </w:rPr>
      <w:t xml:space="preserve"> </w:t>
    </w:r>
    <w:r>
      <w:rPr>
        <w:rStyle w:val="5"/>
        <w:sz w:val="28"/>
      </w:rPr>
      <w:fldChar w:fldCharType="begin"/>
    </w:r>
    <w:r>
      <w:rPr>
        <w:rStyle w:val="5"/>
        <w:sz w:val="28"/>
      </w:rPr>
      <w:instrText xml:space="preserve">PAGE  </w:instrText>
    </w:r>
    <w:r>
      <w:rPr>
        <w:rStyle w:val="5"/>
        <w:sz w:val="28"/>
      </w:rPr>
      <w:fldChar w:fldCharType="separate"/>
    </w:r>
    <w:r>
      <w:rPr>
        <w:rStyle w:val="5"/>
        <w:sz w:val="28"/>
      </w:rPr>
      <w:t>1</w:t>
    </w:r>
    <w:r>
      <w:rPr>
        <w:rStyle w:val="5"/>
        <w:sz w:val="28"/>
      </w:rPr>
      <w:fldChar w:fldCharType="end"/>
    </w:r>
    <w:r>
      <w:rPr>
        <w:rStyle w:val="5"/>
        <w:sz w:val="28"/>
      </w:rPr>
      <w:t xml:space="preserve"> </w:t>
    </w:r>
    <w:r>
      <w:rPr>
        <w:rStyle w:val="5"/>
        <w:rFonts w:hint="eastAsia"/>
        <w:sz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D5A0D"/>
    <w:rsid w:val="43DD5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link w:val="4"/>
    <w:semiHidden/>
    <w:uiPriority w:val="0"/>
    <w:rPr>
      <w:rFonts w:eastAsia="宋体"/>
      <w:kern w:val="0"/>
      <w:sz w:val="2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4">
    <w:name w:val=" Char"/>
    <w:basedOn w:val="1"/>
    <w:link w:val="3"/>
    <w:qFormat/>
    <w:uiPriority w:val="0"/>
    <w:pPr>
      <w:adjustRightInd w:val="0"/>
      <w:spacing w:line="360" w:lineRule="auto"/>
    </w:pPr>
    <w:rPr>
      <w:rFonts w:eastAsia="宋体"/>
      <w:kern w:val="0"/>
      <w:sz w:val="24"/>
    </w:rPr>
  </w:style>
  <w:style w:type="character" w:styleId="5">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2018-09-17T07:07:00Z</dcterms:created>
  <dc:creator>pc2</dc:creator>
  <cp:lastModifiedBy>pc2</cp:lastModifiedBy>
  <dcterms:modified xsi:type="dcterms:W3CDTF">2018-09-17T07:08:34Z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