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2"/>
        <w:tblpPr w:leftFromText="180" w:rightFromText="180" w:vertAnchor="text" w:horzAnchor="page" w:tblpX="1423" w:tblpY="1248"/>
        <w:tblOverlap w:val="never"/>
        <w:tblW w:w="14580" w:type="dxa"/>
        <w:tblInd w:w="0" w:type="dxa"/>
        <w:shd w:val="clear" w:color="auto" w:fill="auto"/>
        <w:tblLayout w:type="autofit"/>
        <w:tblCellMar>
          <w:top w:w="0" w:type="dxa"/>
          <w:left w:w="0" w:type="dxa"/>
          <w:bottom w:w="0" w:type="dxa"/>
          <w:right w:w="0" w:type="dxa"/>
        </w:tblCellMar>
      </w:tblPr>
      <w:tblGrid>
        <w:gridCol w:w="623"/>
        <w:gridCol w:w="849"/>
        <w:gridCol w:w="1043"/>
        <w:gridCol w:w="5305"/>
        <w:gridCol w:w="1163"/>
        <w:gridCol w:w="1553"/>
        <w:gridCol w:w="1538"/>
        <w:gridCol w:w="1343"/>
        <w:gridCol w:w="1163"/>
      </w:tblGrid>
      <w:tr>
        <w:tblPrEx>
          <w:shd w:val="clear" w:color="auto" w:fill="auto"/>
          <w:tblCellMar>
            <w:top w:w="0" w:type="dxa"/>
            <w:left w:w="0" w:type="dxa"/>
            <w:bottom w:w="0" w:type="dxa"/>
            <w:right w:w="0" w:type="dxa"/>
          </w:tblCellMar>
        </w:tblPrEx>
        <w:trPr>
          <w:trHeight w:val="2000" w:hRule="atLeast"/>
        </w:trPr>
        <w:tc>
          <w:tcPr>
            <w:tcW w:w="14580" w:type="dxa"/>
            <w:gridSpan w:val="9"/>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2"/>
                <w:szCs w:val="52"/>
                <w:u w:val="none"/>
              </w:rPr>
            </w:pPr>
            <w:r>
              <w:rPr>
                <w:rFonts w:hint="eastAsia" w:ascii="宋体" w:hAnsi="宋体" w:eastAsia="宋体" w:cs="宋体"/>
                <w:b/>
                <w:i w:val="0"/>
                <w:color w:val="000000"/>
                <w:kern w:val="0"/>
                <w:sz w:val="52"/>
                <w:szCs w:val="52"/>
                <w:u w:val="none"/>
                <w:lang w:val="en-US" w:eastAsia="zh-CN" w:bidi="ar"/>
              </w:rPr>
              <w:t>2020年政府工作报告主要任务分解</w:t>
            </w:r>
          </w:p>
        </w:tc>
      </w:tr>
      <w:tr>
        <w:tblPrEx>
          <w:tblCellMar>
            <w:top w:w="0" w:type="dxa"/>
            <w:left w:w="0" w:type="dxa"/>
            <w:bottom w:w="0" w:type="dxa"/>
            <w:right w:w="0" w:type="dxa"/>
          </w:tblCellMar>
        </w:tblPrEx>
        <w:trPr>
          <w:trHeight w:val="5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目标任务</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责任领导</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牵头单位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配合单位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承载县区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完成时限</w:t>
            </w:r>
          </w:p>
        </w:tc>
      </w:tr>
      <w:tr>
        <w:tblPrEx>
          <w:tblCellMar>
            <w:top w:w="0" w:type="dxa"/>
            <w:left w:w="0" w:type="dxa"/>
            <w:bottom w:w="0" w:type="dxa"/>
            <w:right w:w="0" w:type="dxa"/>
          </w:tblCellMar>
        </w:tblPrEx>
        <w:trPr>
          <w:trHeight w:val="20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一、强力推进抚顺融入沈阳都市经济圈迈出新步伐</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1.加快融入沈阳经济区一体化发展</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沈阳建设国家中心城市为契机，紧扣《沈阳经济区一体化发展规划》，主动接受沈阳辐射，实现生态、产业、基础设施等多领域精准对接，共建产业投资基金和技术创新平台，主动承接沈阳产业外迁外移，促进一批项目和企业快速落地。</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生态环境局、住建局、财政局、科技局、工信局、交通局、水务局等相关单位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2.加快与沈抚新区融合发展</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抓住沈抚新区建设国家改革创新示范区的机遇，推进抚顺经济开发区和望花区的各项规划与沈抚新区协同编制，复制推动沈抚新区优惠政策向县区扩散辐射。</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发改委、望花区、经济开发区、望花经济开发区</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4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把准国家重大产业政策和投资方向，深入推进联合招商、产业互补、机制创新，实现共招共引项目的新突破。</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加快建设投资195亿元的恒大康颐生态和养生谷项目。</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经济开发区</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3.加快推进沈抚基础设施互联互通</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抓紧完善沈抚城际交通体系，全力保障投资220亿元的沈白高铁等项目顺利建设。</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住建局、交通运输局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提升景区景点品质，加快将抚顺建成沈阳休闲观光后花园，增强来抚旅游消费的吸引力。</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文旅广电局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2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二、强力推进西露天矿综合治理与整合利用取得新成效</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1.加快规划论证</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聚焦贯彻落实中发〔2019〕37号文件精神和中办《回访调研报告》相关任务，积极推动《抚顺西露天矿综合治理与整合利用总体思路》在国家层面的评估论证。</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64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坚持规划、治理、开发同步实施，尽快包装一批接续产业重大项目，努力争取国家财政、税收、土地、金融等政策支持。</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财政局、税务局、自然资源局、金融发展局等相关单位，抚矿集团</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新抚区、东洲区、望花区、望花经济开发区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3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2.持续治理生态</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全面实施“2020行动计划”，加快西露天矿区域变形监测、基础设施修复、矿坑防灾治理等工程建设，实施土地开发利用，综合整治土地3000亩，进一步美化区域环境。</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自然资源局等相关单位，抚矿集团</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新抚区、东洲区、望花区、望花经济开发区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22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3.科学导入产业</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组建城企融合平台公司，引进新产业新项目，先期推进生态农业、观光旅游等项目开工，稳步扩大页岩综合加工利用产业规模，启动玄武岩、钛金属项目论证，加快大宗固体废弃物综合利用基地建设。</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农业农村局、文旅广电局、工信局、自然资源局、生态加公司等相关单位，抚矿集团</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新抚区、东洲区、望花区、望花经济开发区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支持鼓励抚矿集团服务外包，加快企业转型步伐。</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新抚区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三、强力推进项目攻坚实现新突破</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1.抓实项目建设</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坚持“工业立市、工业强市、产业兴市”，突出“项目为王”，加快发展实体经济。</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20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托工业产业基础，大力发展石油及精细化工、冶金材料深加工、装备制造、新能源、农产品加工等主导产业，加快推进总投资31亿元的抚顺石化油蜡增产改造、抚顺特钢均质高温合金、新钢铁转炉产能置换、东工冶金增材等重点项目建设，促进传统产业提质增效。</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工信局、发改委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2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三、强力推进项目攻坚实现新突破</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1.抓实项目建设</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绕发展文化旅游、服务业和战略性新兴产业，加快总投资50亿元的上药集团原料药产业园、跨境电子商务综合试验区等建设，争取保税物流中心（B型）获批，大力发展乡村游、冰雪游和满乡特色游，尽快形成多点支撑、多元发展的产业格局。</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文旅广电局、商务局、卫健委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政府相关单位，抚顺海关</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1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强化调结构、补短板、惠民生项目的策划包装，全力争取专项债券政策，启动城东三期等基础设施项目建设。</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发改委、住建局、财政局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全年开复工亿元以上项目100个、完成投资130亿元。</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5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2.抓实招商引资</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落实招商责任，加大招商力度，发扬“五皮”精神，既招顶天立地的大项目，又招铺天盖地的小项目，签约亿元以上合同项目60个、总投资350亿元以上，实际利用外资增长10%以上。</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支持企业“走出去”承包工程项目，加强国际产能合作，支持印尼红土镍矿等国外投资项目建设。</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工信局等相关单位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捆绑出台市县（区）两级招商引资奖励政策，对突出贡献者予以重奖。</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2020年3月底</w:t>
            </w:r>
          </w:p>
        </w:tc>
      </w:tr>
      <w:tr>
        <w:tblPrEx>
          <w:tblCellMar>
            <w:top w:w="0" w:type="dxa"/>
            <w:left w:w="0" w:type="dxa"/>
            <w:bottom w:w="0" w:type="dxa"/>
            <w:right w:w="0" w:type="dxa"/>
          </w:tblCellMar>
        </w:tblPrEx>
        <w:trPr>
          <w:trHeight w:val="8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3.抓实要素保障</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科学编制国土空间规划，以此为契机，理顺盘活土地资源，满足项目建设用地需求。</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1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实施“金融助振兴”行动，鼓励金融企业创新丰富金融产品，破解企业融资难、融资贵问题，特别要鼓励金融企业利用行业优势招商引资。</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金融发展局、工信局、国资委等相关单位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3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落实“引育用留”人才政策，引进高校毕业生2000人、创业者500人、科研团队10个以上，不断满足企业和社会人才需求。</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教育局、科技局、就业人才服务中心等相关单位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6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四、强力推进改革创新释放新活力</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1.打造一流营商环境</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深化“放管服”改革，全面落实《优化营商环境条例》，持续开展营商环境专项整治行动。创新体制机制，努力实现审批事项最少、审批流程最优、审批效率最高，努力打造全省乃至东北最优营商环境。</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营商局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16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2.深化重点领域改革</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深入推进国资国企改革，重点国有企业混改取得突破，稳妥处置“空壳”企业，完成国有企业退休人员社会化管理任务。</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国资委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财政局、人社局、自然资源局等相关单位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6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基本完成农村集体产权制度改革，建设农村产权交易市场，土地规范流转率达70%。</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4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推进开发区管理体制机制创新，出台推进经济开发区高质量发展实施意见，每个县区都要建成一个省级开发区，使其成为项目建设主战场、振兴发展主阵地。</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0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3.壮大民营经济</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加紧出台《抚顺市促进民营经济发展条例》实施细则，不折不扣减税降费，全力破解民营企业历史遗留问题，无分歧拖欠账款清偿率达100%。</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64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搭建银企、产销、用工等对接平台，支持企业立足主业、坚守实业，鼓励社会资本进入公共服务等领域。</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金融发展局、商务局、人社局、就业服务中心等相关单位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26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大力弘扬企业家精神，保护民营企业家合法权益，让他们赢得地位、广受尊重，放心放手发展。</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工信局、发改委、市场监管局、商务局、营商局、科技局、公安局、检察院、法院、司法局等相关单位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四、强力推进改革创新释放新活力</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3.壮大民营经济</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全年实现“个转企”600户。</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程国慧</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全年实现“小升规”30户、“规升巨”5户。</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4.促进技术创新</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支持省固体废弃物产业技术研究院、石化产业技术创新研究院加快发展，联合攻克关键技术，建设科技企业孵化器、众创空间等平台。</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引导企业加大研发投入，新增国家高新技术企业10家以上，高新技术产品增加值增长15%以上。</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加快推动质量、品牌和标准强市。</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程国慧</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高新区年内晋升为国家级高新区。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高新区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五、强力推进三大攻坚战取得新成果</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1.决战决胜脱贫攻坚</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始终把贫困群众的生活挂在心上、抓在手上，全力补齐“两不愁三保障”短板，确保剩余贫困人口全部脱贫，坚决防止脱贫人口返贫。</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扶贫办</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市脱贫攻坚领导小组各成员单位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深入推进乡村振兴，促进资本、科技和人才下乡，大力培育致富带头人，壮大农业龙头企业，加快农业现代化，村集体经济增长10%以上。</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人社局、金融发展局、科技局等相关单位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大力提振乡镇经济，全面铺开“飞地经济”，每个乡镇（街道）至少引进1个2000万元以上项目，财政收入2000万元以上乡镇（街道）达15个。</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发改委、财政局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7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2.决战决胜污染防治</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突出精准、科学、依法治污，确保中央环保督察和“回头看”反馈问题坚决整改到位。</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22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好蓝天、碧水、净土保卫战，综合整治燃煤、扬尘等污染，空气质量达标率达78%；严格落实河长制，城市污水处理率达95%，全面消除劣五类水体，全力推进大伙房水源地风险防控工程建设、水质保持二类标准，加快建设享誉全国的优质水源地；有效防治土壤污染，不断提升生态品质。</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朱光明、王金华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生态环境局、水务局、住建局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2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五、强力推进三大攻坚战取得新成果</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3.全力防范化解重大风险</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全面完成政府债务化解三年行动确定的目标任务，依法规范政府举债行为，确保债务风险安全可控。</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深化财政预算管理制度改革，加强重点支出、重大投资项目管理。</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3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把过紧日子作为常态，以收定支、精打细算，一般性支出、“三公”经费支出再压减5%，切实兜住“三保”支出底线。</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积极防范化解企业流动性风险。</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金融发展局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依法处置非法集资行为，维护好群众合法权益。</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金融发展局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1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六、强力推进基本民生改善取得新进展</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1.强化基本保障</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把“稳就业”摆在突出位置，实行更加积极的就业政策，城镇新增就业1.6万人，职业技能培训1.2万人次，大力开展“根治欠薪”专项行动。</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1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千方百计确保养老金按时足额发放。</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财政局、税务局、社保中心等相关单位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完善社会救助、社会福利等制度。</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城乡低保标准分别提高5%和7%。</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1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深化医保综合改革，整合完善城乡居民医保制度，严厉打击骗保行为，确保医保基金运行安全，满足群众基本医疗需求。</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医保局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1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六、强力推进基本民生改善取得新进展</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2.打造宜居环境</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持续改善老旧小区居住环境，集中治理“乱停车”“超限超载”“占道经营”等顽疾，启动城市垃圾分类处置试点。</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孟祥斌、朱光明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住建局、公安局、交通运输局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10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浑河城市段防洪体系建设达标。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东洲区、新抚区、顺城区、望花区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贵城通道、安城通道建成通车。</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顺城区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扩大智慧交通建设成果，群众出行更加便利顺畅。</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孟祥斌</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深化农村人居环境整治，农村垃圾分类实现乡村全覆盖,建设美丽示范村64个、整洁村550个。</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农业农村局、住建局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扎实推进松材线虫病防治工作，植树造林9万亩。</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3.优化公共服务</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优先发展教育事业，推进各级各类教育高质量发展，努力让每个孩子享有优质公平教育。</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着力建设健康抚顺，全面落实现代医院管理制度，实现“大病不出县”。</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卫健委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大力发展养老事业，新增居家养老服务示范点50个。</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积极筹办辽宁省第十四届运动会，发展体育产业，提升全民健康素质。</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文旅广电局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节点推进</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传承弘扬雷锋精神，繁荣发展文化事业。</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文旅广电局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争创“全国双拥模范城”。</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退役军人局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14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六、强力推进基本民生改善取得新进展</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4.创新社会治理</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持续深入开展扫黑除恶专项斗争，完善社会治安综合治理长效机制，有效遏制违法犯罪，维护社会公平正义。</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孟祥斌</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积极化解社会矛盾，打好信访“减存控增”攻坚战。</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坚决清查整治违建别墅。</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持续整治殡葬陋习。</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狠抓安全生产，坚决防止重特大事故发生，维护群众生命财产安全。</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8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5.10件惠民实事</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全力解决4031户居民“办证难”问题。</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全力解决1195户居民“回迁难”问题。</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8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新建改造农村公路150公里。</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交通运输局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0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新建“一事一议”村内道路300公里。</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财政发展服务中心等相关单位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改造城市老旧管网25公里。</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解决2万农村居民“饮水难”问题。</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六、强力推进基本民生改善取得新进展</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5.10件惠民实事</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完成1.2万座农村厕所无害化改造任务。</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朱光明</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为3万名城乡劳动力提供就业帮扶。</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贫困家庭高校毕业生兜底就业安置实现100%。</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人社局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就业服务中心等相关单位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为1.5万名学生发放资助金3000万元，为贫困残疾人适配基本辅具2000件。</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教育局、社会福利保障中心</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为5000名贫困妇女办理“两癌”保险，为3万名妇女提供免费“两癌”筛查。</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朱祥霖</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妇联、卫健委</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实现公共场所电梯“安全保险+服务”的全覆盖。</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程国慧</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政府相关单位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2020年底</w:t>
            </w:r>
          </w:p>
        </w:tc>
      </w:tr>
      <w:tr>
        <w:tblPrEx>
          <w:tblCellMar>
            <w:top w:w="0" w:type="dxa"/>
            <w:left w:w="0" w:type="dxa"/>
            <w:bottom w:w="0" w:type="dxa"/>
            <w:right w:w="0" w:type="dxa"/>
          </w:tblCellMar>
        </w:tblPrEx>
        <w:trPr>
          <w:trHeight w:val="176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七、建设人民满意政府</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1.提高政治站位</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始终把政治建设放在首位，巩固扩大主题教育成果，进一步增强“四个意识”、坚定“四个自信”、做到“两个维护”，自觉在思想上政治上行动上同以习近平同志为核心的党中央保持高度一致。</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0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按照省委、省政府的工作要求，在市委的坚强领导下，推动中央决策部署在抚顺落地落实。</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46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2.狠抓工作落实</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突出目标导向、问题导向和结果导向,深化“重强抓”“实好干”，攻坚重点难点，提升落实效率，推动形成以抓落实论英雄、以解决实际问题论能力、以高质量项目建设论业绩的鲜明导向。</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2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七、建设人民满意政府</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2.狠抓工作落实</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完善正向激励机制，培养“雷锋式”好干部，让实干者得实惠，让漂浮者受惩戒，让抓落实在政府系统蔚然成风。</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2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3.严格依法行政</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推进依法治市，强化制度建设和执行，自觉运用法治思维和法治方式推进工作，科学决策、依法行政，建设法治政府。</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加强政府诚信体系建设，以政府诚信带动社会诚信。</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9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自觉接受人大、政协监督，努力推动政府治理体系和治理能力现代化。</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4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4.加强廉政建设</w:t>
            </w: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全面落实管党治党主体责任，严格执行中央八项规定精神，坚决转作风、反“四风”，深入推进党风廉政建设和反腐败斗争，持续净化政治生态。</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市政府班子成员</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r>
        <w:tblPrEx>
          <w:tblCellMar>
            <w:top w:w="0" w:type="dxa"/>
            <w:left w:w="0" w:type="dxa"/>
            <w:bottom w:w="0" w:type="dxa"/>
            <w:right w:w="0" w:type="dxa"/>
          </w:tblCellMar>
        </w:tblPrEx>
        <w:trPr>
          <w:trHeight w:val="120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强化行政监察和审计监督，不断增强公务员队伍廉洁从政意识，努力实现干部清正、政府清廉、政治清明。</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高键、李宏德</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市监察委、审计局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政府各单位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各县区、经济开发区</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长期坚持</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03120"/>
    <w:rsid w:val="10F03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2020-03-23T07:20:00Z</dcterms:created>
  <dc:creator>Administrator</dc:creator>
  <cp:lastModifiedBy>Administrator</cp:lastModifiedBy>
  <dcterms:modified xsi:type="dcterms:W3CDTF">2020-03-23T07:29:59Z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