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4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抚顺市财政局“双随机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、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</w:rPr>
        <w:t>一公开”</w:t>
      </w:r>
    </w:p>
    <w:p>
      <w:pPr>
        <w:pStyle w:val="4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监管改革实施细则(试行)</w:t>
      </w:r>
    </w:p>
    <w:p>
      <w:pPr>
        <w:pStyle w:val="4"/>
        <w:spacing w:line="600" w:lineRule="exact"/>
        <w:jc w:val="center"/>
        <w:rPr>
          <w:rFonts w:ascii="微软雅黑" w:hAnsi="微软雅黑" w:eastAsia="微软雅黑"/>
        </w:rPr>
      </w:pPr>
    </w:p>
    <w:p>
      <w:pPr>
        <w:pStyle w:val="4"/>
        <w:widowControl w:val="0"/>
        <w:snapToGrid w:val="0"/>
        <w:spacing w:line="360" w:lineRule="auto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第一条  为规范财政监管行为，全面推进“</w:t>
      </w:r>
      <w:r>
        <w:rPr>
          <w:rFonts w:hint="eastAsia" w:ascii="仿宋_GB2312" w:hAnsi="微软雅黑" w:eastAsia="仿宋_GB2312"/>
          <w:snapToGrid w:val="0"/>
          <w:sz w:val="32"/>
          <w:szCs w:val="32"/>
          <w:lang w:eastAsia="zh-CN"/>
        </w:rPr>
        <w:t>双随机、一公开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”工作，根据市政府办公厅《关于推广随机抽查规范事中事后监管的实施意见》（抚政办发〔2016〕22号）、《抚顺市全面推进“</w:t>
      </w:r>
      <w:r>
        <w:rPr>
          <w:rFonts w:hint="eastAsia" w:ascii="仿宋_GB2312" w:hAnsi="微软雅黑" w:eastAsia="仿宋_GB2312"/>
          <w:snapToGrid w:val="0"/>
          <w:sz w:val="32"/>
          <w:szCs w:val="32"/>
          <w:lang w:eastAsia="zh-CN"/>
        </w:rPr>
        <w:t>双随机、一公开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”监督改革实施方案》（抚政办明电〔2016〕20号）等有关规定，结合我局实际，制定本实施细则。</w:t>
      </w:r>
    </w:p>
    <w:p>
      <w:pPr>
        <w:pStyle w:val="4"/>
        <w:widowControl w:val="0"/>
        <w:snapToGrid w:val="0"/>
        <w:spacing w:line="360" w:lineRule="auto"/>
        <w:ind w:firstLine="63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第二条  本细则所称“</w:t>
      </w:r>
      <w:r>
        <w:rPr>
          <w:rFonts w:hint="eastAsia" w:ascii="仿宋_GB2312" w:hAnsi="微软雅黑" w:eastAsia="仿宋_GB2312"/>
          <w:snapToGrid w:val="0"/>
          <w:sz w:val="32"/>
          <w:szCs w:val="32"/>
          <w:lang w:eastAsia="zh-CN"/>
        </w:rPr>
        <w:t>双随机、一公开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”工作，是指市财政局依据法律、法规和规章组织实施检查时，采取随机抽取检查对象、随机选派执法检查人员并及时公开抽查情况和查处结果的活动。</w:t>
      </w:r>
      <w:r>
        <w:rPr>
          <w:rFonts w:hint="eastAsia" w:ascii="微软雅黑" w:hAnsi="微软雅黑" w:eastAsia="仿宋_GB2312"/>
          <w:snapToGrid w:val="0"/>
          <w:sz w:val="32"/>
          <w:szCs w:val="32"/>
        </w:rPr>
        <w:t> 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　　</w:t>
      </w:r>
    </w:p>
    <w:p>
      <w:pPr>
        <w:pStyle w:val="4"/>
        <w:widowControl w:val="0"/>
        <w:snapToGrid w:val="0"/>
        <w:spacing w:line="360" w:lineRule="auto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第三条  采购处、会计处、监督局和非税局等具有行政检查职能的处室单位要结合权责清单，依据法律法规规定的检查事项，确定本处室本单位随机抽查事项清单，经局办公室汇总后报市政府审定，并适时在局门户网站向社会公布。</w:t>
      </w:r>
    </w:p>
    <w:p>
      <w:pPr>
        <w:pStyle w:val="4"/>
        <w:widowControl w:val="0"/>
        <w:snapToGrid w:val="0"/>
        <w:spacing w:line="360" w:lineRule="auto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第四条  各具有行政检查职能的处室单位要依据法定职责，按照“谁审批、谁监管，管审批、管行业”原则，建立本辖区、本行业涵盖全部被监管主体的检查对象名录库，并建立名录库动态调整机制。</w:t>
      </w:r>
    </w:p>
    <w:p>
      <w:pPr>
        <w:pStyle w:val="4"/>
        <w:widowControl w:val="0"/>
        <w:snapToGrid w:val="0"/>
        <w:spacing w:line="360" w:lineRule="auto"/>
        <w:ind w:firstLine="640" w:firstLineChars="200"/>
        <w:jc w:val="both"/>
        <w:rPr>
          <w:rFonts w:hint="eastAsia" w:ascii="仿宋_GB2312" w:hAnsi="ˎ̥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第五条  局办公室负责</w:t>
      </w:r>
      <w:r>
        <w:rPr>
          <w:rFonts w:hint="eastAsia" w:ascii="仿宋_GB2312" w:hAnsi="ˎ̥" w:eastAsia="仿宋_GB2312"/>
          <w:snapToGrid w:val="0"/>
          <w:sz w:val="32"/>
          <w:szCs w:val="32"/>
        </w:rPr>
        <w:t>建立完善的执法检查人员名录库，并根据依法持有辽宁省行政执法证件人员和工作变动情况，动态调整执法检查人员名录库。</w:t>
      </w:r>
    </w:p>
    <w:p>
      <w:pPr>
        <w:pStyle w:val="4"/>
        <w:widowControl w:val="0"/>
        <w:snapToGrid w:val="0"/>
        <w:spacing w:line="360" w:lineRule="auto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 xml:space="preserve">    第六条  各具有行政检查职能的处室单位对法律法规明确的检查事项，原则上都要进行随机抽查；对法律法规要求采取普查方式的事项，也要贯彻“随机抽查”的理念。</w:t>
      </w:r>
    </w:p>
    <w:p>
      <w:pPr>
        <w:pStyle w:val="4"/>
        <w:widowControl w:val="0"/>
        <w:numPr>
          <w:ilvl w:val="0"/>
          <w:numId w:val="1"/>
        </w:numPr>
        <w:snapToGrid w:val="0"/>
        <w:spacing w:line="360" w:lineRule="auto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 xml:space="preserve"> 各具有行政检查职能的处室单位开展随机抽查时，要合理确定抽查比例（原则上不超过50%）和频次（每年不超过1次），对高风险市场主体要加大抽查力度，对守法经营、信誉良好的可适当降低抽查比例和频次。</w:t>
      </w:r>
    </w:p>
    <w:p>
      <w:pPr>
        <w:pStyle w:val="4"/>
        <w:widowControl w:val="0"/>
        <w:snapToGrid w:val="0"/>
        <w:spacing w:line="360" w:lineRule="auto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 xml:space="preserve">    第八条  各具有行政检查职能的处室单位要制定</w:t>
      </w:r>
      <w:r>
        <w:rPr>
          <w:rFonts w:hint="eastAsia" w:ascii="仿宋_GB2312" w:hAnsi="Arial" w:eastAsia="仿宋_GB2312" w:cs="Arial"/>
          <w:snapToGrid w:val="0"/>
          <w:sz w:val="32"/>
          <w:szCs w:val="32"/>
        </w:rPr>
        <w:t>年度检查计划和具体检查方案，明确具体的操作规程和检查标准，突出可操作性和实效性。年度检查计划应于每年1月底前报局办公室备案。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ascii="仿宋_GB2312" w:hAnsi="微软雅黑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kern w:val="0"/>
          <w:sz w:val="32"/>
          <w:szCs w:val="32"/>
        </w:rPr>
        <w:t xml:space="preserve">第九条  </w:t>
      </w:r>
      <w:r>
        <w:rPr>
          <w:rFonts w:hint="eastAsia" w:ascii="仿宋_GB2312" w:hAnsi="ˎ̥" w:eastAsia="仿宋_GB2312" w:cs="宋体"/>
          <w:snapToGrid w:val="0"/>
          <w:kern w:val="0"/>
          <w:sz w:val="32"/>
          <w:szCs w:val="32"/>
        </w:rPr>
        <w:t>抽取执法检查人员时，原则上从本处室、本单位执法检查人员名录库中随机抽取执法人员，特殊情况经局领导同意，可从全局执法检查人员名录库中随机抽取执法人员。</w:t>
      </w:r>
      <w:r>
        <w:rPr>
          <w:rFonts w:hint="eastAsia" w:ascii="仿宋_GB2312" w:hAnsi="ˎ̥" w:eastAsia="仿宋_GB2312"/>
          <w:snapToGrid w:val="0"/>
          <w:kern w:val="0"/>
          <w:sz w:val="32"/>
          <w:szCs w:val="32"/>
        </w:rPr>
        <w:t>执法检查人员与被检查对象有利害关系的，应依法回避。</w:t>
      </w:r>
    </w:p>
    <w:p>
      <w:pPr>
        <w:shd w:val="clear" w:color="auto" w:fill="FFFFFF"/>
        <w:snapToGrid w:val="0"/>
        <w:spacing w:line="360" w:lineRule="auto"/>
        <w:ind w:firstLine="624" w:firstLineChars="195"/>
        <w:rPr>
          <w:rFonts w:ascii="仿宋_GB2312" w:hAnsi="微软雅黑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kern w:val="0"/>
          <w:sz w:val="32"/>
          <w:szCs w:val="32"/>
        </w:rPr>
        <w:t>第十条  随机抽查实行电子化管理，对检查事项、随机抽查对象、执法检查人员实行全程电子化管理，实现责任可追溯。</w:t>
      </w:r>
    </w:p>
    <w:p>
      <w:pPr>
        <w:shd w:val="clear" w:color="auto" w:fill="FFFFFF"/>
        <w:snapToGrid w:val="0"/>
        <w:spacing w:line="360" w:lineRule="auto"/>
        <w:ind w:firstLine="624" w:firstLineChars="195"/>
        <w:rPr>
          <w:rFonts w:ascii="仿宋_GB2312" w:hAnsi="微软雅黑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kern w:val="0"/>
          <w:sz w:val="32"/>
          <w:szCs w:val="32"/>
        </w:rPr>
        <w:t>第十一条  各具有行政检查职能的处室单位对抽查中发现的问题，要按照法定程序依法依规予以处理，并在做出处理决定后10个工作日内，在局门户网站依法公开检查结果。</w:t>
      </w:r>
      <w:r>
        <w:rPr>
          <w:rFonts w:hint="eastAsia" w:ascii="微软雅黑" w:hAnsi="微软雅黑" w:eastAsia="仿宋_GB2312"/>
          <w:snapToGrid w:val="0"/>
          <w:kern w:val="0"/>
          <w:sz w:val="32"/>
          <w:szCs w:val="32"/>
        </w:rPr>
        <w:t> </w:t>
      </w:r>
    </w:p>
    <w:p>
      <w:pPr>
        <w:shd w:val="clear" w:color="auto" w:fill="FFFFFF"/>
        <w:snapToGrid w:val="0"/>
        <w:spacing w:line="360" w:lineRule="auto"/>
        <w:ind w:firstLine="624" w:firstLineChars="195"/>
        <w:rPr>
          <w:rFonts w:hint="eastAsia" w:ascii="仿宋_GB2312" w:hAnsi="ˎ̥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napToGrid w:val="0"/>
          <w:kern w:val="0"/>
          <w:sz w:val="32"/>
          <w:szCs w:val="32"/>
        </w:rPr>
        <w:t>第十二条  局办公室和</w:t>
      </w:r>
      <w:r>
        <w:rPr>
          <w:rFonts w:hint="eastAsia" w:ascii="仿宋_GB2312" w:hAnsi="微软雅黑" w:eastAsia="仿宋_GB2312"/>
          <w:snapToGrid w:val="0"/>
          <w:kern w:val="0"/>
          <w:sz w:val="32"/>
          <w:szCs w:val="32"/>
        </w:rPr>
        <w:t>各具有行政检查职能的处室单位</w:t>
      </w:r>
      <w:r>
        <w:rPr>
          <w:rFonts w:hint="eastAsia" w:ascii="仿宋_GB2312" w:hAnsi="ˎ̥" w:eastAsia="仿宋_GB2312" w:cs="宋体"/>
          <w:snapToGrid w:val="0"/>
          <w:kern w:val="0"/>
          <w:sz w:val="32"/>
          <w:szCs w:val="32"/>
        </w:rPr>
        <w:t>要建立健全信息共享机制，</w:t>
      </w:r>
      <w:r>
        <w:rPr>
          <w:rFonts w:hint="eastAsia" w:ascii="仿宋_GB2312" w:hAnsi="微软雅黑" w:eastAsia="仿宋_GB2312"/>
          <w:snapToGrid w:val="0"/>
          <w:kern w:val="0"/>
          <w:sz w:val="32"/>
          <w:szCs w:val="32"/>
        </w:rPr>
        <w:t>在做出处理决定后10个工作日内，</w:t>
      </w:r>
      <w:r>
        <w:rPr>
          <w:rFonts w:hint="eastAsia" w:ascii="仿宋_GB2312" w:hAnsi="ˎ̥" w:eastAsia="仿宋_GB2312" w:cs="宋体"/>
          <w:snapToGrid w:val="0"/>
          <w:kern w:val="0"/>
          <w:sz w:val="32"/>
          <w:szCs w:val="32"/>
        </w:rPr>
        <w:t>利用“信用辽宁”“信用抚顺”等信息平台，将抽查结果纳入抽查对象的社会信用记录，实行信用约束和联合惩戒，以信息化、智能化提升随机抽查的效果和效率。</w:t>
      </w:r>
    </w:p>
    <w:p>
      <w:pPr>
        <w:pStyle w:val="4"/>
        <w:widowControl w:val="0"/>
        <w:snapToGrid w:val="0"/>
        <w:spacing w:line="360" w:lineRule="auto"/>
        <w:ind w:firstLine="640" w:firstLineChars="200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 xml:space="preserve">第十三条  </w:t>
      </w:r>
      <w:r>
        <w:rPr>
          <w:rFonts w:hint="eastAsia" w:ascii="仿宋_GB2312" w:hAnsi="ˎ̥" w:eastAsia="仿宋_GB2312"/>
          <w:snapToGrid w:val="0"/>
          <w:sz w:val="32"/>
          <w:szCs w:val="32"/>
        </w:rPr>
        <w:t>局办公室和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各具有行政检查职能的处室单位</w:t>
      </w:r>
      <w:r>
        <w:rPr>
          <w:rFonts w:hint="eastAsia" w:ascii="仿宋_GB2312" w:hAnsi="ˎ̥" w:eastAsia="仿宋_GB2312"/>
          <w:snapToGrid w:val="0"/>
          <w:sz w:val="32"/>
          <w:szCs w:val="32"/>
        </w:rPr>
        <w:t>要建立健全监管联动机制，协调组织局内相关处室单位或其他行政执法部门开展联合抽查，对同一市场主体的多个检查事项，原则上应一次完成，形成监管合力，提高执法效能，降低市场主体成本。</w:t>
      </w:r>
    </w:p>
    <w:p>
      <w:pPr>
        <w:pStyle w:val="4"/>
        <w:widowControl w:val="0"/>
        <w:snapToGrid w:val="0"/>
        <w:spacing w:line="360" w:lineRule="auto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　　第十四条  本细则由局办公室负责解释和修订。</w:t>
      </w:r>
    </w:p>
    <w:p>
      <w:pPr>
        <w:pStyle w:val="4"/>
        <w:widowControl w:val="0"/>
        <w:snapToGrid w:val="0"/>
        <w:spacing w:line="360" w:lineRule="auto"/>
        <w:jc w:val="both"/>
        <w:rPr>
          <w:rFonts w:ascii="仿宋_GB2312" w:hAnsi="微软雅黑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napToGrid w:val="0"/>
          <w:sz w:val="32"/>
          <w:szCs w:val="32"/>
        </w:rPr>
        <w:t>　　第十五条  本细则自印发之日起执行。</w:t>
      </w:r>
      <w:r>
        <w:rPr>
          <w:rFonts w:hint="eastAsia" w:ascii="微软雅黑" w:hAnsi="微软雅黑" w:eastAsia="仿宋_GB2312"/>
          <w:snapToGrid w:val="0"/>
          <w:sz w:val="32"/>
          <w:szCs w:val="32"/>
        </w:rPr>
        <w:t> </w:t>
      </w:r>
    </w:p>
    <w:p>
      <w:pPr>
        <w:pStyle w:val="4"/>
        <w:widowControl w:val="0"/>
        <w:snapToGrid w:val="0"/>
        <w:spacing w:line="360" w:lineRule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　　</w:t>
      </w:r>
      <w:r>
        <w:rPr>
          <w:rFonts w:hint="eastAsia" w:ascii="微软雅黑" w:hAnsi="微软雅黑" w:eastAsia="仿宋_GB2312"/>
          <w:sz w:val="32"/>
          <w:szCs w:val="32"/>
        </w:rPr>
        <w:t> </w:t>
      </w:r>
    </w:p>
    <w:p>
      <w:pPr>
        <w:pStyle w:val="4"/>
        <w:widowControl w:val="0"/>
        <w:snapToGrid w:val="0"/>
        <w:spacing w:line="360" w:lineRule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　　                         </w:t>
      </w: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仿宋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10D2F"/>
    <w:multiLevelType w:val="singleLevel"/>
    <w:tmpl w:val="58410D2F"/>
    <w:lvl w:ilvl="0" w:tentative="0">
      <w:start w:val="7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72"/>
    <w:rsid w:val="000A69CD"/>
    <w:rsid w:val="00254F97"/>
    <w:rsid w:val="002865B5"/>
    <w:rsid w:val="003C0FDB"/>
    <w:rsid w:val="003D3772"/>
    <w:rsid w:val="004F7B38"/>
    <w:rsid w:val="005A2250"/>
    <w:rsid w:val="005B3BDC"/>
    <w:rsid w:val="005C0D79"/>
    <w:rsid w:val="005F112E"/>
    <w:rsid w:val="00646C87"/>
    <w:rsid w:val="00793D94"/>
    <w:rsid w:val="00820529"/>
    <w:rsid w:val="009C2F12"/>
    <w:rsid w:val="00A03414"/>
    <w:rsid w:val="00A46DE5"/>
    <w:rsid w:val="00A4722E"/>
    <w:rsid w:val="00AD53BD"/>
    <w:rsid w:val="00AE539D"/>
    <w:rsid w:val="00B0328E"/>
    <w:rsid w:val="00B153C4"/>
    <w:rsid w:val="00CB76C7"/>
    <w:rsid w:val="00DF093A"/>
    <w:rsid w:val="00E23231"/>
    <w:rsid w:val="00EB4717"/>
    <w:rsid w:val="00EE36AE"/>
    <w:rsid w:val="00FF025E"/>
    <w:rsid w:val="103A162C"/>
    <w:rsid w:val="21DD349D"/>
    <w:rsid w:val="270F0D93"/>
    <w:rsid w:val="2EC17EC2"/>
    <w:rsid w:val="3A9F2E3C"/>
    <w:rsid w:val="483C7010"/>
    <w:rsid w:val="54684287"/>
    <w:rsid w:val="59723D50"/>
    <w:rsid w:val="6B770D5D"/>
    <w:rsid w:val="73A30CBA"/>
    <w:rsid w:val="7A0D09CC"/>
    <w:rsid w:val="FD2D8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200</Words>
  <Characters>1144</Characters>
  <Lines>9</Lines>
  <Paragraphs>2</Paragraphs>
  <TotalTime>7</TotalTime>
  <ScaleCrop>false</ScaleCrop>
  <LinksUpToDate>false</LinksUpToDate>
  <CharactersWithSpaces>1342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2016-11-23T09:22:00Z</dcterms:created>
  <dc:creator>a</dc:creator>
  <cp:lastModifiedBy>fushunshi</cp:lastModifiedBy>
  <cp:lastPrinted>2016-11-23T10:12:00Z</cp:lastPrinted>
  <dcterms:modified xsi:type="dcterms:W3CDTF">2023-06-09T14:59:41Z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