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7"/>
        <w:snapToGrid w:val="0"/>
        <w:spacing w:line="360" w:lineRule="auto"/>
        <w:rPr>
          <w:rFonts w:ascii="方正粗黑宋简体" w:hAnsi="方正粗黑宋简体" w:eastAsia="方正粗黑宋简体" w:cs="Times New Roman"/>
          <w:b/>
          <w:bCs/>
          <w:color w:val="auto"/>
          <w:sz w:val="48"/>
          <w:szCs w:val="48"/>
        </w:rPr>
      </w:pPr>
      <w:bookmarkStart w:id="0" w:name="_Toc288056032"/>
      <w:r>
        <w:rPr>
          <w:rFonts w:ascii="Times New Roman" w:hAnsi="Times New Roman" w:cs="Times New Roman"/>
          <w:color w:val="auto"/>
          <w:sz w:val="36"/>
          <w:szCs w:val="36"/>
        </w:rPr>
        <w:t xml:space="preserve"> </w:t>
      </w:r>
    </w:p>
    <w:p>
      <w:pPr>
        <w:pStyle w:val="27"/>
        <w:snapToGrid w:val="0"/>
        <w:spacing w:line="360" w:lineRule="auto"/>
        <w:jc w:val="center"/>
        <w:rPr>
          <w:rFonts w:ascii="方正粗黑宋简体" w:hAnsi="方正粗黑宋简体" w:eastAsia="方正粗黑宋简体" w:cs="Times New Roman"/>
          <w:b/>
          <w:bCs/>
          <w:color w:val="auto"/>
          <w:sz w:val="52"/>
          <w:szCs w:val="52"/>
        </w:rPr>
      </w:pPr>
      <w:r>
        <w:rPr>
          <w:rFonts w:hint="eastAsia" w:ascii="方正粗黑宋简体" w:hAnsi="方正粗黑宋简体" w:eastAsia="方正粗黑宋简体" w:cs="方正粗黑宋简体"/>
          <w:b/>
          <w:bCs/>
          <w:color w:val="auto"/>
          <w:sz w:val="52"/>
          <w:szCs w:val="52"/>
        </w:rPr>
        <w:t>抚顺市新型清洁能源产业</w:t>
      </w:r>
    </w:p>
    <w:p>
      <w:pPr>
        <w:pStyle w:val="27"/>
        <w:snapToGrid w:val="0"/>
        <w:spacing w:line="360" w:lineRule="auto"/>
        <w:jc w:val="center"/>
        <w:rPr>
          <w:rFonts w:hint="eastAsia" w:ascii="方正粗黑宋简体" w:hAnsi="方正粗黑宋简体" w:eastAsia="方正粗黑宋简体" w:cs="Times New Roman"/>
          <w:b/>
          <w:bCs/>
          <w:color w:val="auto"/>
          <w:sz w:val="52"/>
          <w:szCs w:val="52"/>
          <w:lang w:eastAsia="zh-CN"/>
        </w:rPr>
      </w:pPr>
      <w:r>
        <w:rPr>
          <w:rFonts w:hint="eastAsia" w:ascii="方正粗黑宋简体" w:hAnsi="方正粗黑宋简体" w:eastAsia="方正粗黑宋简体" w:cs="方正粗黑宋简体"/>
          <w:b/>
          <w:bCs/>
          <w:color w:val="auto"/>
          <w:sz w:val="52"/>
          <w:szCs w:val="52"/>
        </w:rPr>
        <w:t>“十四五”发展规划</w:t>
      </w:r>
      <w:r>
        <w:rPr>
          <w:rFonts w:hint="eastAsia" w:ascii="方正粗黑宋简体" w:hAnsi="方正粗黑宋简体" w:eastAsia="方正粗黑宋简体" w:cs="方正粗黑宋简体"/>
          <w:b/>
          <w:bCs/>
          <w:color w:val="auto"/>
          <w:sz w:val="52"/>
          <w:szCs w:val="52"/>
          <w:lang w:eastAsia="zh-CN"/>
        </w:rPr>
        <w:t>（</w:t>
      </w:r>
      <w:r>
        <w:rPr>
          <w:rFonts w:hint="eastAsia" w:ascii="方正粗黑宋简体" w:hAnsi="方正粗黑宋简体" w:eastAsia="方正粗黑宋简体" w:cs="方正粗黑宋简体"/>
          <w:b/>
          <w:bCs/>
          <w:color w:val="auto"/>
          <w:sz w:val="52"/>
          <w:szCs w:val="52"/>
          <w:lang w:val="en-US" w:eastAsia="zh-CN"/>
        </w:rPr>
        <w:t>草案</w:t>
      </w:r>
      <w:r>
        <w:rPr>
          <w:rFonts w:hint="eastAsia" w:ascii="方正粗黑宋简体" w:hAnsi="方正粗黑宋简体" w:eastAsia="方正粗黑宋简体" w:cs="方正粗黑宋简体"/>
          <w:b/>
          <w:bCs/>
          <w:color w:val="auto"/>
          <w:sz w:val="52"/>
          <w:szCs w:val="52"/>
          <w:lang w:eastAsia="zh-CN"/>
        </w:rPr>
        <w:t>）</w:t>
      </w:r>
    </w:p>
    <w:p>
      <w:pPr>
        <w:pStyle w:val="27"/>
        <w:snapToGrid w:val="0"/>
        <w:spacing w:line="360" w:lineRule="auto"/>
        <w:rPr>
          <w:rFonts w:ascii="Times New Roman" w:hAnsi="Times New Roman" w:cs="Times New Roman"/>
          <w:color w:val="auto"/>
          <w:sz w:val="24"/>
          <w:szCs w:val="24"/>
        </w:rPr>
      </w:pPr>
    </w:p>
    <w:p>
      <w:pPr>
        <w:pStyle w:val="27"/>
        <w:snapToGrid w:val="0"/>
        <w:spacing w:line="360" w:lineRule="auto"/>
        <w:rPr>
          <w:rFonts w:ascii="Times New Roman" w:hAnsi="Times New Roman" w:cs="Times New Roman"/>
          <w:color w:val="auto"/>
          <w:sz w:val="24"/>
          <w:szCs w:val="24"/>
        </w:rPr>
      </w:pPr>
    </w:p>
    <w:p>
      <w:pPr>
        <w:pStyle w:val="27"/>
        <w:snapToGrid w:val="0"/>
        <w:spacing w:line="360" w:lineRule="auto"/>
        <w:rPr>
          <w:rFonts w:ascii="Times New Roman" w:hAnsi="Times New Roman" w:cs="Times New Roman"/>
          <w:color w:val="auto"/>
          <w:sz w:val="24"/>
          <w:szCs w:val="24"/>
        </w:rPr>
      </w:pPr>
    </w:p>
    <w:p>
      <w:pPr>
        <w:pStyle w:val="27"/>
        <w:snapToGrid w:val="0"/>
        <w:spacing w:line="360" w:lineRule="auto"/>
        <w:rPr>
          <w:rFonts w:ascii="Times New Roman" w:hAnsi="Times New Roman" w:cs="Times New Roman"/>
          <w:color w:val="auto"/>
          <w:sz w:val="24"/>
          <w:szCs w:val="24"/>
        </w:rPr>
      </w:pPr>
    </w:p>
    <w:p>
      <w:pPr>
        <w:pStyle w:val="27"/>
        <w:snapToGrid w:val="0"/>
        <w:spacing w:line="360" w:lineRule="auto"/>
        <w:rPr>
          <w:rFonts w:ascii="Times New Roman" w:hAnsi="Times New Roman" w:cs="Times New Roman"/>
          <w:color w:val="auto"/>
          <w:sz w:val="24"/>
          <w:szCs w:val="24"/>
        </w:rPr>
      </w:pPr>
    </w:p>
    <w:p>
      <w:pPr>
        <w:pStyle w:val="27"/>
        <w:tabs>
          <w:tab w:val="left" w:pos="6533"/>
        </w:tabs>
        <w:snapToGrid w:val="0"/>
        <w:spacing w:line="360" w:lineRule="auto"/>
        <w:rPr>
          <w:rFonts w:ascii="Times New Roman" w:hAnsi="Times New Roman" w:cs="Times New Roman"/>
          <w:color w:val="auto"/>
          <w:sz w:val="24"/>
          <w:szCs w:val="24"/>
        </w:rPr>
      </w:pPr>
      <w:r>
        <w:rPr>
          <w:rFonts w:ascii="Times New Roman" w:hAnsi="Times New Roman" w:cs="Times New Roman"/>
          <w:color w:val="auto"/>
          <w:sz w:val="24"/>
          <w:szCs w:val="24"/>
        </w:rPr>
        <w:tab/>
      </w:r>
    </w:p>
    <w:p>
      <w:pPr>
        <w:pStyle w:val="27"/>
        <w:snapToGrid w:val="0"/>
        <w:spacing w:line="360" w:lineRule="auto"/>
        <w:rPr>
          <w:rFonts w:ascii="Times New Roman" w:hAnsi="Times New Roman" w:cs="Times New Roman"/>
          <w:color w:val="auto"/>
          <w:sz w:val="24"/>
          <w:szCs w:val="24"/>
        </w:rPr>
      </w:pPr>
    </w:p>
    <w:p>
      <w:pPr>
        <w:pStyle w:val="27"/>
        <w:snapToGrid w:val="0"/>
        <w:spacing w:line="360" w:lineRule="auto"/>
        <w:rPr>
          <w:rFonts w:ascii="Times New Roman" w:hAnsi="Times New Roman" w:cs="Times New Roman"/>
          <w:color w:val="auto"/>
          <w:sz w:val="24"/>
          <w:szCs w:val="24"/>
        </w:rPr>
      </w:pPr>
    </w:p>
    <w:p>
      <w:pPr>
        <w:pStyle w:val="27"/>
        <w:snapToGrid w:val="0"/>
        <w:spacing w:line="360" w:lineRule="auto"/>
        <w:rPr>
          <w:rFonts w:ascii="Times New Roman" w:hAnsi="Times New Roman" w:cs="Times New Roman"/>
          <w:color w:val="auto"/>
          <w:sz w:val="24"/>
          <w:szCs w:val="24"/>
        </w:rPr>
      </w:pPr>
    </w:p>
    <w:p>
      <w:pPr>
        <w:pStyle w:val="27"/>
        <w:snapToGrid w:val="0"/>
        <w:spacing w:line="360" w:lineRule="auto"/>
        <w:rPr>
          <w:rFonts w:ascii="Times New Roman" w:hAnsi="Times New Roman" w:cs="Times New Roman"/>
          <w:color w:val="auto"/>
          <w:sz w:val="24"/>
          <w:szCs w:val="24"/>
        </w:rPr>
      </w:pPr>
    </w:p>
    <w:p>
      <w:pPr>
        <w:pStyle w:val="27"/>
        <w:snapToGrid w:val="0"/>
        <w:spacing w:line="360" w:lineRule="auto"/>
        <w:rPr>
          <w:rFonts w:ascii="Times New Roman" w:hAnsi="Times New Roman" w:cs="Times New Roman"/>
          <w:color w:val="auto"/>
          <w:sz w:val="24"/>
          <w:szCs w:val="24"/>
        </w:rPr>
      </w:pPr>
    </w:p>
    <w:p>
      <w:pPr>
        <w:pStyle w:val="27"/>
        <w:snapToGrid w:val="0"/>
        <w:spacing w:line="360" w:lineRule="auto"/>
        <w:rPr>
          <w:rFonts w:ascii="Times New Roman" w:hAnsi="Times New Roman" w:cs="Times New Roman"/>
          <w:color w:val="auto"/>
          <w:sz w:val="24"/>
          <w:szCs w:val="24"/>
        </w:rPr>
      </w:pPr>
    </w:p>
    <w:p>
      <w:pPr>
        <w:pStyle w:val="27"/>
        <w:snapToGrid w:val="0"/>
        <w:spacing w:line="360" w:lineRule="auto"/>
        <w:rPr>
          <w:rFonts w:ascii="Times New Roman" w:hAnsi="Times New Roman" w:cs="Times New Roman"/>
          <w:color w:val="auto"/>
          <w:sz w:val="24"/>
          <w:szCs w:val="24"/>
        </w:rPr>
      </w:pPr>
    </w:p>
    <w:p>
      <w:pPr>
        <w:pStyle w:val="27"/>
        <w:snapToGrid w:val="0"/>
        <w:spacing w:line="360" w:lineRule="auto"/>
        <w:jc w:val="center"/>
        <w:rPr>
          <w:rFonts w:ascii="Times New Roman" w:hAnsi="Times New Roman" w:cs="Times New Roman"/>
          <w:b/>
          <w:bCs/>
          <w:color w:val="auto"/>
          <w:sz w:val="30"/>
          <w:szCs w:val="30"/>
        </w:rPr>
        <w:sectPr>
          <w:headerReference r:id="rId3" w:type="default"/>
          <w:pgSz w:w="11906" w:h="16838"/>
          <w:pgMar w:top="1701" w:right="1247" w:bottom="567" w:left="1247" w:header="851" w:footer="567" w:gutter="0"/>
          <w:pgNumType w:start="1"/>
          <w:cols w:space="720" w:num="1"/>
          <w:docGrid w:linePitch="312" w:charSpace="0"/>
        </w:sectPr>
      </w:pPr>
      <w:r>
        <w:rPr>
          <w:rFonts w:hint="eastAsia" w:ascii="Times New Roman" w:hAnsi="Times New Roman"/>
          <w:b/>
          <w:bCs/>
          <w:color w:val="auto"/>
          <w:sz w:val="30"/>
          <w:szCs w:val="30"/>
        </w:rPr>
        <w:t>二〇二一年十</w:t>
      </w:r>
      <w:r>
        <w:rPr>
          <w:rFonts w:hint="eastAsia" w:ascii="Times New Roman" w:hAnsi="Times New Roman"/>
          <w:b/>
          <w:bCs/>
          <w:color w:val="auto"/>
          <w:sz w:val="30"/>
          <w:szCs w:val="30"/>
          <w:lang w:val="en-US" w:eastAsia="zh-CN"/>
        </w:rPr>
        <w:t>一</w:t>
      </w:r>
      <w:bookmarkStart w:id="130" w:name="_GoBack"/>
      <w:bookmarkEnd w:id="130"/>
      <w:r>
        <w:rPr>
          <w:rFonts w:hint="eastAsia" w:ascii="Times New Roman" w:hAnsi="Times New Roman"/>
          <w:b/>
          <w:bCs/>
          <w:color w:val="auto"/>
          <w:sz w:val="30"/>
          <w:szCs w:val="30"/>
        </w:rPr>
        <w:t>月</w:t>
      </w:r>
    </w:p>
    <w:p>
      <w:pPr>
        <w:pStyle w:val="27"/>
        <w:snapToGrid w:val="0"/>
        <w:spacing w:line="360" w:lineRule="auto"/>
        <w:jc w:val="center"/>
        <w:rPr>
          <w:rFonts w:ascii="Times New Roman" w:hAnsi="Times New Roman" w:cs="Times New Roman"/>
          <w:color w:val="auto"/>
          <w:sz w:val="32"/>
          <w:szCs w:val="32"/>
        </w:rPr>
      </w:pPr>
      <w:r>
        <w:rPr>
          <w:rFonts w:hint="eastAsia" w:ascii="Times New Roman" w:hAnsi="Times New Roman"/>
          <w:b/>
          <w:bCs/>
          <w:color w:val="auto"/>
          <w:sz w:val="32"/>
          <w:szCs w:val="32"/>
        </w:rPr>
        <w:t>目录</w:t>
      </w:r>
    </w:p>
    <w:p>
      <w:pPr>
        <w:pStyle w:val="35"/>
        <w:tabs>
          <w:tab w:val="right" w:leader="dot" w:pos="8296"/>
        </w:tabs>
        <w:rPr>
          <w:rFonts w:ascii="仿宋" w:hAnsi="仿宋" w:eastAsia="仿宋"/>
          <w:b w:val="0"/>
          <w:bCs w:val="0"/>
          <w:caps w:val="0"/>
          <w:color w:val="auto"/>
          <w:sz w:val="28"/>
          <w:szCs w:val="28"/>
        </w:rPr>
      </w:pPr>
      <w:r>
        <w:rPr>
          <w:rFonts w:ascii="仿宋" w:hAnsi="仿宋" w:eastAsia="仿宋" w:cs="仿宋"/>
          <w:b w:val="0"/>
          <w:bCs w:val="0"/>
          <w:color w:val="auto"/>
          <w:sz w:val="28"/>
          <w:szCs w:val="28"/>
        </w:rPr>
        <w:fldChar w:fldCharType="begin"/>
      </w:r>
      <w:r>
        <w:rPr>
          <w:rFonts w:ascii="仿宋" w:hAnsi="仿宋" w:eastAsia="仿宋" w:cs="仿宋"/>
          <w:b w:val="0"/>
          <w:bCs w:val="0"/>
          <w:color w:val="auto"/>
          <w:sz w:val="28"/>
          <w:szCs w:val="28"/>
        </w:rPr>
        <w:instrText xml:space="preserve">TOC \o "1-2" \h \z \u</w:instrText>
      </w:r>
      <w:r>
        <w:rPr>
          <w:rFonts w:ascii="仿宋" w:hAnsi="仿宋" w:eastAsia="仿宋" w:cs="仿宋"/>
          <w:b w:val="0"/>
          <w:bCs w:val="0"/>
          <w:color w:val="auto"/>
          <w:sz w:val="28"/>
          <w:szCs w:val="28"/>
        </w:rPr>
        <w:fldChar w:fldCharType="separate"/>
      </w:r>
      <w:r>
        <w:fldChar w:fldCharType="begin"/>
      </w:r>
      <w:r>
        <w:instrText xml:space="preserve"> HYPERLINK \l "_Toc86233314" </w:instrText>
      </w:r>
      <w:r>
        <w:fldChar w:fldCharType="separate"/>
      </w:r>
      <w:r>
        <w:rPr>
          <w:rStyle w:val="65"/>
          <w:rFonts w:hint="eastAsia" w:ascii="仿宋" w:hAnsi="仿宋" w:eastAsia="仿宋" w:cs="仿宋"/>
          <w:sz w:val="28"/>
          <w:szCs w:val="28"/>
        </w:rPr>
        <w:t>前</w:t>
      </w:r>
      <w:r>
        <w:rPr>
          <w:rStyle w:val="65"/>
          <w:rFonts w:ascii="仿宋" w:hAnsi="仿宋" w:eastAsia="仿宋" w:cs="仿宋"/>
          <w:sz w:val="28"/>
          <w:szCs w:val="28"/>
        </w:rPr>
        <w:t xml:space="preserve"> </w:t>
      </w:r>
      <w:r>
        <w:rPr>
          <w:rStyle w:val="65"/>
          <w:rFonts w:hint="eastAsia" w:ascii="仿宋" w:hAnsi="仿宋" w:eastAsia="仿宋" w:cs="仿宋"/>
          <w:sz w:val="28"/>
          <w:szCs w:val="28"/>
        </w:rPr>
        <w:t>言</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_Toc86233314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35"/>
        <w:tabs>
          <w:tab w:val="right" w:leader="dot" w:pos="8296"/>
        </w:tabs>
        <w:rPr>
          <w:rFonts w:ascii="仿宋" w:hAnsi="仿宋" w:eastAsia="仿宋"/>
          <w:b w:val="0"/>
          <w:bCs w:val="0"/>
          <w:caps w:val="0"/>
          <w:color w:val="auto"/>
          <w:sz w:val="28"/>
          <w:szCs w:val="28"/>
        </w:rPr>
      </w:pPr>
      <w:r>
        <w:fldChar w:fldCharType="begin"/>
      </w:r>
      <w:r>
        <w:instrText xml:space="preserve"> HYPERLINK \l "_Toc86233315" </w:instrText>
      </w:r>
      <w:r>
        <w:fldChar w:fldCharType="separate"/>
      </w:r>
      <w:r>
        <w:rPr>
          <w:rStyle w:val="65"/>
          <w:rFonts w:hint="eastAsia" w:ascii="仿宋" w:hAnsi="仿宋" w:eastAsia="仿宋" w:cs="仿宋"/>
          <w:sz w:val="28"/>
          <w:szCs w:val="28"/>
        </w:rPr>
        <w:t>第一章</w:t>
      </w:r>
      <w:r>
        <w:rPr>
          <w:rStyle w:val="65"/>
          <w:rFonts w:ascii="仿宋" w:hAnsi="仿宋" w:eastAsia="仿宋" w:cs="仿宋"/>
          <w:sz w:val="28"/>
          <w:szCs w:val="28"/>
        </w:rPr>
        <w:t xml:space="preserve"> </w:t>
      </w:r>
      <w:r>
        <w:rPr>
          <w:rStyle w:val="65"/>
          <w:rFonts w:hint="eastAsia" w:ascii="仿宋" w:hAnsi="仿宋" w:eastAsia="仿宋" w:cs="仿宋"/>
          <w:sz w:val="28"/>
          <w:szCs w:val="28"/>
        </w:rPr>
        <w:t>发展基础</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_Toc86233315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"_Toc86233316" </w:instrText>
      </w:r>
      <w:r>
        <w:fldChar w:fldCharType="separate"/>
      </w:r>
      <w:r>
        <w:rPr>
          <w:rStyle w:val="65"/>
          <w:rFonts w:hint="eastAsia" w:ascii="仿宋" w:hAnsi="仿宋" w:eastAsia="仿宋" w:cs="仿宋"/>
          <w:sz w:val="28"/>
          <w:szCs w:val="28"/>
        </w:rPr>
        <w:t>一、自然、经济概况</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_Toc86233316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"_Toc86233317" </w:instrText>
      </w:r>
      <w:r>
        <w:fldChar w:fldCharType="separate"/>
      </w:r>
      <w:r>
        <w:rPr>
          <w:rStyle w:val="65"/>
          <w:rFonts w:hint="eastAsia" w:ascii="仿宋" w:hAnsi="仿宋" w:eastAsia="仿宋" w:cs="仿宋"/>
          <w:sz w:val="28"/>
          <w:szCs w:val="28"/>
        </w:rPr>
        <w:t>二、资源概况</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_Toc86233317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"_Toc86233318" </w:instrText>
      </w:r>
      <w:r>
        <w:fldChar w:fldCharType="separate"/>
      </w:r>
      <w:r>
        <w:rPr>
          <w:rStyle w:val="65"/>
          <w:rFonts w:hint="eastAsia" w:ascii="仿宋" w:hAnsi="仿宋" w:eastAsia="仿宋" w:cs="仿宋"/>
          <w:sz w:val="28"/>
          <w:szCs w:val="28"/>
        </w:rPr>
        <w:t>三、能源消费现状</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_Toc86233318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"_Toc86233319" </w:instrText>
      </w:r>
      <w:r>
        <w:fldChar w:fldCharType="separate"/>
      </w:r>
      <w:r>
        <w:rPr>
          <w:rStyle w:val="65"/>
          <w:rFonts w:hint="eastAsia" w:ascii="仿宋" w:hAnsi="仿宋" w:eastAsia="仿宋" w:cs="仿宋"/>
          <w:sz w:val="28"/>
          <w:szCs w:val="28"/>
        </w:rPr>
        <w:t>四、新型能源发展现状</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_Toc86233319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35"/>
        <w:tabs>
          <w:tab w:val="right" w:leader="dot" w:pos="8296"/>
        </w:tabs>
        <w:rPr>
          <w:rFonts w:ascii="仿宋" w:hAnsi="仿宋" w:eastAsia="仿宋"/>
          <w:b w:val="0"/>
          <w:bCs w:val="0"/>
          <w:caps w:val="0"/>
          <w:color w:val="auto"/>
          <w:sz w:val="28"/>
          <w:szCs w:val="28"/>
        </w:rPr>
      </w:pPr>
      <w:r>
        <w:fldChar w:fldCharType="begin"/>
      </w:r>
      <w:r>
        <w:instrText xml:space="preserve"> HYPERLINK \l "_Toc86233320" </w:instrText>
      </w:r>
      <w:r>
        <w:fldChar w:fldCharType="separate"/>
      </w:r>
      <w:r>
        <w:rPr>
          <w:rStyle w:val="65"/>
          <w:rFonts w:hint="eastAsia" w:ascii="仿宋" w:hAnsi="仿宋" w:eastAsia="仿宋" w:cs="仿宋"/>
          <w:sz w:val="28"/>
          <w:szCs w:val="28"/>
        </w:rPr>
        <w:t>第二章</w:t>
      </w:r>
      <w:r>
        <w:rPr>
          <w:rStyle w:val="65"/>
          <w:rFonts w:ascii="仿宋" w:hAnsi="仿宋" w:eastAsia="仿宋" w:cs="仿宋"/>
          <w:sz w:val="28"/>
          <w:szCs w:val="28"/>
        </w:rPr>
        <w:t xml:space="preserve"> </w:t>
      </w:r>
      <w:r>
        <w:rPr>
          <w:rStyle w:val="65"/>
          <w:rFonts w:hint="eastAsia" w:ascii="仿宋" w:hAnsi="仿宋" w:eastAsia="仿宋" w:cs="仿宋"/>
          <w:sz w:val="28"/>
          <w:szCs w:val="28"/>
        </w:rPr>
        <w:t>总体要求</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_Toc86233320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"_Toc86233321" </w:instrText>
      </w:r>
      <w:r>
        <w:fldChar w:fldCharType="separate"/>
      </w:r>
      <w:r>
        <w:rPr>
          <w:rStyle w:val="65"/>
          <w:rFonts w:hint="eastAsia" w:ascii="仿宋" w:hAnsi="仿宋" w:eastAsia="仿宋" w:cs="仿宋"/>
          <w:sz w:val="28"/>
          <w:szCs w:val="28"/>
        </w:rPr>
        <w:t>一、指导思想</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_Toc86233321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"_Toc86233322" </w:instrText>
      </w:r>
      <w:r>
        <w:fldChar w:fldCharType="separate"/>
      </w:r>
      <w:r>
        <w:rPr>
          <w:rStyle w:val="65"/>
          <w:rFonts w:hint="eastAsia" w:ascii="仿宋" w:hAnsi="仿宋" w:eastAsia="仿宋" w:cs="仿宋"/>
          <w:sz w:val="28"/>
          <w:szCs w:val="28"/>
        </w:rPr>
        <w:t>二、规划原则</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_Toc86233322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"_Toc86233323" </w:instrText>
      </w:r>
      <w:r>
        <w:fldChar w:fldCharType="separate"/>
      </w:r>
      <w:r>
        <w:rPr>
          <w:rStyle w:val="65"/>
          <w:rFonts w:hint="eastAsia" w:ascii="仿宋" w:hAnsi="仿宋" w:eastAsia="仿宋" w:cs="仿宋"/>
          <w:sz w:val="28"/>
          <w:szCs w:val="28"/>
        </w:rPr>
        <w:t>三、发展目标</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_Toc86233323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35"/>
        <w:tabs>
          <w:tab w:val="right" w:leader="dot" w:pos="8296"/>
        </w:tabs>
        <w:rPr>
          <w:rFonts w:ascii="仿宋" w:hAnsi="仿宋" w:eastAsia="仿宋"/>
          <w:b w:val="0"/>
          <w:bCs w:val="0"/>
          <w:caps w:val="0"/>
          <w:color w:val="auto"/>
          <w:sz w:val="28"/>
          <w:szCs w:val="28"/>
        </w:rPr>
      </w:pPr>
      <w:r>
        <w:fldChar w:fldCharType="begin"/>
      </w:r>
      <w:r>
        <w:instrText xml:space="preserve"> HYPERLINK \l "_Toc86233324" </w:instrText>
      </w:r>
      <w:r>
        <w:fldChar w:fldCharType="separate"/>
      </w:r>
      <w:r>
        <w:rPr>
          <w:rStyle w:val="65"/>
          <w:rFonts w:hint="eastAsia" w:ascii="仿宋" w:hAnsi="仿宋" w:eastAsia="仿宋" w:cs="仿宋"/>
          <w:sz w:val="28"/>
          <w:szCs w:val="28"/>
        </w:rPr>
        <w:t>第三章</w:t>
      </w:r>
      <w:r>
        <w:rPr>
          <w:rStyle w:val="65"/>
          <w:rFonts w:ascii="仿宋" w:hAnsi="仿宋" w:eastAsia="仿宋" w:cs="仿宋"/>
          <w:sz w:val="28"/>
          <w:szCs w:val="28"/>
        </w:rPr>
        <w:t xml:space="preserve"> </w:t>
      </w:r>
      <w:r>
        <w:rPr>
          <w:rStyle w:val="65"/>
          <w:rFonts w:hint="eastAsia" w:ascii="仿宋" w:hAnsi="仿宋" w:eastAsia="仿宋" w:cs="仿宋"/>
          <w:sz w:val="28"/>
          <w:szCs w:val="28"/>
        </w:rPr>
        <w:t>重点任务</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_Toc86233324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"_Toc86233325" </w:instrText>
      </w:r>
      <w:r>
        <w:fldChar w:fldCharType="separate"/>
      </w:r>
      <w:r>
        <w:rPr>
          <w:rStyle w:val="65"/>
          <w:rFonts w:hint="eastAsia" w:ascii="仿宋" w:hAnsi="仿宋" w:eastAsia="仿宋" w:cs="仿宋"/>
          <w:sz w:val="28"/>
          <w:szCs w:val="28"/>
        </w:rPr>
        <w:t>一、做强做大抽水蓄能产业</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_Toc86233325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"_Toc86233326" </w:instrText>
      </w:r>
      <w:r>
        <w:fldChar w:fldCharType="separate"/>
      </w:r>
      <w:r>
        <w:rPr>
          <w:rStyle w:val="65"/>
          <w:rFonts w:hint="eastAsia" w:ascii="仿宋" w:hAnsi="仿宋" w:eastAsia="仿宋" w:cs="仿宋"/>
          <w:sz w:val="28"/>
          <w:szCs w:val="28"/>
        </w:rPr>
        <w:t>二、多元化推动太阳能利用</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_Toc86233326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"_Toc86233327" </w:instrText>
      </w:r>
      <w:r>
        <w:fldChar w:fldCharType="separate"/>
      </w:r>
      <w:r>
        <w:rPr>
          <w:rStyle w:val="65"/>
          <w:rFonts w:hint="eastAsia" w:ascii="仿宋" w:hAnsi="仿宋" w:eastAsia="仿宋" w:cs="仿宋"/>
          <w:sz w:val="28"/>
          <w:szCs w:val="28"/>
        </w:rPr>
        <w:t>三、推进生物质能源化利用</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_Toc86233327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"_Toc86233328" </w:instrText>
      </w:r>
      <w:r>
        <w:fldChar w:fldCharType="separate"/>
      </w:r>
      <w:r>
        <w:rPr>
          <w:rStyle w:val="65"/>
          <w:rFonts w:hint="eastAsia" w:ascii="仿宋" w:hAnsi="仿宋" w:eastAsia="仿宋" w:cs="仿宋"/>
          <w:sz w:val="28"/>
          <w:szCs w:val="28"/>
        </w:rPr>
        <w:t>四、稳妥有序推进风电发展</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_Toc86233328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"_Toc86233329" </w:instrText>
      </w:r>
      <w:r>
        <w:fldChar w:fldCharType="separate"/>
      </w:r>
      <w:r>
        <w:rPr>
          <w:rStyle w:val="65"/>
          <w:rFonts w:hint="eastAsia" w:ascii="仿宋" w:hAnsi="仿宋" w:eastAsia="仿宋" w:cs="仿宋"/>
          <w:sz w:val="28"/>
          <w:szCs w:val="28"/>
        </w:rPr>
        <w:t>五、探索发展氢能产业</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_Toc86233329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"_Toc86233330" </w:instrText>
      </w:r>
      <w:r>
        <w:fldChar w:fldCharType="separate"/>
      </w:r>
      <w:r>
        <w:rPr>
          <w:rStyle w:val="65"/>
          <w:rFonts w:hint="eastAsia" w:ascii="仿宋" w:hAnsi="仿宋" w:eastAsia="仿宋" w:cs="仿宋"/>
          <w:sz w:val="28"/>
          <w:szCs w:val="28"/>
        </w:rPr>
        <w:t>六、鼓励开展储能示范项目</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_Toc86233330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"_Toc86233331" </w:instrText>
      </w:r>
      <w:r>
        <w:fldChar w:fldCharType="separate"/>
      </w:r>
      <w:r>
        <w:rPr>
          <w:rStyle w:val="65"/>
          <w:rFonts w:hint="eastAsia" w:ascii="仿宋" w:hAnsi="仿宋" w:eastAsia="仿宋" w:cs="仿宋"/>
          <w:sz w:val="28"/>
          <w:szCs w:val="28"/>
        </w:rPr>
        <w:t>七、夯实坚强智能电网</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_Toc86233331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35"/>
        <w:tabs>
          <w:tab w:val="right" w:leader="dot" w:pos="8296"/>
        </w:tabs>
        <w:rPr>
          <w:rFonts w:ascii="仿宋" w:hAnsi="仿宋" w:eastAsia="仿宋"/>
          <w:b w:val="0"/>
          <w:bCs w:val="0"/>
          <w:caps w:val="0"/>
          <w:color w:val="auto"/>
          <w:sz w:val="28"/>
          <w:szCs w:val="28"/>
        </w:rPr>
      </w:pPr>
      <w:r>
        <w:fldChar w:fldCharType="begin"/>
      </w:r>
      <w:r>
        <w:instrText xml:space="preserve"> HYPERLINK \l "_Toc86233332" </w:instrText>
      </w:r>
      <w:r>
        <w:fldChar w:fldCharType="separate"/>
      </w:r>
      <w:r>
        <w:rPr>
          <w:rStyle w:val="65"/>
          <w:rFonts w:hint="eastAsia" w:ascii="仿宋" w:hAnsi="仿宋" w:eastAsia="仿宋" w:cs="仿宋"/>
          <w:sz w:val="28"/>
          <w:szCs w:val="28"/>
        </w:rPr>
        <w:t>第四章</w:t>
      </w:r>
      <w:r>
        <w:rPr>
          <w:rStyle w:val="65"/>
          <w:rFonts w:ascii="仿宋" w:hAnsi="仿宋" w:eastAsia="仿宋" w:cs="仿宋"/>
          <w:sz w:val="28"/>
          <w:szCs w:val="28"/>
        </w:rPr>
        <w:t xml:space="preserve"> </w:t>
      </w:r>
      <w:r>
        <w:rPr>
          <w:rStyle w:val="65"/>
          <w:rFonts w:hint="eastAsia" w:ascii="仿宋" w:hAnsi="仿宋" w:eastAsia="仿宋" w:cs="仿宋"/>
          <w:sz w:val="28"/>
          <w:szCs w:val="28"/>
        </w:rPr>
        <w:t>电网接入系统规划</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_Toc86233332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"_Toc86233333" </w:instrText>
      </w:r>
      <w:r>
        <w:fldChar w:fldCharType="separate"/>
      </w:r>
      <w:r>
        <w:rPr>
          <w:rStyle w:val="65"/>
          <w:rFonts w:hint="eastAsia" w:ascii="仿宋" w:hAnsi="仿宋" w:eastAsia="仿宋" w:cs="仿宋"/>
          <w:sz w:val="28"/>
          <w:szCs w:val="28"/>
        </w:rPr>
        <w:t>一、电力系统现状</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_Toc86233333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"_Toc86233334" </w:instrText>
      </w:r>
      <w:r>
        <w:fldChar w:fldCharType="separate"/>
      </w:r>
      <w:r>
        <w:rPr>
          <w:rStyle w:val="65"/>
          <w:rFonts w:hint="eastAsia" w:ascii="仿宋" w:hAnsi="仿宋" w:eastAsia="仿宋" w:cs="仿宋"/>
          <w:sz w:val="28"/>
          <w:szCs w:val="28"/>
        </w:rPr>
        <w:t>二、新能源接入系统规划</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_Toc86233334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"_Toc86233335" </w:instrText>
      </w:r>
      <w:r>
        <w:fldChar w:fldCharType="separate"/>
      </w:r>
      <w:r>
        <w:rPr>
          <w:rStyle w:val="65"/>
          <w:rFonts w:hint="eastAsia" w:ascii="仿宋" w:hAnsi="仿宋" w:eastAsia="仿宋" w:cs="仿宋"/>
          <w:sz w:val="28"/>
          <w:szCs w:val="28"/>
        </w:rPr>
        <w:t>三、新能源发电项目接入电网的原则</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_Toc86233335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35"/>
        <w:tabs>
          <w:tab w:val="right" w:leader="dot" w:pos="8296"/>
        </w:tabs>
        <w:rPr>
          <w:rFonts w:ascii="仿宋" w:hAnsi="仿宋" w:eastAsia="仿宋"/>
          <w:b w:val="0"/>
          <w:bCs w:val="0"/>
          <w:caps w:val="0"/>
          <w:color w:val="auto"/>
          <w:sz w:val="28"/>
          <w:szCs w:val="28"/>
        </w:rPr>
      </w:pPr>
      <w:r>
        <w:fldChar w:fldCharType="begin"/>
      </w:r>
      <w:r>
        <w:instrText xml:space="preserve"> HYPERLINK \l "_Toc86233336" </w:instrText>
      </w:r>
      <w:r>
        <w:fldChar w:fldCharType="separate"/>
      </w:r>
      <w:r>
        <w:rPr>
          <w:rStyle w:val="65"/>
          <w:rFonts w:hint="eastAsia" w:ascii="仿宋" w:hAnsi="仿宋" w:eastAsia="仿宋" w:cs="仿宋"/>
          <w:sz w:val="28"/>
          <w:szCs w:val="28"/>
        </w:rPr>
        <w:t>第五章</w:t>
      </w:r>
      <w:r>
        <w:rPr>
          <w:rStyle w:val="65"/>
          <w:rFonts w:ascii="仿宋" w:hAnsi="仿宋" w:eastAsia="仿宋" w:cs="仿宋"/>
          <w:sz w:val="28"/>
          <w:szCs w:val="28"/>
        </w:rPr>
        <w:t xml:space="preserve"> </w:t>
      </w:r>
      <w:r>
        <w:rPr>
          <w:rStyle w:val="65"/>
          <w:rFonts w:hint="eastAsia" w:ascii="仿宋" w:hAnsi="仿宋" w:eastAsia="仿宋" w:cs="仿宋"/>
          <w:sz w:val="28"/>
          <w:szCs w:val="28"/>
        </w:rPr>
        <w:t>经济与社会效益</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_Toc86233336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"_Toc86233337" </w:instrText>
      </w:r>
      <w:r>
        <w:fldChar w:fldCharType="separate"/>
      </w:r>
      <w:r>
        <w:rPr>
          <w:rStyle w:val="65"/>
          <w:rFonts w:hint="eastAsia" w:ascii="仿宋" w:hAnsi="仿宋" w:eastAsia="仿宋" w:cs="仿宋"/>
          <w:sz w:val="28"/>
          <w:szCs w:val="28"/>
        </w:rPr>
        <w:t>一、投资规模</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_Toc86233337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"_Toc86233338" </w:instrText>
      </w:r>
      <w:r>
        <w:fldChar w:fldCharType="separate"/>
      </w:r>
      <w:r>
        <w:rPr>
          <w:rStyle w:val="65"/>
          <w:rFonts w:hint="eastAsia" w:ascii="仿宋" w:hAnsi="仿宋" w:eastAsia="仿宋" w:cs="仿宋"/>
          <w:sz w:val="28"/>
          <w:szCs w:val="28"/>
        </w:rPr>
        <w:t>二、经济效益</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_Toc86233338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"_Toc86233339" </w:instrText>
      </w:r>
      <w:r>
        <w:fldChar w:fldCharType="separate"/>
      </w:r>
      <w:r>
        <w:rPr>
          <w:rStyle w:val="65"/>
          <w:rFonts w:hint="eastAsia" w:ascii="仿宋" w:hAnsi="仿宋" w:eastAsia="仿宋" w:cs="仿宋"/>
          <w:sz w:val="28"/>
          <w:szCs w:val="28"/>
        </w:rPr>
        <w:t>三、社会效益</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_Toc86233339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35"/>
        <w:tabs>
          <w:tab w:val="right" w:leader="dot" w:pos="8296"/>
        </w:tabs>
        <w:rPr>
          <w:rFonts w:ascii="仿宋" w:hAnsi="仿宋" w:eastAsia="仿宋"/>
          <w:b w:val="0"/>
          <w:bCs w:val="0"/>
          <w:caps w:val="0"/>
          <w:color w:val="auto"/>
          <w:sz w:val="28"/>
          <w:szCs w:val="28"/>
        </w:rPr>
      </w:pPr>
      <w:r>
        <w:fldChar w:fldCharType="begin"/>
      </w:r>
      <w:r>
        <w:instrText xml:space="preserve"> HYPERLINK \l "_Toc86233340" </w:instrText>
      </w:r>
      <w:r>
        <w:fldChar w:fldCharType="separate"/>
      </w:r>
      <w:r>
        <w:rPr>
          <w:rStyle w:val="65"/>
          <w:rFonts w:hint="eastAsia" w:ascii="仿宋" w:hAnsi="仿宋" w:eastAsia="仿宋" w:cs="仿宋"/>
          <w:sz w:val="28"/>
          <w:szCs w:val="28"/>
        </w:rPr>
        <w:t>第六章</w:t>
      </w:r>
      <w:r>
        <w:rPr>
          <w:rStyle w:val="65"/>
          <w:rFonts w:ascii="仿宋" w:hAnsi="仿宋" w:eastAsia="仿宋" w:cs="仿宋"/>
          <w:sz w:val="28"/>
          <w:szCs w:val="28"/>
        </w:rPr>
        <w:t xml:space="preserve"> </w:t>
      </w:r>
      <w:r>
        <w:rPr>
          <w:rStyle w:val="65"/>
          <w:rFonts w:hint="eastAsia" w:ascii="仿宋" w:hAnsi="仿宋" w:eastAsia="仿宋" w:cs="仿宋"/>
          <w:sz w:val="28"/>
          <w:szCs w:val="28"/>
        </w:rPr>
        <w:t>保障措施</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_Toc86233340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"_Toc86233341" </w:instrText>
      </w:r>
      <w:r>
        <w:fldChar w:fldCharType="separate"/>
      </w:r>
      <w:r>
        <w:rPr>
          <w:rStyle w:val="65"/>
          <w:rFonts w:hint="eastAsia" w:ascii="仿宋" w:hAnsi="仿宋" w:eastAsia="仿宋" w:cs="仿宋"/>
          <w:sz w:val="28"/>
          <w:szCs w:val="28"/>
        </w:rPr>
        <w:t>一、加强组织领导</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_Toc86233341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"_Toc86233342" </w:instrText>
      </w:r>
      <w:r>
        <w:fldChar w:fldCharType="separate"/>
      </w:r>
      <w:r>
        <w:rPr>
          <w:rStyle w:val="65"/>
          <w:rFonts w:hint="eastAsia" w:ascii="仿宋" w:hAnsi="仿宋" w:eastAsia="仿宋" w:cs="仿宋"/>
          <w:sz w:val="28"/>
          <w:szCs w:val="28"/>
        </w:rPr>
        <w:t>二、加强政策对接</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_Toc86233342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"_Toc86233343" </w:instrText>
      </w:r>
      <w:r>
        <w:fldChar w:fldCharType="separate"/>
      </w:r>
      <w:r>
        <w:rPr>
          <w:rStyle w:val="65"/>
          <w:rFonts w:hint="eastAsia" w:ascii="仿宋" w:hAnsi="仿宋" w:eastAsia="仿宋" w:cs="仿宋"/>
          <w:sz w:val="28"/>
          <w:szCs w:val="28"/>
        </w:rPr>
        <w:t>三、做好规划衔接</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_Toc86233343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"_Toc86233344" </w:instrText>
      </w:r>
      <w:r>
        <w:fldChar w:fldCharType="separate"/>
      </w:r>
      <w:r>
        <w:rPr>
          <w:rStyle w:val="65"/>
          <w:rFonts w:hint="eastAsia" w:ascii="仿宋" w:hAnsi="仿宋" w:eastAsia="仿宋" w:cs="仿宋"/>
          <w:sz w:val="28"/>
          <w:szCs w:val="28"/>
        </w:rPr>
        <w:t>四、强化要素保障</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_Toc86233344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"_Toc86233345" </w:instrText>
      </w:r>
      <w:r>
        <w:fldChar w:fldCharType="separate"/>
      </w:r>
      <w:r>
        <w:rPr>
          <w:rStyle w:val="65"/>
          <w:rFonts w:hint="eastAsia" w:ascii="仿宋" w:hAnsi="仿宋" w:eastAsia="仿宋" w:cs="仿宋"/>
          <w:sz w:val="28"/>
          <w:szCs w:val="28"/>
        </w:rPr>
        <w:t>五、完善市场环境</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_Toc86233345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35"/>
        <w:tabs>
          <w:tab w:val="right" w:leader="dot" w:pos="8296"/>
        </w:tabs>
        <w:rPr>
          <w:rFonts w:ascii="仿宋" w:hAnsi="仿宋" w:eastAsia="仿宋"/>
          <w:b w:val="0"/>
          <w:bCs w:val="0"/>
          <w:caps w:val="0"/>
          <w:color w:val="auto"/>
          <w:sz w:val="28"/>
          <w:szCs w:val="28"/>
        </w:rPr>
      </w:pPr>
      <w:r>
        <w:fldChar w:fldCharType="begin"/>
      </w:r>
      <w:r>
        <w:instrText xml:space="preserve"> HYPERLINK \l "_Toc86233346" </w:instrText>
      </w:r>
      <w:r>
        <w:fldChar w:fldCharType="separate"/>
      </w:r>
      <w:r>
        <w:rPr>
          <w:rStyle w:val="65"/>
          <w:rFonts w:hint="eastAsia" w:ascii="仿宋" w:hAnsi="仿宋" w:eastAsia="仿宋" w:cs="仿宋"/>
          <w:sz w:val="28"/>
          <w:szCs w:val="28"/>
        </w:rPr>
        <w:t>附件</w:t>
      </w:r>
      <w:r>
        <w:rPr>
          <w:rStyle w:val="65"/>
          <w:rFonts w:ascii="仿宋" w:hAnsi="仿宋" w:eastAsia="仿宋" w:cs="仿宋"/>
          <w:sz w:val="28"/>
          <w:szCs w:val="28"/>
        </w:rPr>
        <w:t>1</w:t>
      </w:r>
      <w:r>
        <w:rPr>
          <w:rStyle w:val="65"/>
          <w:rFonts w:hint="eastAsia" w:ascii="仿宋" w:hAnsi="仿宋" w:eastAsia="仿宋" w:cs="仿宋"/>
          <w:sz w:val="28"/>
          <w:szCs w:val="28"/>
        </w:rPr>
        <w:t>“十四五”新型清洁能源续建、新开工及包装策划项目清单</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_Toc86233346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35"/>
        <w:tabs>
          <w:tab w:val="right" w:leader="dot" w:pos="8296"/>
        </w:tabs>
        <w:rPr>
          <w:rFonts w:ascii="仿宋" w:hAnsi="仿宋" w:eastAsia="仿宋"/>
          <w:b w:val="0"/>
          <w:bCs w:val="0"/>
          <w:caps w:val="0"/>
          <w:color w:val="auto"/>
          <w:sz w:val="28"/>
          <w:szCs w:val="28"/>
        </w:rPr>
      </w:pPr>
      <w:r>
        <w:fldChar w:fldCharType="begin"/>
      </w:r>
      <w:r>
        <w:instrText xml:space="preserve"> HYPERLINK \l "_Toc86233347" </w:instrText>
      </w:r>
      <w:r>
        <w:fldChar w:fldCharType="separate"/>
      </w:r>
      <w:r>
        <w:rPr>
          <w:rStyle w:val="65"/>
          <w:rFonts w:hint="eastAsia" w:ascii="仿宋" w:hAnsi="仿宋" w:eastAsia="仿宋" w:cs="仿宋"/>
          <w:sz w:val="28"/>
          <w:szCs w:val="28"/>
        </w:rPr>
        <w:t>附件</w:t>
      </w:r>
      <w:r>
        <w:rPr>
          <w:rStyle w:val="65"/>
          <w:rFonts w:ascii="仿宋" w:hAnsi="仿宋" w:eastAsia="仿宋" w:cs="仿宋"/>
          <w:sz w:val="28"/>
          <w:szCs w:val="28"/>
        </w:rPr>
        <w:t xml:space="preserve">2 </w:t>
      </w:r>
      <w:r>
        <w:rPr>
          <w:rStyle w:val="65"/>
          <w:rFonts w:hint="eastAsia" w:ascii="仿宋" w:hAnsi="仿宋" w:eastAsia="仿宋" w:cs="仿宋"/>
          <w:sz w:val="28"/>
          <w:szCs w:val="28"/>
        </w:rPr>
        <w:t>“十四五”新型清洁能源建议开发时序</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_Toc86233347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35"/>
        <w:tabs>
          <w:tab w:val="right" w:leader="dot" w:pos="8296"/>
        </w:tabs>
        <w:rPr>
          <w:rFonts w:ascii="??" w:hAnsi="??" w:eastAsia="Times New Roman"/>
          <w:b w:val="0"/>
          <w:bCs w:val="0"/>
          <w:caps w:val="0"/>
          <w:color w:val="auto"/>
          <w:sz w:val="21"/>
          <w:szCs w:val="21"/>
        </w:rPr>
      </w:pPr>
      <w:r>
        <w:fldChar w:fldCharType="begin"/>
      </w:r>
      <w:r>
        <w:instrText xml:space="preserve"> HYPERLINK \l "_Toc86233348" </w:instrText>
      </w:r>
      <w:r>
        <w:fldChar w:fldCharType="separate"/>
      </w:r>
      <w:r>
        <w:rPr>
          <w:rStyle w:val="65"/>
          <w:rFonts w:hint="eastAsia" w:ascii="仿宋" w:hAnsi="仿宋" w:eastAsia="仿宋" w:cs="仿宋"/>
          <w:sz w:val="28"/>
          <w:szCs w:val="28"/>
        </w:rPr>
        <w:t>附件</w:t>
      </w:r>
      <w:r>
        <w:rPr>
          <w:rStyle w:val="65"/>
          <w:rFonts w:ascii="仿宋" w:hAnsi="仿宋" w:eastAsia="仿宋" w:cs="仿宋"/>
          <w:sz w:val="28"/>
          <w:szCs w:val="28"/>
        </w:rPr>
        <w:t xml:space="preserve">3 </w:t>
      </w:r>
      <w:r>
        <w:rPr>
          <w:rStyle w:val="65"/>
          <w:rFonts w:hint="eastAsia" w:ascii="仿宋" w:hAnsi="仿宋" w:eastAsia="仿宋" w:cs="仿宋"/>
          <w:sz w:val="28"/>
          <w:szCs w:val="28"/>
        </w:rPr>
        <w:t>抚顺市新型清洁能源产业招商图谱</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_Toc86233348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widowControl/>
        <w:spacing w:line="360" w:lineRule="auto"/>
        <w:jc w:val="left"/>
        <w:rPr>
          <w:rFonts w:ascii="仿宋" w:hAnsi="仿宋" w:eastAsia="仿宋"/>
          <w:color w:val="auto"/>
          <w:sz w:val="28"/>
          <w:szCs w:val="28"/>
        </w:rPr>
      </w:pPr>
      <w:r>
        <w:rPr>
          <w:rFonts w:ascii="仿宋" w:hAnsi="仿宋" w:eastAsia="仿宋" w:cs="仿宋"/>
          <w:b/>
          <w:bCs/>
          <w:color w:val="auto"/>
          <w:sz w:val="28"/>
          <w:szCs w:val="28"/>
        </w:rPr>
        <w:fldChar w:fldCharType="end"/>
      </w:r>
    </w:p>
    <w:p>
      <w:pPr>
        <w:spacing w:line="360" w:lineRule="auto"/>
        <w:rPr>
          <w:rFonts w:ascii="仿宋" w:hAnsi="仿宋" w:eastAsia="仿宋"/>
          <w:color w:val="auto"/>
          <w:sz w:val="28"/>
          <w:szCs w:val="28"/>
        </w:rPr>
        <w:sectPr>
          <w:headerReference r:id="rId4" w:type="default"/>
          <w:footerReference r:id="rId5" w:type="default"/>
          <w:pgSz w:w="11906" w:h="16838"/>
          <w:pgMar w:top="1440" w:right="1800" w:bottom="1440" w:left="1800" w:header="851" w:footer="992" w:gutter="0"/>
          <w:pgNumType w:fmt="numberInDash" w:start="1"/>
          <w:cols w:space="425" w:num="1"/>
          <w:docGrid w:type="lines" w:linePitch="312" w:charSpace="0"/>
        </w:sectPr>
      </w:pPr>
    </w:p>
    <w:p>
      <w:pPr>
        <w:autoSpaceDE w:val="0"/>
        <w:autoSpaceDN w:val="0"/>
        <w:adjustRightInd w:val="0"/>
        <w:snapToGrid w:val="0"/>
        <w:spacing w:beforeLines="100" w:afterLines="100" w:line="360" w:lineRule="auto"/>
        <w:jc w:val="center"/>
        <w:outlineLvl w:val="0"/>
        <w:rPr>
          <w:rFonts w:ascii="黑体" w:hAnsi="黑体" w:eastAsia="黑体"/>
          <w:color w:val="auto"/>
          <w:sz w:val="32"/>
          <w:szCs w:val="32"/>
        </w:rPr>
      </w:pPr>
      <w:bookmarkStart w:id="1" w:name="_Toc86233314"/>
      <w:bookmarkStart w:id="2" w:name="_Toc41374927"/>
      <w:r>
        <w:rPr>
          <w:rFonts w:hint="eastAsia" w:ascii="黑体" w:hAnsi="黑体" w:eastAsia="黑体" w:cs="黑体"/>
          <w:color w:val="auto"/>
          <w:sz w:val="32"/>
          <w:szCs w:val="32"/>
        </w:rPr>
        <w:t>前</w:t>
      </w:r>
      <w:r>
        <w:rPr>
          <w:rFonts w:ascii="黑体" w:hAnsi="黑体" w:eastAsia="黑体" w:cs="黑体"/>
          <w:color w:val="auto"/>
          <w:sz w:val="32"/>
          <w:szCs w:val="32"/>
        </w:rPr>
        <w:t xml:space="preserve"> </w:t>
      </w:r>
      <w:r>
        <w:rPr>
          <w:rFonts w:hint="eastAsia" w:ascii="黑体" w:hAnsi="黑体" w:eastAsia="黑体" w:cs="黑体"/>
          <w:color w:val="auto"/>
          <w:sz w:val="32"/>
          <w:szCs w:val="32"/>
        </w:rPr>
        <w:t>言</w:t>
      </w:r>
      <w:bookmarkEnd w:id="1"/>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新型清洁能源是国家能源供应体系的重要组成部分。“十四五”时期是贯彻落实党的十九大提出的“推进能源生产和消费革命，构建清洁低碳、安全高效的能源体系”，贯彻落实习近平总书记提出的“四个革命，一个合作”能源安全新战略，实现我国</w:t>
      </w:r>
      <w:r>
        <w:rPr>
          <w:rFonts w:ascii="仿宋_GB2312" w:eastAsia="仿宋_GB2312" w:cs="仿宋_GB2312"/>
          <w:color w:val="auto"/>
          <w:sz w:val="32"/>
          <w:szCs w:val="32"/>
        </w:rPr>
        <w:t>2030</w:t>
      </w:r>
      <w:r>
        <w:rPr>
          <w:rFonts w:hint="eastAsia" w:ascii="仿宋_GB2312" w:eastAsia="仿宋_GB2312" w:cs="仿宋_GB2312"/>
          <w:color w:val="auto"/>
          <w:sz w:val="32"/>
          <w:szCs w:val="32"/>
        </w:rPr>
        <w:t>年前碳达峰</w:t>
      </w:r>
      <w:r>
        <w:rPr>
          <w:rFonts w:ascii="仿宋_GB2312" w:eastAsia="仿宋_GB2312" w:cs="仿宋_GB2312"/>
          <w:color w:val="auto"/>
          <w:sz w:val="32"/>
          <w:szCs w:val="32"/>
        </w:rPr>
        <w:t>2060</w:t>
      </w:r>
      <w:r>
        <w:rPr>
          <w:rFonts w:hint="eastAsia" w:ascii="仿宋_GB2312" w:eastAsia="仿宋_GB2312" w:cs="仿宋_GB2312"/>
          <w:color w:val="auto"/>
          <w:sz w:val="32"/>
          <w:szCs w:val="32"/>
        </w:rPr>
        <w:t>年前碳中和的关键时期，也是抚顺市大力发展新型清洁能源产业，推进全面振兴全方位振兴的关键五年。根据《抚顺市国民经济和社会发展第第十四个五年和</w:t>
      </w:r>
      <w:r>
        <w:rPr>
          <w:rFonts w:ascii="仿宋_GB2312" w:eastAsia="仿宋_GB2312" w:cs="仿宋_GB2312"/>
          <w:color w:val="auto"/>
          <w:sz w:val="32"/>
          <w:szCs w:val="32"/>
        </w:rPr>
        <w:t>2035</w:t>
      </w:r>
      <w:r>
        <w:rPr>
          <w:rFonts w:hint="eastAsia" w:ascii="仿宋_GB2312" w:eastAsia="仿宋_GB2312" w:cs="仿宋_GB2312"/>
          <w:color w:val="auto"/>
          <w:sz w:val="32"/>
          <w:szCs w:val="32"/>
        </w:rPr>
        <w:t>年远景目标刚要》，编制了《抚顺市六大产业规划</w:t>
      </w:r>
      <w:r>
        <w:rPr>
          <w:rFonts w:ascii="仿宋_GB2312" w:eastAsia="仿宋_GB2312" w:cs="仿宋_GB2312"/>
          <w:color w:val="auto"/>
          <w:sz w:val="32"/>
          <w:szCs w:val="32"/>
        </w:rPr>
        <w:t>--</w:t>
      </w:r>
      <w:r>
        <w:rPr>
          <w:rFonts w:hint="eastAsia" w:ascii="仿宋_GB2312" w:eastAsia="仿宋_GB2312" w:cs="仿宋_GB2312"/>
          <w:color w:val="auto"/>
          <w:sz w:val="32"/>
          <w:szCs w:val="32"/>
        </w:rPr>
        <w:t>新型清洁能源产业专项规划》。本规划涵盖抽水蓄能、太阳能、风能和生物质能等重点新型清洁能源领域，对“十四五”时期抚顺市新型清洁能源产业发展的指导思想、基本原则、发展目标、发展思路、重点任务及保障措施做出安排部署。本规划是“十四五”期间抚顺市推动“六大产业”发展，加快构建清洁低碳、安全高效现代能源体系，加速清洁能源产业发展的重要遵循。本规划以</w:t>
      </w:r>
      <w:r>
        <w:rPr>
          <w:rFonts w:ascii="仿宋_GB2312" w:eastAsia="仿宋_GB2312" w:cs="仿宋_GB2312"/>
          <w:color w:val="auto"/>
          <w:sz w:val="32"/>
          <w:szCs w:val="32"/>
        </w:rPr>
        <w:t>2020</w:t>
      </w:r>
      <w:r>
        <w:rPr>
          <w:rFonts w:hint="eastAsia" w:ascii="仿宋_GB2312" w:eastAsia="仿宋_GB2312" w:cs="仿宋_GB2312"/>
          <w:color w:val="auto"/>
          <w:sz w:val="32"/>
          <w:szCs w:val="32"/>
        </w:rPr>
        <w:t>年为基期，规划期限为</w:t>
      </w:r>
      <w:r>
        <w:rPr>
          <w:rFonts w:ascii="仿宋_GB2312" w:eastAsia="仿宋_GB2312" w:cs="仿宋_GB2312"/>
          <w:color w:val="auto"/>
          <w:sz w:val="32"/>
          <w:szCs w:val="32"/>
        </w:rPr>
        <w:t>2021</w:t>
      </w:r>
      <w:r>
        <w:rPr>
          <w:rFonts w:hint="eastAsia" w:ascii="仿宋_GB2312" w:eastAsia="仿宋_GB2312" w:cs="仿宋_GB2312"/>
          <w:color w:val="auto"/>
          <w:sz w:val="32"/>
          <w:szCs w:val="32"/>
        </w:rPr>
        <w:t>年</w:t>
      </w:r>
      <w:r>
        <w:rPr>
          <w:rFonts w:ascii="仿宋_GB2312" w:eastAsia="仿宋_GB2312" w:cs="仿宋_GB2312"/>
          <w:color w:val="auto"/>
          <w:sz w:val="32"/>
          <w:szCs w:val="32"/>
        </w:rPr>
        <w:t>-2025</w:t>
      </w:r>
      <w:r>
        <w:rPr>
          <w:rFonts w:hint="eastAsia" w:ascii="仿宋_GB2312" w:eastAsia="仿宋_GB2312" w:cs="仿宋_GB2312"/>
          <w:color w:val="auto"/>
          <w:sz w:val="32"/>
          <w:szCs w:val="32"/>
        </w:rPr>
        <w:t>年。</w:t>
      </w:r>
    </w:p>
    <w:p>
      <w:pPr>
        <w:autoSpaceDE w:val="0"/>
        <w:autoSpaceDN w:val="0"/>
        <w:adjustRightInd w:val="0"/>
        <w:snapToGrid w:val="0"/>
        <w:spacing w:beforeLines="100" w:afterLines="100" w:line="360" w:lineRule="auto"/>
        <w:jc w:val="center"/>
        <w:outlineLvl w:val="0"/>
        <w:rPr>
          <w:color w:val="auto"/>
          <w:sz w:val="32"/>
          <w:szCs w:val="32"/>
        </w:rPr>
      </w:pPr>
      <w:r>
        <w:rPr>
          <w:rFonts w:ascii="仿宋_GB2312" w:eastAsia="仿宋_GB2312"/>
          <w:color w:val="auto"/>
          <w:sz w:val="32"/>
          <w:szCs w:val="32"/>
        </w:rPr>
        <w:br w:type="page"/>
      </w:r>
      <w:bookmarkStart w:id="3" w:name="_Toc86233315"/>
      <w:r>
        <w:rPr>
          <w:rFonts w:hint="eastAsia" w:ascii="黑体" w:hAnsi="黑体" w:eastAsia="黑体" w:cs="黑体"/>
          <w:color w:val="auto"/>
          <w:sz w:val="32"/>
          <w:szCs w:val="32"/>
        </w:rPr>
        <w:t>第一章</w:t>
      </w:r>
      <w:bookmarkEnd w:id="0"/>
      <w:bookmarkEnd w:id="2"/>
      <w:r>
        <w:rPr>
          <w:rFonts w:ascii="黑体" w:hAnsi="黑体" w:eastAsia="黑体" w:cs="黑体"/>
          <w:color w:val="auto"/>
          <w:sz w:val="32"/>
          <w:szCs w:val="32"/>
        </w:rPr>
        <w:t xml:space="preserve"> </w:t>
      </w:r>
      <w:r>
        <w:rPr>
          <w:rFonts w:hint="eastAsia" w:ascii="黑体" w:hAnsi="黑体" w:eastAsia="黑体" w:cs="黑体"/>
          <w:color w:val="auto"/>
          <w:sz w:val="32"/>
          <w:szCs w:val="32"/>
        </w:rPr>
        <w:t>发展基础</w:t>
      </w:r>
      <w:bookmarkEnd w:id="3"/>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4" w:name="_Toc86233316"/>
      <w:r>
        <w:rPr>
          <w:rFonts w:hint="eastAsia" w:ascii="黑体" w:hAnsi="黑体" w:eastAsia="黑体" w:cs="黑体"/>
          <w:color w:val="auto"/>
          <w:sz w:val="32"/>
          <w:szCs w:val="32"/>
        </w:rPr>
        <w:t>一、自然、经济概况</w:t>
      </w:r>
      <w:bookmarkEnd w:id="4"/>
    </w:p>
    <w:p>
      <w:pPr>
        <w:pStyle w:val="5"/>
        <w:spacing w:beforeLines="50" w:afterLines="50" w:line="600" w:lineRule="exact"/>
        <w:ind w:firstLine="643" w:firstLineChars="200"/>
        <w:jc w:val="both"/>
        <w:rPr>
          <w:rFonts w:ascii="楷体" w:hAnsi="楷体" w:eastAsia="楷体"/>
          <w:color w:val="auto"/>
          <w:sz w:val="32"/>
          <w:szCs w:val="32"/>
        </w:rPr>
      </w:pPr>
      <w:r>
        <w:rPr>
          <w:rFonts w:hint="eastAsia" w:ascii="楷体" w:hAnsi="楷体" w:eastAsia="楷体" w:cs="楷体"/>
          <w:color w:val="auto"/>
          <w:sz w:val="32"/>
          <w:szCs w:val="32"/>
        </w:rPr>
        <w:t>（一）自然概况</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抚顺市，辽宁省辖地级市，是辽宁省重要的工业基地，</w:t>
      </w:r>
      <w:r>
        <w:fldChar w:fldCharType="begin"/>
      </w:r>
      <w:r>
        <w:instrText xml:space="preserve"> HYPERLINK "https://baike.baidu.com/item/%E6%B2%88%E9%98%B3%E7%BB%8F%E6%B5%8E%E5%8C%BA/1365092" \t "_blank" </w:instrText>
      </w:r>
      <w:r>
        <w:fldChar w:fldCharType="separate"/>
      </w:r>
      <w:r>
        <w:rPr>
          <w:rFonts w:hint="eastAsia" w:ascii="仿宋_GB2312" w:eastAsia="仿宋_GB2312" w:cs="仿宋_GB2312"/>
          <w:color w:val="auto"/>
          <w:sz w:val="32"/>
          <w:szCs w:val="32"/>
        </w:rPr>
        <w:t>沈阳经济区</w:t>
      </w:r>
      <w:r>
        <w:rPr>
          <w:rFonts w:hint="eastAsia" w:ascii="仿宋_GB2312" w:eastAsia="仿宋_GB2312" w:cs="仿宋_GB2312"/>
          <w:color w:val="auto"/>
          <w:sz w:val="32"/>
          <w:szCs w:val="32"/>
        </w:rPr>
        <w:fldChar w:fldCharType="end"/>
      </w:r>
      <w:r>
        <w:rPr>
          <w:rFonts w:hint="eastAsia" w:ascii="仿宋_GB2312" w:eastAsia="仿宋_GB2312" w:cs="仿宋_GB2312"/>
          <w:color w:val="auto"/>
          <w:sz w:val="32"/>
          <w:szCs w:val="32"/>
        </w:rPr>
        <w:t>副中心城市</w:t>
      </w:r>
      <w:r>
        <w:rPr>
          <w:rFonts w:ascii="仿宋_GB2312" w:eastAsia="仿宋_GB2312"/>
          <w:color w:val="auto"/>
          <w:sz w:val="32"/>
          <w:szCs w:val="32"/>
        </w:rPr>
        <w:t>  </w:t>
      </w:r>
      <w:r>
        <w:rPr>
          <w:rFonts w:hint="eastAsia" w:ascii="仿宋_GB2312" w:eastAsia="仿宋_GB2312" w:cs="仿宋_GB2312"/>
          <w:color w:val="auto"/>
          <w:sz w:val="32"/>
          <w:szCs w:val="32"/>
        </w:rPr>
        <w:t>。位于</w:t>
      </w:r>
      <w:r>
        <w:fldChar w:fldCharType="begin"/>
      </w:r>
      <w:r>
        <w:instrText xml:space="preserve"> HYPERLINK "https://baike.baidu.com/item/%E8%BE%BD%E5%AE%81%E7%9C%81/739981" \t "_blank" </w:instrText>
      </w:r>
      <w:r>
        <w:fldChar w:fldCharType="separate"/>
      </w:r>
      <w:r>
        <w:rPr>
          <w:rFonts w:hint="eastAsia" w:ascii="仿宋_GB2312" w:eastAsia="仿宋_GB2312" w:cs="仿宋_GB2312"/>
          <w:color w:val="auto"/>
          <w:sz w:val="32"/>
          <w:szCs w:val="32"/>
        </w:rPr>
        <w:t>辽宁省</w:t>
      </w:r>
      <w:r>
        <w:rPr>
          <w:rFonts w:hint="eastAsia" w:ascii="仿宋_GB2312" w:eastAsia="仿宋_GB2312" w:cs="仿宋_GB2312"/>
          <w:color w:val="auto"/>
          <w:sz w:val="32"/>
          <w:szCs w:val="32"/>
        </w:rPr>
        <w:fldChar w:fldCharType="end"/>
      </w:r>
      <w:r>
        <w:rPr>
          <w:rFonts w:hint="eastAsia" w:ascii="仿宋_GB2312" w:eastAsia="仿宋_GB2312" w:cs="仿宋_GB2312"/>
          <w:color w:val="auto"/>
          <w:sz w:val="32"/>
          <w:szCs w:val="32"/>
        </w:rPr>
        <w:t>东部，东与</w:t>
      </w:r>
      <w:r>
        <w:fldChar w:fldCharType="begin"/>
      </w:r>
      <w:r>
        <w:instrText xml:space="preserve"> HYPERLINK "https://baike.baidu.com/item/%E5%90%89%E6%9E%97%E7%9C%81/129609" \t "_blank" </w:instrText>
      </w:r>
      <w:r>
        <w:fldChar w:fldCharType="separate"/>
      </w:r>
      <w:r>
        <w:rPr>
          <w:rFonts w:hint="eastAsia" w:ascii="仿宋_GB2312" w:eastAsia="仿宋_GB2312" w:cs="仿宋_GB2312"/>
          <w:color w:val="auto"/>
          <w:sz w:val="32"/>
          <w:szCs w:val="32"/>
        </w:rPr>
        <w:t>吉林省</w:t>
      </w:r>
      <w:r>
        <w:rPr>
          <w:rFonts w:hint="eastAsia" w:ascii="仿宋_GB2312" w:eastAsia="仿宋_GB2312" w:cs="仿宋_GB2312"/>
          <w:color w:val="auto"/>
          <w:sz w:val="32"/>
          <w:szCs w:val="32"/>
        </w:rPr>
        <w:fldChar w:fldCharType="end"/>
      </w:r>
      <w:r>
        <w:rPr>
          <w:rFonts w:hint="eastAsia" w:ascii="仿宋_GB2312" w:eastAsia="仿宋_GB2312" w:cs="仿宋_GB2312"/>
          <w:color w:val="auto"/>
          <w:sz w:val="32"/>
          <w:szCs w:val="32"/>
        </w:rPr>
        <w:t>接壤，西距省会</w:t>
      </w:r>
      <w:r>
        <w:fldChar w:fldCharType="begin"/>
      </w:r>
      <w:r>
        <w:instrText xml:space="preserve"> HYPERLINK "https://baike.baidu.com/item/%E6%B2%88%E9%98%B3%E5%B8%82/124784" \t "_blank" </w:instrText>
      </w:r>
      <w:r>
        <w:fldChar w:fldCharType="separate"/>
      </w:r>
      <w:r>
        <w:rPr>
          <w:rFonts w:hint="eastAsia" w:ascii="仿宋_GB2312" w:eastAsia="仿宋_GB2312" w:cs="仿宋_GB2312"/>
          <w:color w:val="auto"/>
          <w:sz w:val="32"/>
          <w:szCs w:val="32"/>
        </w:rPr>
        <w:t>沈阳市</w:t>
      </w:r>
      <w:r>
        <w:rPr>
          <w:rFonts w:hint="eastAsia" w:ascii="仿宋_GB2312" w:eastAsia="仿宋_GB2312" w:cs="仿宋_GB2312"/>
          <w:color w:val="auto"/>
          <w:sz w:val="32"/>
          <w:szCs w:val="32"/>
        </w:rPr>
        <w:fldChar w:fldCharType="end"/>
      </w:r>
      <w:r>
        <w:rPr>
          <w:rFonts w:ascii="仿宋_GB2312" w:eastAsia="仿宋_GB2312" w:cs="仿宋_GB2312"/>
          <w:color w:val="auto"/>
          <w:sz w:val="32"/>
          <w:szCs w:val="32"/>
        </w:rPr>
        <w:t>45</w:t>
      </w:r>
      <w:r>
        <w:rPr>
          <w:rFonts w:hint="eastAsia" w:ascii="仿宋_GB2312" w:eastAsia="仿宋_GB2312" w:cs="仿宋_GB2312"/>
          <w:color w:val="auto"/>
          <w:sz w:val="32"/>
          <w:szCs w:val="32"/>
        </w:rPr>
        <w:t>公里，北与</w:t>
      </w:r>
      <w:r>
        <w:fldChar w:fldCharType="begin"/>
      </w:r>
      <w:r>
        <w:instrText xml:space="preserve"> HYPERLINK "https://baike.baidu.com/item/%E9%93%81%E5%B2%AD/175906" \t "_blank" </w:instrText>
      </w:r>
      <w:r>
        <w:fldChar w:fldCharType="separate"/>
      </w:r>
      <w:r>
        <w:rPr>
          <w:rFonts w:hint="eastAsia" w:ascii="仿宋_GB2312" w:eastAsia="仿宋_GB2312" w:cs="仿宋_GB2312"/>
          <w:color w:val="auto"/>
          <w:sz w:val="32"/>
          <w:szCs w:val="32"/>
        </w:rPr>
        <w:t>铁岭</w:t>
      </w:r>
      <w:r>
        <w:rPr>
          <w:rFonts w:hint="eastAsia" w:ascii="仿宋_GB2312" w:eastAsia="仿宋_GB2312" w:cs="仿宋_GB2312"/>
          <w:color w:val="auto"/>
          <w:sz w:val="32"/>
          <w:szCs w:val="32"/>
        </w:rPr>
        <w:fldChar w:fldCharType="end"/>
      </w:r>
      <w:r>
        <w:rPr>
          <w:rFonts w:hint="eastAsia" w:ascii="仿宋_GB2312" w:eastAsia="仿宋_GB2312" w:cs="仿宋_GB2312"/>
          <w:color w:val="auto"/>
          <w:sz w:val="32"/>
          <w:szCs w:val="32"/>
        </w:rPr>
        <w:t>毗邻，南与</w:t>
      </w:r>
      <w:r>
        <w:fldChar w:fldCharType="begin"/>
      </w:r>
      <w:r>
        <w:instrText xml:space="preserve"> HYPERLINK "https://baike.baidu.com/item/%E6%9C%AC%E6%BA%AA/85493" \t "_blank" </w:instrText>
      </w:r>
      <w:r>
        <w:fldChar w:fldCharType="separate"/>
      </w:r>
      <w:r>
        <w:rPr>
          <w:rFonts w:hint="eastAsia" w:ascii="仿宋_GB2312" w:eastAsia="仿宋_GB2312" w:cs="仿宋_GB2312"/>
          <w:color w:val="auto"/>
          <w:sz w:val="32"/>
          <w:szCs w:val="32"/>
        </w:rPr>
        <w:t>本溪</w:t>
      </w:r>
      <w:r>
        <w:rPr>
          <w:rFonts w:hint="eastAsia" w:ascii="仿宋_GB2312" w:eastAsia="仿宋_GB2312" w:cs="仿宋_GB2312"/>
          <w:color w:val="auto"/>
          <w:sz w:val="32"/>
          <w:szCs w:val="32"/>
        </w:rPr>
        <w:fldChar w:fldCharType="end"/>
      </w:r>
      <w:r>
        <w:rPr>
          <w:rFonts w:hint="eastAsia" w:ascii="仿宋_GB2312" w:eastAsia="仿宋_GB2312" w:cs="仿宋_GB2312"/>
          <w:color w:val="auto"/>
          <w:sz w:val="32"/>
          <w:szCs w:val="32"/>
        </w:rPr>
        <w:t>相望。地理坐标为东经</w:t>
      </w:r>
      <w:r>
        <w:rPr>
          <w:rFonts w:ascii="仿宋_GB2312" w:eastAsia="仿宋_GB2312" w:cs="仿宋_GB2312"/>
          <w:color w:val="auto"/>
          <w:sz w:val="32"/>
          <w:szCs w:val="32"/>
        </w:rPr>
        <w:t>123</w:t>
      </w:r>
      <w:r>
        <w:rPr>
          <w:rFonts w:ascii="仿宋_GB2312" w:eastAsia="仿宋_GB2312"/>
          <w:color w:val="auto"/>
          <w:sz w:val="32"/>
          <w:szCs w:val="32"/>
        </w:rPr>
        <w:t>°</w:t>
      </w:r>
      <w:r>
        <w:rPr>
          <w:rFonts w:ascii="仿宋_GB2312" w:eastAsia="仿宋_GB2312" w:cs="仿宋_GB2312"/>
          <w:color w:val="auto"/>
          <w:sz w:val="32"/>
          <w:szCs w:val="32"/>
        </w:rPr>
        <w:t>55'</w:t>
      </w:r>
      <w:r>
        <w:rPr>
          <w:rFonts w:hint="eastAsia" w:ascii="仿宋_GB2312" w:eastAsia="仿宋_GB2312" w:cs="仿宋_GB2312"/>
          <w:color w:val="auto"/>
          <w:sz w:val="32"/>
          <w:szCs w:val="32"/>
        </w:rPr>
        <w:t>，北纬</w:t>
      </w:r>
      <w:r>
        <w:rPr>
          <w:rFonts w:ascii="仿宋_GB2312" w:eastAsia="仿宋_GB2312" w:cs="仿宋_GB2312"/>
          <w:color w:val="auto"/>
          <w:sz w:val="32"/>
          <w:szCs w:val="32"/>
        </w:rPr>
        <w:t>41</w:t>
      </w:r>
      <w:r>
        <w:rPr>
          <w:rFonts w:ascii="仿宋_GB2312" w:eastAsia="仿宋_GB2312"/>
          <w:color w:val="auto"/>
          <w:sz w:val="32"/>
          <w:szCs w:val="32"/>
        </w:rPr>
        <w:t>°</w:t>
      </w:r>
      <w:r>
        <w:rPr>
          <w:rFonts w:ascii="仿宋_GB2312" w:eastAsia="仿宋_GB2312" w:cs="仿宋_GB2312"/>
          <w:color w:val="auto"/>
          <w:sz w:val="32"/>
          <w:szCs w:val="32"/>
        </w:rPr>
        <w:t>52'</w:t>
      </w:r>
      <w:r>
        <w:rPr>
          <w:rFonts w:hint="eastAsia" w:ascii="仿宋_GB2312" w:eastAsia="仿宋_GB2312" w:cs="仿宋_GB2312"/>
          <w:color w:val="auto"/>
          <w:sz w:val="32"/>
          <w:szCs w:val="32"/>
        </w:rPr>
        <w:t>，抚顺境内平均海拔</w:t>
      </w:r>
      <w:r>
        <w:rPr>
          <w:rFonts w:ascii="仿宋_GB2312" w:eastAsia="仿宋_GB2312" w:cs="仿宋_GB2312"/>
          <w:color w:val="auto"/>
          <w:sz w:val="32"/>
          <w:szCs w:val="32"/>
        </w:rPr>
        <w:t>80</w:t>
      </w:r>
      <w:r>
        <w:rPr>
          <w:rFonts w:hint="eastAsia" w:ascii="仿宋_GB2312" w:eastAsia="仿宋_GB2312" w:cs="仿宋_GB2312"/>
          <w:color w:val="auto"/>
          <w:sz w:val="32"/>
          <w:szCs w:val="32"/>
        </w:rPr>
        <w:t>米，地处</w:t>
      </w:r>
      <w:r>
        <w:fldChar w:fldCharType="begin"/>
      </w:r>
      <w:r>
        <w:instrText xml:space="preserve"> HYPERLINK "https://baike.baidu.com/item/%E4%B8%AD%E6%B8%A9%E5%B8%A6" \t "_blank" </w:instrText>
      </w:r>
      <w:r>
        <w:fldChar w:fldCharType="separate"/>
      </w:r>
      <w:r>
        <w:rPr>
          <w:rFonts w:hint="eastAsia" w:ascii="仿宋_GB2312" w:eastAsia="仿宋_GB2312" w:cs="仿宋_GB2312"/>
          <w:color w:val="auto"/>
          <w:sz w:val="32"/>
          <w:szCs w:val="32"/>
        </w:rPr>
        <w:t>中温带</w:t>
      </w:r>
      <w:r>
        <w:rPr>
          <w:rFonts w:hint="eastAsia" w:ascii="仿宋_GB2312" w:eastAsia="仿宋_GB2312" w:cs="仿宋_GB2312"/>
          <w:color w:val="auto"/>
          <w:sz w:val="32"/>
          <w:szCs w:val="32"/>
        </w:rPr>
        <w:fldChar w:fldCharType="end"/>
      </w:r>
      <w:r>
        <w:rPr>
          <w:rFonts w:hint="eastAsia" w:ascii="仿宋_GB2312" w:eastAsia="仿宋_GB2312" w:cs="仿宋_GB2312"/>
          <w:color w:val="auto"/>
          <w:sz w:val="32"/>
          <w:szCs w:val="32"/>
        </w:rPr>
        <w:t>，属大陆性季风气候，市区位于</w:t>
      </w:r>
      <w:r>
        <w:fldChar w:fldCharType="begin"/>
      </w:r>
      <w:r>
        <w:instrText xml:space="preserve"> HYPERLINK "https://baike.baidu.com/item/%E6%B5%91%E6%B2%B3/31565" \t "_blank" </w:instrText>
      </w:r>
      <w:r>
        <w:fldChar w:fldCharType="separate"/>
      </w:r>
      <w:r>
        <w:rPr>
          <w:rFonts w:hint="eastAsia" w:ascii="仿宋_GB2312" w:eastAsia="仿宋_GB2312" w:cs="仿宋_GB2312"/>
          <w:color w:val="auto"/>
          <w:sz w:val="32"/>
          <w:szCs w:val="32"/>
        </w:rPr>
        <w:t>浑河</w:t>
      </w:r>
      <w:r>
        <w:rPr>
          <w:rFonts w:hint="eastAsia" w:ascii="仿宋_GB2312" w:eastAsia="仿宋_GB2312" w:cs="仿宋_GB2312"/>
          <w:color w:val="auto"/>
          <w:sz w:val="32"/>
          <w:szCs w:val="32"/>
        </w:rPr>
        <w:fldChar w:fldCharType="end"/>
      </w:r>
      <w:r>
        <w:fldChar w:fldCharType="begin"/>
      </w:r>
      <w:r>
        <w:instrText xml:space="preserve"> HYPERLINK "https://baike.baidu.com/item/%E5%86%B2%E7%A7%AF%E5%B9%B3%E5%8E%9F" \t "_blank" </w:instrText>
      </w:r>
      <w:r>
        <w:fldChar w:fldCharType="separate"/>
      </w:r>
      <w:r>
        <w:rPr>
          <w:rFonts w:hint="eastAsia" w:ascii="仿宋_GB2312" w:eastAsia="仿宋_GB2312" w:cs="仿宋_GB2312"/>
          <w:color w:val="auto"/>
          <w:sz w:val="32"/>
          <w:szCs w:val="32"/>
        </w:rPr>
        <w:t>冲积平原</w:t>
      </w:r>
      <w:r>
        <w:rPr>
          <w:rFonts w:hint="eastAsia" w:ascii="仿宋_GB2312" w:eastAsia="仿宋_GB2312" w:cs="仿宋_GB2312"/>
          <w:color w:val="auto"/>
          <w:sz w:val="32"/>
          <w:szCs w:val="32"/>
        </w:rPr>
        <w:fldChar w:fldCharType="end"/>
      </w:r>
      <w:r>
        <w:rPr>
          <w:rFonts w:hint="eastAsia" w:ascii="仿宋_GB2312" w:eastAsia="仿宋_GB2312" w:cs="仿宋_GB2312"/>
          <w:color w:val="auto"/>
          <w:sz w:val="32"/>
          <w:szCs w:val="32"/>
        </w:rPr>
        <w:t>上，三面环山；辖四个市辖区及三个县；总面积</w:t>
      </w:r>
      <w:r>
        <w:rPr>
          <w:rFonts w:ascii="仿宋_GB2312" w:eastAsia="仿宋_GB2312" w:cs="仿宋_GB2312"/>
          <w:color w:val="auto"/>
          <w:sz w:val="32"/>
          <w:szCs w:val="32"/>
        </w:rPr>
        <w:t>11271.03</w:t>
      </w:r>
      <w:r>
        <w:rPr>
          <w:rFonts w:hint="eastAsia" w:ascii="仿宋_GB2312" w:eastAsia="仿宋_GB2312" w:cs="仿宋_GB2312"/>
          <w:color w:val="auto"/>
          <w:sz w:val="32"/>
          <w:szCs w:val="32"/>
        </w:rPr>
        <w:t>平方千米。</w:t>
      </w:r>
    </w:p>
    <w:p>
      <w:pPr>
        <w:pStyle w:val="100"/>
        <w:snapToGrid w:val="0"/>
        <w:spacing w:line="360" w:lineRule="auto"/>
        <w:ind w:firstLine="0" w:firstLineChars="0"/>
        <w:jc w:val="center"/>
        <w:rPr>
          <w:color w:val="auto"/>
          <w:sz w:val="24"/>
          <w:szCs w:val="24"/>
        </w:rPr>
      </w:pPr>
      <w:r>
        <w:rPr>
          <w:color w:val="auto"/>
          <w:sz w:val="24"/>
          <w:szCs w:val="24"/>
        </w:rPr>
        <w:pict>
          <v:shape id="_x0000_i1025" o:spt="75" type="#_x0000_t75" style="height:276pt;width:301.5pt;" filled="f" o:preferrelative="t" stroked="f" coordsize="21600,21600">
            <v:path/>
            <v:fill on="f" focussize="0,0"/>
            <v:stroke on="f" joinstyle="miter"/>
            <v:imagedata r:id="rId10" o:title=""/>
            <o:lock v:ext="edit" aspectratio="t"/>
            <w10:wrap type="none"/>
            <w10:anchorlock/>
          </v:shape>
        </w:pict>
      </w:r>
    </w:p>
    <w:p>
      <w:pPr>
        <w:pStyle w:val="100"/>
        <w:snapToGrid w:val="0"/>
        <w:spacing w:line="360" w:lineRule="auto"/>
        <w:ind w:firstLine="420" w:firstLineChars="175"/>
        <w:jc w:val="center"/>
        <w:rPr>
          <w:rFonts w:ascii="仿宋_GB2312" w:eastAsia="仿宋_GB2312"/>
          <w:color w:val="auto"/>
          <w:sz w:val="24"/>
          <w:szCs w:val="24"/>
        </w:rPr>
      </w:pPr>
      <w:r>
        <w:rPr>
          <w:rFonts w:hint="eastAsia" w:ascii="仿宋_GB2312" w:eastAsia="仿宋_GB2312" w:cs="仿宋_GB2312"/>
          <w:color w:val="auto"/>
          <w:sz w:val="24"/>
          <w:szCs w:val="24"/>
        </w:rPr>
        <w:t>图</w:t>
      </w:r>
      <w:r>
        <w:rPr>
          <w:rFonts w:ascii="仿宋_GB2312" w:eastAsia="仿宋_GB2312" w:cs="仿宋_GB2312"/>
          <w:color w:val="auto"/>
          <w:sz w:val="24"/>
          <w:szCs w:val="24"/>
        </w:rPr>
        <w:t xml:space="preserve">1.1  </w:t>
      </w:r>
      <w:r>
        <w:rPr>
          <w:rFonts w:hint="eastAsia" w:ascii="仿宋_GB2312" w:eastAsia="仿宋_GB2312" w:cs="仿宋_GB2312"/>
          <w:color w:val="auto"/>
          <w:sz w:val="24"/>
          <w:szCs w:val="24"/>
        </w:rPr>
        <w:t>抚顺在辽宁省的地理位置图</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抚顺市下辖四区、三县。四区为新抚区、望花区、东洲区、顺城区。三县包括：抚顺县、新宾满族自治县和清原满族自治县。</w:t>
      </w:r>
    </w:p>
    <w:p>
      <w:pPr>
        <w:pStyle w:val="100"/>
        <w:snapToGrid w:val="0"/>
        <w:spacing w:line="360" w:lineRule="auto"/>
        <w:ind w:firstLine="31680"/>
        <w:jc w:val="center"/>
        <w:rPr>
          <w:color w:val="auto"/>
          <w:sz w:val="24"/>
          <w:szCs w:val="24"/>
        </w:rPr>
      </w:pPr>
      <w:r>
        <w:rPr>
          <w:color w:val="auto"/>
          <w:sz w:val="24"/>
          <w:szCs w:val="24"/>
        </w:rPr>
        <w:pict>
          <v:shape id="_x0000_i1026" o:spt="75" type="#_x0000_t75" style="height:249.75pt;width:334.5pt;" filled="f" o:preferrelative="t" stroked="f" coordsize="21600,21600">
            <v:path/>
            <v:fill on="f" focussize="0,0"/>
            <v:stroke on="f" joinstyle="miter"/>
            <v:imagedata r:id="rId11" o:title=""/>
            <o:lock v:ext="edit" aspectratio="t"/>
            <w10:wrap type="none"/>
            <w10:anchorlock/>
          </v:shape>
        </w:pict>
      </w:r>
    </w:p>
    <w:p>
      <w:pPr>
        <w:pStyle w:val="100"/>
        <w:snapToGrid w:val="0"/>
        <w:spacing w:line="360" w:lineRule="auto"/>
        <w:ind w:firstLine="420" w:firstLineChars="175"/>
        <w:jc w:val="center"/>
        <w:rPr>
          <w:rFonts w:ascii="仿宋_GB2312" w:eastAsia="仿宋_GB2312"/>
          <w:color w:val="auto"/>
          <w:sz w:val="24"/>
          <w:szCs w:val="24"/>
        </w:rPr>
      </w:pPr>
      <w:r>
        <w:rPr>
          <w:rFonts w:hint="eastAsia" w:ascii="仿宋_GB2312" w:eastAsia="仿宋_GB2312" w:cs="仿宋_GB2312"/>
          <w:color w:val="auto"/>
          <w:sz w:val="24"/>
          <w:szCs w:val="24"/>
        </w:rPr>
        <w:t>图</w:t>
      </w:r>
      <w:r>
        <w:rPr>
          <w:rFonts w:ascii="仿宋_GB2312" w:eastAsia="仿宋_GB2312" w:cs="仿宋_GB2312"/>
          <w:color w:val="auto"/>
          <w:sz w:val="24"/>
          <w:szCs w:val="24"/>
        </w:rPr>
        <w:t>1.2</w:t>
      </w:r>
      <w:r>
        <w:rPr>
          <w:rFonts w:hint="eastAsia" w:ascii="仿宋_GB2312" w:eastAsia="仿宋_GB2312" w:cs="仿宋_GB2312"/>
          <w:color w:val="auto"/>
          <w:sz w:val="24"/>
          <w:szCs w:val="24"/>
        </w:rPr>
        <w:t>抚顺市行政区划图</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根据第七次全国人口普查数据，抚顺市常住总人口为</w:t>
      </w:r>
      <w:r>
        <w:rPr>
          <w:rFonts w:ascii="仿宋_GB2312" w:eastAsia="仿宋_GB2312" w:cs="仿宋_GB2312"/>
          <w:color w:val="auto"/>
          <w:sz w:val="32"/>
          <w:szCs w:val="32"/>
        </w:rPr>
        <w:t>186.13</w:t>
      </w:r>
      <w:r>
        <w:rPr>
          <w:rFonts w:hint="eastAsia" w:ascii="仿宋_GB2312" w:eastAsia="仿宋_GB2312" w:cs="仿宋_GB2312"/>
          <w:color w:val="auto"/>
          <w:sz w:val="32"/>
          <w:szCs w:val="32"/>
        </w:rPr>
        <w:t>万人，比上一个周期减少</w:t>
      </w:r>
      <w:r>
        <w:rPr>
          <w:rFonts w:ascii="仿宋_GB2312" w:eastAsia="仿宋_GB2312" w:cs="仿宋_GB2312"/>
          <w:color w:val="auto"/>
          <w:sz w:val="32"/>
          <w:szCs w:val="32"/>
        </w:rPr>
        <w:t>27.67</w:t>
      </w:r>
      <w:r>
        <w:rPr>
          <w:rFonts w:hint="eastAsia" w:ascii="仿宋_GB2312" w:eastAsia="仿宋_GB2312" w:cs="仿宋_GB2312"/>
          <w:color w:val="auto"/>
          <w:sz w:val="32"/>
          <w:szCs w:val="32"/>
        </w:rPr>
        <w:t>万人。其中：市辖区常住总人口数为</w:t>
      </w:r>
      <w:r>
        <w:rPr>
          <w:rFonts w:ascii="仿宋_GB2312" w:eastAsia="仿宋_GB2312" w:cs="仿宋_GB2312"/>
          <w:color w:val="auto"/>
          <w:sz w:val="32"/>
          <w:szCs w:val="32"/>
        </w:rPr>
        <w:t>132.21</w:t>
      </w:r>
      <w:r>
        <w:rPr>
          <w:rFonts w:hint="eastAsia" w:ascii="仿宋_GB2312" w:eastAsia="仿宋_GB2312" w:cs="仿宋_GB2312"/>
          <w:color w:val="auto"/>
          <w:sz w:val="32"/>
          <w:szCs w:val="32"/>
        </w:rPr>
        <w:t>万人，比上一个周期减少</w:t>
      </w:r>
      <w:r>
        <w:rPr>
          <w:rFonts w:ascii="仿宋_GB2312" w:eastAsia="仿宋_GB2312" w:cs="仿宋_GB2312"/>
          <w:color w:val="auto"/>
          <w:sz w:val="32"/>
          <w:szCs w:val="32"/>
        </w:rPr>
        <w:t>16.91</w:t>
      </w:r>
      <w:r>
        <w:rPr>
          <w:rFonts w:hint="eastAsia" w:ascii="仿宋_GB2312" w:eastAsia="仿宋_GB2312" w:cs="仿宋_GB2312"/>
          <w:color w:val="auto"/>
          <w:sz w:val="32"/>
          <w:szCs w:val="32"/>
        </w:rPr>
        <w:t>万人，占总人口的比重为</w:t>
      </w:r>
      <w:r>
        <w:rPr>
          <w:rFonts w:ascii="仿宋_GB2312" w:eastAsia="仿宋_GB2312" w:cs="仿宋_GB2312"/>
          <w:color w:val="auto"/>
          <w:sz w:val="32"/>
          <w:szCs w:val="32"/>
        </w:rPr>
        <w:t>71.03%</w:t>
      </w:r>
      <w:r>
        <w:rPr>
          <w:rFonts w:hint="eastAsia" w:ascii="仿宋_GB2312" w:eastAsia="仿宋_GB2312" w:cs="仿宋_GB2312"/>
          <w:color w:val="auto"/>
          <w:sz w:val="32"/>
          <w:szCs w:val="32"/>
        </w:rPr>
        <w:t>；三县（抚顺县、新宾县、清原县）常住总人口</w:t>
      </w:r>
      <w:r>
        <w:rPr>
          <w:rFonts w:ascii="仿宋_GB2312" w:eastAsia="仿宋_GB2312" w:cs="仿宋_GB2312"/>
          <w:color w:val="auto"/>
          <w:sz w:val="32"/>
          <w:szCs w:val="32"/>
        </w:rPr>
        <w:t>53.92</w:t>
      </w:r>
      <w:r>
        <w:rPr>
          <w:rFonts w:hint="eastAsia" w:ascii="仿宋_GB2312" w:eastAsia="仿宋_GB2312" w:cs="仿宋_GB2312"/>
          <w:color w:val="auto"/>
          <w:sz w:val="32"/>
          <w:szCs w:val="32"/>
        </w:rPr>
        <w:t>万人，比上一个周期减少</w:t>
      </w:r>
      <w:r>
        <w:rPr>
          <w:rFonts w:ascii="仿宋_GB2312" w:eastAsia="仿宋_GB2312" w:cs="仿宋_GB2312"/>
          <w:color w:val="auto"/>
          <w:sz w:val="32"/>
          <w:szCs w:val="32"/>
        </w:rPr>
        <w:t>10.76</w:t>
      </w:r>
      <w:r>
        <w:rPr>
          <w:rFonts w:hint="eastAsia" w:ascii="仿宋_GB2312" w:eastAsia="仿宋_GB2312" w:cs="仿宋_GB2312"/>
          <w:color w:val="auto"/>
          <w:sz w:val="32"/>
          <w:szCs w:val="32"/>
        </w:rPr>
        <w:t>万人，占总人口的比重为</w:t>
      </w:r>
      <w:r>
        <w:rPr>
          <w:rFonts w:ascii="仿宋_GB2312" w:eastAsia="仿宋_GB2312" w:cs="仿宋_GB2312"/>
          <w:color w:val="auto"/>
          <w:sz w:val="32"/>
          <w:szCs w:val="32"/>
        </w:rPr>
        <w:t>28.97%</w:t>
      </w:r>
      <w:r>
        <w:rPr>
          <w:rFonts w:hint="eastAsia" w:ascii="仿宋_GB2312" w:eastAsia="仿宋_GB2312" w:cs="仿宋_GB2312"/>
          <w:color w:val="auto"/>
          <w:sz w:val="32"/>
          <w:szCs w:val="32"/>
        </w:rPr>
        <w:t>。</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抚顺属长白山支脉西南延续部分山区，市区坐落在浑河河谷冲积平原上，南北夹山，浑河由东向西横贯市区。市区东西长三十余千米，南北宽仅六至八千米。上游有大伙房水库，整个市区被浑河及其支流和两个露天煤矿分割为河南、河北、望花、东洲、章党和南部矿区六大块，现已形成以河南、河北为主体，望花、东洲为两翼，加上章党、南部矿区组成的分散布局的带状城市。抚顺是辽宁沈抚重要水源保护地，也是国内重要的老工业基地，以煤矿、石化为主要经济产业。</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抚顺市属于温带大陆性季风气候，四季分明，雨热同季，寒冷期长，日照丰富。全市年平均气温为</w:t>
      </w:r>
      <w:r>
        <w:rPr>
          <w:rFonts w:ascii="仿宋_GB2312" w:eastAsia="仿宋_GB2312" w:cs="仿宋_GB2312"/>
          <w:color w:val="auto"/>
          <w:sz w:val="32"/>
          <w:szCs w:val="32"/>
        </w:rPr>
        <w:t>6.3</w:t>
      </w:r>
      <w:r>
        <w:rPr>
          <w:rFonts w:hint="eastAsia" w:ascii="仿宋_GB2312" w:eastAsia="仿宋_GB2312" w:cs="仿宋_GB2312"/>
          <w:color w:val="auto"/>
          <w:sz w:val="32"/>
          <w:szCs w:val="32"/>
        </w:rPr>
        <w:t>℃，</w:t>
      </w:r>
      <w:r>
        <w:rPr>
          <w:rFonts w:ascii="仿宋_GB2312" w:eastAsia="仿宋_GB2312" w:cs="仿宋_GB2312"/>
          <w:color w:val="auto"/>
          <w:sz w:val="32"/>
          <w:szCs w:val="32"/>
        </w:rPr>
        <w:t>1</w:t>
      </w:r>
      <w:r>
        <w:rPr>
          <w:rFonts w:hint="eastAsia" w:ascii="仿宋_GB2312" w:eastAsia="仿宋_GB2312" w:cs="仿宋_GB2312"/>
          <w:color w:val="auto"/>
          <w:sz w:val="32"/>
          <w:szCs w:val="32"/>
        </w:rPr>
        <w:t>月气温最低，</w:t>
      </w:r>
      <w:r>
        <w:rPr>
          <w:rFonts w:ascii="仿宋_GB2312" w:eastAsia="仿宋_GB2312" w:cs="仿宋_GB2312"/>
          <w:color w:val="auto"/>
          <w:sz w:val="32"/>
          <w:szCs w:val="32"/>
        </w:rPr>
        <w:t>7</w:t>
      </w:r>
      <w:r>
        <w:rPr>
          <w:rFonts w:hint="eastAsia" w:ascii="仿宋_GB2312" w:eastAsia="仿宋_GB2312" w:cs="仿宋_GB2312"/>
          <w:color w:val="auto"/>
          <w:sz w:val="32"/>
          <w:szCs w:val="32"/>
        </w:rPr>
        <w:t>月气温最高，各地年平均气温为</w:t>
      </w:r>
      <w:r>
        <w:rPr>
          <w:rFonts w:ascii="仿宋_GB2312" w:eastAsia="仿宋_GB2312" w:cs="仿宋_GB2312"/>
          <w:color w:val="auto"/>
          <w:sz w:val="32"/>
          <w:szCs w:val="32"/>
        </w:rPr>
        <w:t>5.6-7.0</w:t>
      </w:r>
      <w:r>
        <w:rPr>
          <w:rFonts w:hint="eastAsia" w:ascii="仿宋_GB2312" w:eastAsia="仿宋_GB2312" w:cs="仿宋_GB2312"/>
          <w:color w:val="auto"/>
          <w:sz w:val="32"/>
          <w:szCs w:val="32"/>
        </w:rPr>
        <w:t>℃。全市平均年降水量为</w:t>
      </w:r>
      <w:r>
        <w:rPr>
          <w:rFonts w:ascii="仿宋_GB2312" w:eastAsia="仿宋_GB2312" w:cs="仿宋_GB2312"/>
          <w:color w:val="auto"/>
          <w:sz w:val="32"/>
          <w:szCs w:val="32"/>
        </w:rPr>
        <w:t>781.3</w:t>
      </w:r>
      <w:r>
        <w:rPr>
          <w:rFonts w:hint="eastAsia" w:ascii="仿宋_GB2312" w:eastAsia="仿宋_GB2312" w:cs="仿宋_GB2312"/>
          <w:color w:val="auto"/>
          <w:sz w:val="32"/>
          <w:szCs w:val="32"/>
        </w:rPr>
        <w:t>毫米，年平均≥</w:t>
      </w:r>
      <w:r>
        <w:rPr>
          <w:rFonts w:ascii="仿宋_GB2312" w:eastAsia="仿宋_GB2312" w:cs="仿宋_GB2312"/>
          <w:color w:val="auto"/>
          <w:sz w:val="32"/>
          <w:szCs w:val="32"/>
        </w:rPr>
        <w:t>0.1</w:t>
      </w:r>
      <w:r>
        <w:rPr>
          <w:rFonts w:hint="eastAsia" w:ascii="仿宋_GB2312" w:eastAsia="仿宋_GB2312" w:cs="仿宋_GB2312"/>
          <w:color w:val="auto"/>
          <w:sz w:val="32"/>
          <w:szCs w:val="32"/>
        </w:rPr>
        <w:t>毫米降水日数为</w:t>
      </w:r>
      <w:r>
        <w:rPr>
          <w:rFonts w:ascii="仿宋_GB2312" w:eastAsia="仿宋_GB2312" w:cs="仿宋_GB2312"/>
          <w:color w:val="auto"/>
          <w:sz w:val="32"/>
          <w:szCs w:val="32"/>
        </w:rPr>
        <w:t>108</w:t>
      </w:r>
      <w:r>
        <w:rPr>
          <w:rFonts w:hint="eastAsia" w:ascii="仿宋_GB2312" w:eastAsia="仿宋_GB2312" w:cs="仿宋_GB2312"/>
          <w:color w:val="auto"/>
          <w:sz w:val="32"/>
          <w:szCs w:val="32"/>
        </w:rPr>
        <w:t>天。降水量主要集中在</w:t>
      </w:r>
      <w:r>
        <w:rPr>
          <w:rFonts w:ascii="仿宋_GB2312" w:eastAsia="仿宋_GB2312" w:cs="仿宋_GB2312"/>
          <w:color w:val="auto"/>
          <w:sz w:val="32"/>
          <w:szCs w:val="32"/>
        </w:rPr>
        <w:t>6</w:t>
      </w:r>
      <w:r>
        <w:rPr>
          <w:rFonts w:hint="eastAsia" w:ascii="仿宋_GB2312" w:eastAsia="仿宋_GB2312" w:cs="仿宋_GB2312"/>
          <w:color w:val="auto"/>
          <w:sz w:val="32"/>
          <w:szCs w:val="32"/>
        </w:rPr>
        <w:t>～</w:t>
      </w:r>
      <w:r>
        <w:rPr>
          <w:rFonts w:ascii="仿宋_GB2312" w:eastAsia="仿宋_GB2312" w:cs="仿宋_GB2312"/>
          <w:color w:val="auto"/>
          <w:sz w:val="32"/>
          <w:szCs w:val="32"/>
        </w:rPr>
        <w:t>8</w:t>
      </w:r>
      <w:r>
        <w:rPr>
          <w:rFonts w:hint="eastAsia" w:ascii="仿宋_GB2312" w:eastAsia="仿宋_GB2312" w:cs="仿宋_GB2312"/>
          <w:color w:val="auto"/>
          <w:sz w:val="32"/>
          <w:szCs w:val="32"/>
        </w:rPr>
        <w:t>月，约占全年的</w:t>
      </w:r>
      <w:r>
        <w:rPr>
          <w:rFonts w:ascii="仿宋_GB2312" w:eastAsia="仿宋_GB2312" w:cs="仿宋_GB2312"/>
          <w:color w:val="auto"/>
          <w:sz w:val="32"/>
          <w:szCs w:val="32"/>
        </w:rPr>
        <w:t>64%</w:t>
      </w:r>
      <w:r>
        <w:rPr>
          <w:rFonts w:hint="eastAsia" w:ascii="仿宋_GB2312" w:eastAsia="仿宋_GB2312" w:cs="仿宋_GB2312"/>
          <w:color w:val="auto"/>
          <w:sz w:val="32"/>
          <w:szCs w:val="32"/>
        </w:rPr>
        <w:t>。年极端最大降水量可达</w:t>
      </w:r>
      <w:r>
        <w:rPr>
          <w:rFonts w:ascii="仿宋_GB2312" w:eastAsia="仿宋_GB2312" w:cs="仿宋_GB2312"/>
          <w:color w:val="auto"/>
          <w:sz w:val="32"/>
          <w:szCs w:val="32"/>
        </w:rPr>
        <w:t>1316.6</w:t>
      </w:r>
      <w:r>
        <w:rPr>
          <w:rFonts w:hint="eastAsia" w:ascii="仿宋_GB2312" w:eastAsia="仿宋_GB2312" w:cs="仿宋_GB2312"/>
          <w:color w:val="auto"/>
          <w:sz w:val="32"/>
          <w:szCs w:val="32"/>
        </w:rPr>
        <w:t>毫米，年极端最小降水量</w:t>
      </w:r>
      <w:r>
        <w:rPr>
          <w:rFonts w:ascii="仿宋_GB2312" w:eastAsia="仿宋_GB2312" w:cs="仿宋_GB2312"/>
          <w:color w:val="auto"/>
          <w:sz w:val="32"/>
          <w:szCs w:val="32"/>
        </w:rPr>
        <w:t>530.6</w:t>
      </w:r>
      <w:r>
        <w:rPr>
          <w:rFonts w:hint="eastAsia" w:ascii="仿宋_GB2312" w:eastAsia="仿宋_GB2312" w:cs="仿宋_GB2312"/>
          <w:color w:val="auto"/>
          <w:sz w:val="32"/>
          <w:szCs w:val="32"/>
        </w:rPr>
        <w:t>毫米。全市平均年日照时数为</w:t>
      </w:r>
      <w:r>
        <w:rPr>
          <w:rFonts w:ascii="仿宋_GB2312" w:eastAsia="仿宋_GB2312" w:cs="仿宋_GB2312"/>
          <w:color w:val="auto"/>
          <w:sz w:val="32"/>
          <w:szCs w:val="32"/>
        </w:rPr>
        <w:t>2358</w:t>
      </w:r>
      <w:r>
        <w:rPr>
          <w:rFonts w:hint="eastAsia" w:ascii="仿宋_GB2312" w:eastAsia="仿宋_GB2312" w:cs="仿宋_GB2312"/>
          <w:color w:val="auto"/>
          <w:sz w:val="32"/>
          <w:szCs w:val="32"/>
        </w:rPr>
        <w:t>小时，无霜期为</w:t>
      </w:r>
      <w:r>
        <w:rPr>
          <w:rFonts w:ascii="仿宋_GB2312" w:eastAsia="仿宋_GB2312" w:cs="仿宋_GB2312"/>
          <w:color w:val="auto"/>
          <w:sz w:val="32"/>
          <w:szCs w:val="32"/>
        </w:rPr>
        <w:t>137-154</w:t>
      </w:r>
      <w:r>
        <w:rPr>
          <w:rFonts w:hint="eastAsia" w:ascii="仿宋_GB2312" w:eastAsia="仿宋_GB2312" w:cs="仿宋_GB2312"/>
          <w:color w:val="auto"/>
          <w:sz w:val="32"/>
          <w:szCs w:val="32"/>
        </w:rPr>
        <w:t>天。主要气象灾害有干旱、暴雨、大风、雷暴、暴雪、大雾等。</w:t>
      </w:r>
    </w:p>
    <w:p>
      <w:pPr>
        <w:pStyle w:val="5"/>
        <w:spacing w:beforeLines="50" w:afterLines="50" w:line="600" w:lineRule="exact"/>
        <w:ind w:firstLine="643" w:firstLineChars="200"/>
        <w:jc w:val="both"/>
        <w:rPr>
          <w:rFonts w:ascii="楷体" w:hAnsi="楷体" w:eastAsia="楷体"/>
          <w:color w:val="auto"/>
          <w:sz w:val="32"/>
          <w:szCs w:val="32"/>
        </w:rPr>
      </w:pPr>
      <w:r>
        <w:rPr>
          <w:rFonts w:hint="eastAsia" w:ascii="楷体" w:hAnsi="楷体" w:eastAsia="楷体" w:cs="楷体"/>
          <w:color w:val="auto"/>
          <w:sz w:val="32"/>
          <w:szCs w:val="32"/>
        </w:rPr>
        <w:t>（二）经济概况</w:t>
      </w:r>
    </w:p>
    <w:p>
      <w:pPr>
        <w:spacing w:line="600" w:lineRule="exact"/>
        <w:ind w:firstLine="640" w:firstLineChars="200"/>
        <w:rPr>
          <w:rFonts w:ascii="仿宋_GB2312" w:eastAsia="仿宋_GB2312"/>
          <w:color w:val="auto"/>
          <w:sz w:val="32"/>
          <w:szCs w:val="32"/>
        </w:rPr>
      </w:pPr>
      <w:bookmarkStart w:id="5" w:name="_Toc41374929"/>
      <w:bookmarkStart w:id="6" w:name="_Toc41374930"/>
      <w:r>
        <w:rPr>
          <w:rFonts w:ascii="仿宋_GB2312" w:eastAsia="仿宋_GB2312" w:cs="仿宋_GB2312"/>
          <w:color w:val="auto"/>
          <w:sz w:val="32"/>
          <w:szCs w:val="32"/>
        </w:rPr>
        <w:t>2020</w:t>
      </w:r>
      <w:r>
        <w:rPr>
          <w:rFonts w:hint="eastAsia" w:ascii="仿宋_GB2312" w:eastAsia="仿宋_GB2312" w:cs="仿宋_GB2312"/>
          <w:color w:val="auto"/>
          <w:sz w:val="32"/>
          <w:szCs w:val="32"/>
        </w:rPr>
        <w:t>年，抚顺市全年实现地区生产总值</w:t>
      </w:r>
      <w:r>
        <w:rPr>
          <w:rFonts w:ascii="仿宋_GB2312" w:eastAsia="仿宋_GB2312" w:cs="仿宋_GB2312"/>
          <w:color w:val="auto"/>
          <w:sz w:val="32"/>
          <w:szCs w:val="32"/>
        </w:rPr>
        <w:t>827.8</w:t>
      </w:r>
      <w:r>
        <w:rPr>
          <w:rFonts w:hint="eastAsia" w:ascii="仿宋_GB2312" w:eastAsia="仿宋_GB2312" w:cs="仿宋_GB2312"/>
          <w:color w:val="auto"/>
          <w:sz w:val="32"/>
          <w:szCs w:val="32"/>
        </w:rPr>
        <w:t>亿元，按可比价格计算，同比下降</w:t>
      </w:r>
      <w:r>
        <w:rPr>
          <w:rFonts w:ascii="仿宋_GB2312" w:eastAsia="仿宋_GB2312" w:cs="仿宋_GB2312"/>
          <w:color w:val="auto"/>
          <w:sz w:val="32"/>
          <w:szCs w:val="32"/>
        </w:rPr>
        <w:t>3.0%</w:t>
      </w:r>
      <w:r>
        <w:rPr>
          <w:rFonts w:hint="eastAsia" w:ascii="仿宋_GB2312" w:eastAsia="仿宋_GB2312" w:cs="仿宋_GB2312"/>
          <w:color w:val="auto"/>
          <w:sz w:val="32"/>
          <w:szCs w:val="32"/>
        </w:rPr>
        <w:t>。其中，第一产业增加值</w:t>
      </w:r>
      <w:r>
        <w:rPr>
          <w:rFonts w:ascii="仿宋_GB2312" w:eastAsia="仿宋_GB2312" w:cs="仿宋_GB2312"/>
          <w:color w:val="auto"/>
          <w:sz w:val="32"/>
          <w:szCs w:val="32"/>
        </w:rPr>
        <w:t>59.3</w:t>
      </w:r>
      <w:r>
        <w:rPr>
          <w:rFonts w:hint="eastAsia" w:ascii="仿宋_GB2312" w:eastAsia="仿宋_GB2312" w:cs="仿宋_GB2312"/>
          <w:color w:val="auto"/>
          <w:sz w:val="32"/>
          <w:szCs w:val="32"/>
        </w:rPr>
        <w:t>亿元，增长</w:t>
      </w:r>
      <w:r>
        <w:rPr>
          <w:rFonts w:ascii="仿宋_GB2312" w:eastAsia="仿宋_GB2312" w:cs="仿宋_GB2312"/>
          <w:color w:val="auto"/>
          <w:sz w:val="32"/>
          <w:szCs w:val="32"/>
        </w:rPr>
        <w:t>2.0%</w:t>
      </w:r>
      <w:r>
        <w:rPr>
          <w:rFonts w:hint="eastAsia" w:ascii="仿宋_GB2312" w:eastAsia="仿宋_GB2312" w:cs="仿宋_GB2312"/>
          <w:color w:val="auto"/>
          <w:sz w:val="32"/>
          <w:szCs w:val="32"/>
        </w:rPr>
        <w:t>；第二产业增加值</w:t>
      </w:r>
      <w:r>
        <w:rPr>
          <w:rFonts w:ascii="仿宋_GB2312" w:eastAsia="仿宋_GB2312" w:cs="仿宋_GB2312"/>
          <w:color w:val="auto"/>
          <w:sz w:val="32"/>
          <w:szCs w:val="32"/>
        </w:rPr>
        <w:t>388.8</w:t>
      </w:r>
      <w:r>
        <w:rPr>
          <w:rFonts w:hint="eastAsia" w:ascii="仿宋_GB2312" w:eastAsia="仿宋_GB2312" w:cs="仿宋_GB2312"/>
          <w:color w:val="auto"/>
          <w:sz w:val="32"/>
          <w:szCs w:val="32"/>
        </w:rPr>
        <w:t>亿元，下降</w:t>
      </w:r>
      <w:r>
        <w:rPr>
          <w:rFonts w:ascii="仿宋_GB2312" w:eastAsia="仿宋_GB2312" w:cs="仿宋_GB2312"/>
          <w:color w:val="auto"/>
          <w:sz w:val="32"/>
          <w:szCs w:val="32"/>
        </w:rPr>
        <w:t>4.7%</w:t>
      </w:r>
      <w:r>
        <w:rPr>
          <w:rFonts w:hint="eastAsia" w:ascii="仿宋_GB2312" w:eastAsia="仿宋_GB2312" w:cs="仿宋_GB2312"/>
          <w:color w:val="auto"/>
          <w:sz w:val="32"/>
          <w:szCs w:val="32"/>
        </w:rPr>
        <w:t>；第三产业增加值</w:t>
      </w:r>
      <w:r>
        <w:rPr>
          <w:rFonts w:ascii="仿宋_GB2312" w:eastAsia="仿宋_GB2312" w:cs="仿宋_GB2312"/>
          <w:color w:val="auto"/>
          <w:sz w:val="32"/>
          <w:szCs w:val="32"/>
        </w:rPr>
        <w:t>379.7</w:t>
      </w:r>
      <w:r>
        <w:rPr>
          <w:rFonts w:hint="eastAsia" w:ascii="仿宋_GB2312" w:eastAsia="仿宋_GB2312" w:cs="仿宋_GB2312"/>
          <w:color w:val="auto"/>
          <w:sz w:val="32"/>
          <w:szCs w:val="32"/>
        </w:rPr>
        <w:t>亿元，下降</w:t>
      </w:r>
      <w:r>
        <w:rPr>
          <w:rFonts w:ascii="仿宋_GB2312" w:eastAsia="仿宋_GB2312" w:cs="仿宋_GB2312"/>
          <w:color w:val="auto"/>
          <w:sz w:val="32"/>
          <w:szCs w:val="32"/>
        </w:rPr>
        <w:t>1.8%</w:t>
      </w:r>
      <w:r>
        <w:rPr>
          <w:rFonts w:hint="eastAsia" w:ascii="仿宋_GB2312" w:eastAsia="仿宋_GB2312" w:cs="仿宋_GB2312"/>
          <w:color w:val="auto"/>
          <w:sz w:val="32"/>
          <w:szCs w:val="32"/>
        </w:rPr>
        <w:t>。三次产业增加值占生产总值的比重为</w:t>
      </w:r>
      <w:r>
        <w:rPr>
          <w:rFonts w:ascii="仿宋_GB2312" w:eastAsia="仿宋_GB2312" w:cs="仿宋_GB2312"/>
          <w:color w:val="auto"/>
          <w:sz w:val="32"/>
          <w:szCs w:val="32"/>
        </w:rPr>
        <w:t>7.1:47:45.9</w:t>
      </w:r>
      <w:r>
        <w:rPr>
          <w:rFonts w:hint="eastAsia" w:ascii="仿宋_GB2312" w:eastAsia="仿宋_GB2312" w:cs="仿宋_GB2312"/>
          <w:color w:val="auto"/>
          <w:sz w:val="32"/>
          <w:szCs w:val="32"/>
        </w:rPr>
        <w:t>。全年人均地区生产总值</w:t>
      </w:r>
      <w:r>
        <w:rPr>
          <w:rFonts w:ascii="仿宋_GB2312" w:eastAsia="仿宋_GB2312" w:cs="仿宋_GB2312"/>
          <w:color w:val="auto"/>
          <w:sz w:val="32"/>
          <w:szCs w:val="32"/>
        </w:rPr>
        <w:t>4.2</w:t>
      </w:r>
      <w:r>
        <w:rPr>
          <w:rFonts w:hint="eastAsia" w:ascii="仿宋_GB2312" w:eastAsia="仿宋_GB2312" w:cs="仿宋_GB2312"/>
          <w:color w:val="auto"/>
          <w:sz w:val="32"/>
          <w:szCs w:val="32"/>
        </w:rPr>
        <w:t>万元。</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7" w:name="_Toc86233317"/>
      <w:r>
        <w:rPr>
          <w:rFonts w:hint="eastAsia" w:ascii="黑体" w:hAnsi="黑体" w:eastAsia="黑体" w:cs="黑体"/>
          <w:color w:val="auto"/>
          <w:sz w:val="32"/>
          <w:szCs w:val="32"/>
        </w:rPr>
        <w:t>二、</w:t>
      </w:r>
      <w:bookmarkEnd w:id="5"/>
      <w:r>
        <w:rPr>
          <w:rFonts w:hint="eastAsia" w:ascii="黑体" w:hAnsi="黑体" w:eastAsia="黑体" w:cs="黑体"/>
          <w:color w:val="auto"/>
          <w:sz w:val="32"/>
          <w:szCs w:val="32"/>
        </w:rPr>
        <w:t>资源概况</w:t>
      </w:r>
      <w:bookmarkEnd w:id="7"/>
    </w:p>
    <w:bookmarkEnd w:id="6"/>
    <w:p>
      <w:pPr>
        <w:pStyle w:val="5"/>
        <w:spacing w:beforeLines="50" w:afterLines="50" w:line="600" w:lineRule="exact"/>
        <w:ind w:firstLine="643" w:firstLineChars="200"/>
        <w:jc w:val="both"/>
        <w:rPr>
          <w:rFonts w:ascii="楷体" w:hAnsi="楷体" w:eastAsia="楷体"/>
          <w:color w:val="auto"/>
          <w:sz w:val="32"/>
          <w:szCs w:val="32"/>
        </w:rPr>
      </w:pPr>
      <w:bookmarkStart w:id="8" w:name="_Toc41374938"/>
      <w:r>
        <w:rPr>
          <w:rFonts w:hint="eastAsia" w:ascii="楷体" w:hAnsi="楷体" w:eastAsia="楷体" w:cs="楷体"/>
          <w:color w:val="auto"/>
          <w:sz w:val="32"/>
          <w:szCs w:val="32"/>
        </w:rPr>
        <w:t>（一）水资源</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抚顺地区主要河流有浑河、太子河、清河、柴河、富尔江和柳河等</w:t>
      </w:r>
      <w:r>
        <w:rPr>
          <w:rFonts w:ascii="仿宋_GB2312" w:eastAsia="仿宋_GB2312" w:cs="仿宋_GB2312"/>
          <w:color w:val="auto"/>
          <w:sz w:val="32"/>
          <w:szCs w:val="32"/>
        </w:rPr>
        <w:t>12</w:t>
      </w:r>
      <w:r>
        <w:rPr>
          <w:rFonts w:hint="eastAsia" w:ascii="仿宋_GB2312" w:eastAsia="仿宋_GB2312" w:cs="仿宋_GB2312"/>
          <w:color w:val="auto"/>
          <w:sz w:val="32"/>
          <w:szCs w:val="32"/>
        </w:rPr>
        <w:t>条，小流域</w:t>
      </w:r>
      <w:r>
        <w:rPr>
          <w:rFonts w:ascii="仿宋_GB2312" w:eastAsia="仿宋_GB2312" w:cs="仿宋_GB2312"/>
          <w:color w:val="auto"/>
          <w:sz w:val="32"/>
          <w:szCs w:val="32"/>
        </w:rPr>
        <w:t>1</w:t>
      </w:r>
      <w:r>
        <w:rPr>
          <w:rFonts w:hint="eastAsia" w:ascii="仿宋_GB2312" w:eastAsia="仿宋_GB2312" w:cs="仿宋_GB2312"/>
          <w:color w:val="auto"/>
          <w:sz w:val="32"/>
          <w:szCs w:val="32"/>
        </w:rPr>
        <w:t>万多条，浑河是抚顺市最大的河流。境内拥有全省总量</w:t>
      </w:r>
      <w:r>
        <w:rPr>
          <w:rFonts w:ascii="仿宋_GB2312" w:eastAsia="仿宋_GB2312" w:cs="仿宋_GB2312"/>
          <w:color w:val="auto"/>
          <w:sz w:val="32"/>
          <w:szCs w:val="32"/>
        </w:rPr>
        <w:t>1/10</w:t>
      </w:r>
      <w:r>
        <w:rPr>
          <w:rFonts w:hint="eastAsia" w:ascii="仿宋_GB2312" w:eastAsia="仿宋_GB2312" w:cs="仿宋_GB2312"/>
          <w:color w:val="auto"/>
          <w:sz w:val="32"/>
          <w:szCs w:val="32"/>
        </w:rPr>
        <w:t>的水资源，年涵养水源</w:t>
      </w:r>
      <w:r>
        <w:rPr>
          <w:rFonts w:ascii="仿宋_GB2312" w:eastAsia="仿宋_GB2312" w:cs="仿宋_GB2312"/>
          <w:color w:val="auto"/>
          <w:sz w:val="32"/>
          <w:szCs w:val="32"/>
        </w:rPr>
        <w:t>120</w:t>
      </w:r>
      <w:r>
        <w:rPr>
          <w:rFonts w:hint="eastAsia" w:ascii="仿宋_GB2312" w:eastAsia="仿宋_GB2312" w:cs="仿宋_GB2312"/>
          <w:color w:val="auto"/>
          <w:sz w:val="32"/>
          <w:szCs w:val="32"/>
        </w:rPr>
        <w:t>亿立方米。</w:t>
      </w:r>
      <w:r>
        <w:rPr>
          <w:rFonts w:ascii="仿宋_GB2312" w:eastAsia="仿宋_GB2312" w:cs="仿宋_GB2312"/>
          <w:color w:val="auto"/>
          <w:sz w:val="32"/>
          <w:szCs w:val="32"/>
        </w:rPr>
        <w:t>2019</w:t>
      </w:r>
      <w:r>
        <w:rPr>
          <w:rFonts w:hint="eastAsia" w:ascii="仿宋_GB2312" w:eastAsia="仿宋_GB2312" w:cs="仿宋_GB2312"/>
          <w:color w:val="auto"/>
          <w:sz w:val="32"/>
          <w:szCs w:val="32"/>
        </w:rPr>
        <w:t>年全市地表水资源量</w:t>
      </w:r>
      <w:r>
        <w:rPr>
          <w:rFonts w:ascii="仿宋_GB2312" w:eastAsia="仿宋_GB2312" w:cs="仿宋_GB2312"/>
          <w:color w:val="auto"/>
          <w:sz w:val="32"/>
          <w:szCs w:val="32"/>
        </w:rPr>
        <w:t>24.66</w:t>
      </w:r>
      <w:r>
        <w:rPr>
          <w:rFonts w:hint="eastAsia" w:ascii="仿宋_GB2312" w:eastAsia="仿宋_GB2312" w:cs="仿宋_GB2312"/>
          <w:color w:val="auto"/>
          <w:sz w:val="32"/>
          <w:szCs w:val="32"/>
        </w:rPr>
        <w:t>亿立方米，折合年径流深</w:t>
      </w:r>
      <w:r>
        <w:rPr>
          <w:rFonts w:ascii="仿宋_GB2312" w:eastAsia="仿宋_GB2312" w:cs="仿宋_GB2312"/>
          <w:color w:val="auto"/>
          <w:sz w:val="32"/>
          <w:szCs w:val="32"/>
        </w:rPr>
        <w:t>218.8mm</w:t>
      </w:r>
      <w:r>
        <w:rPr>
          <w:rFonts w:hint="eastAsia" w:ascii="仿宋_GB2312" w:eastAsia="仿宋_GB2312" w:cs="仿宋_GB2312"/>
          <w:color w:val="auto"/>
          <w:sz w:val="32"/>
          <w:szCs w:val="32"/>
        </w:rPr>
        <w:t>，比上年</w:t>
      </w:r>
      <w:r>
        <w:rPr>
          <w:rFonts w:ascii="仿宋_GB2312" w:eastAsia="仿宋_GB2312" w:cs="仿宋_GB2312"/>
          <w:color w:val="auto"/>
          <w:sz w:val="32"/>
          <w:szCs w:val="32"/>
        </w:rPr>
        <w:t>17.95</w:t>
      </w:r>
      <w:r>
        <w:rPr>
          <w:rFonts w:hint="eastAsia" w:ascii="仿宋_GB2312" w:eastAsia="仿宋_GB2312" w:cs="仿宋_GB2312"/>
          <w:color w:val="auto"/>
          <w:sz w:val="32"/>
          <w:szCs w:val="32"/>
        </w:rPr>
        <w:t>亿立方米增加</w:t>
      </w:r>
      <w:r>
        <w:rPr>
          <w:rFonts w:ascii="仿宋_GB2312" w:eastAsia="仿宋_GB2312" w:cs="仿宋_GB2312"/>
          <w:color w:val="auto"/>
          <w:sz w:val="32"/>
          <w:szCs w:val="32"/>
        </w:rPr>
        <w:t>42.6%</w:t>
      </w:r>
      <w:r>
        <w:rPr>
          <w:rFonts w:hint="eastAsia" w:ascii="仿宋_GB2312" w:eastAsia="仿宋_GB2312" w:cs="仿宋_GB2312"/>
          <w:color w:val="auto"/>
          <w:sz w:val="32"/>
          <w:szCs w:val="32"/>
        </w:rPr>
        <w:t>，比多年平均值</w:t>
      </w:r>
      <w:r>
        <w:rPr>
          <w:rFonts w:ascii="仿宋_GB2312" w:eastAsia="仿宋_GB2312" w:cs="仿宋_GB2312"/>
          <w:color w:val="auto"/>
          <w:sz w:val="32"/>
          <w:szCs w:val="32"/>
        </w:rPr>
        <w:t>30.44</w:t>
      </w:r>
      <w:r>
        <w:rPr>
          <w:rFonts w:hint="eastAsia" w:ascii="仿宋_GB2312" w:eastAsia="仿宋_GB2312" w:cs="仿宋_GB2312"/>
          <w:color w:val="auto"/>
          <w:sz w:val="32"/>
          <w:szCs w:val="32"/>
        </w:rPr>
        <w:t>亿立方米减少</w:t>
      </w:r>
      <w:r>
        <w:rPr>
          <w:rFonts w:ascii="仿宋_GB2312" w:eastAsia="仿宋_GB2312" w:cs="仿宋_GB2312"/>
          <w:color w:val="auto"/>
          <w:sz w:val="32"/>
          <w:szCs w:val="32"/>
        </w:rPr>
        <w:t>19%</w:t>
      </w:r>
      <w:r>
        <w:rPr>
          <w:rFonts w:hint="eastAsia" w:ascii="仿宋_GB2312" w:eastAsia="仿宋_GB2312" w:cs="仿宋_GB2312"/>
          <w:color w:val="auto"/>
          <w:sz w:val="32"/>
          <w:szCs w:val="32"/>
        </w:rPr>
        <w:t>。年均降水量在</w:t>
      </w:r>
      <w:r>
        <w:rPr>
          <w:rFonts w:ascii="仿宋_GB2312" w:eastAsia="仿宋_GB2312" w:cs="仿宋_GB2312"/>
          <w:color w:val="auto"/>
          <w:sz w:val="32"/>
          <w:szCs w:val="32"/>
        </w:rPr>
        <w:t>750-850</w:t>
      </w:r>
      <w:r>
        <w:rPr>
          <w:rFonts w:hint="eastAsia" w:ascii="仿宋_GB2312" w:eastAsia="仿宋_GB2312" w:cs="仿宋_GB2312"/>
          <w:color w:val="auto"/>
          <w:sz w:val="32"/>
          <w:szCs w:val="32"/>
        </w:rPr>
        <w:t>毫米之间，是辽宁重要的水源涵养地和供水基地。另外，抚顺市建有大型水库一座（大伙房水库，最大设计储水量为</w:t>
      </w:r>
      <w:r>
        <w:rPr>
          <w:rFonts w:ascii="仿宋_GB2312" w:eastAsia="仿宋_GB2312" w:cs="仿宋_GB2312"/>
          <w:color w:val="auto"/>
          <w:sz w:val="32"/>
          <w:szCs w:val="32"/>
        </w:rPr>
        <w:t>26</w:t>
      </w:r>
      <w:r>
        <w:rPr>
          <w:rFonts w:hint="eastAsia" w:ascii="仿宋_GB2312" w:eastAsia="仿宋_GB2312" w:cs="仿宋_GB2312"/>
          <w:color w:val="auto"/>
          <w:sz w:val="32"/>
          <w:szCs w:val="32"/>
        </w:rPr>
        <w:t>亿立方米，据全省第一），中型以上水库</w:t>
      </w:r>
      <w:r>
        <w:rPr>
          <w:rFonts w:ascii="仿宋_GB2312" w:eastAsia="仿宋_GB2312" w:cs="仿宋_GB2312"/>
          <w:color w:val="auto"/>
          <w:sz w:val="32"/>
          <w:szCs w:val="32"/>
        </w:rPr>
        <w:t>63</w:t>
      </w:r>
      <w:r>
        <w:rPr>
          <w:rFonts w:hint="eastAsia" w:ascii="仿宋_GB2312" w:eastAsia="仿宋_GB2312" w:cs="仿宋_GB2312"/>
          <w:color w:val="auto"/>
          <w:sz w:val="32"/>
          <w:szCs w:val="32"/>
        </w:rPr>
        <w:t>座，可利用的水域面积达</w:t>
      </w:r>
      <w:r>
        <w:rPr>
          <w:rFonts w:ascii="仿宋_GB2312" w:eastAsia="仿宋_GB2312" w:cs="仿宋_GB2312"/>
          <w:color w:val="auto"/>
          <w:sz w:val="32"/>
          <w:szCs w:val="32"/>
        </w:rPr>
        <w:t>66.67</w:t>
      </w:r>
      <w:r>
        <w:rPr>
          <w:rFonts w:hint="eastAsia" w:ascii="仿宋_GB2312" w:eastAsia="仿宋_GB2312" w:cs="仿宋_GB2312"/>
          <w:color w:val="auto"/>
          <w:sz w:val="32"/>
          <w:szCs w:val="32"/>
        </w:rPr>
        <w:t>平方千米。</w:t>
      </w:r>
    </w:p>
    <w:p>
      <w:pPr>
        <w:pStyle w:val="5"/>
        <w:spacing w:beforeLines="50" w:afterLines="50" w:line="600" w:lineRule="exact"/>
        <w:ind w:firstLine="643" w:firstLineChars="200"/>
        <w:jc w:val="both"/>
        <w:rPr>
          <w:rFonts w:ascii="楷体" w:hAnsi="楷体" w:eastAsia="楷体"/>
          <w:color w:val="auto"/>
          <w:sz w:val="32"/>
          <w:szCs w:val="32"/>
        </w:rPr>
      </w:pPr>
      <w:r>
        <w:rPr>
          <w:rFonts w:hint="eastAsia" w:ascii="楷体" w:hAnsi="楷体" w:eastAsia="楷体" w:cs="楷体"/>
          <w:color w:val="auto"/>
          <w:sz w:val="32"/>
          <w:szCs w:val="32"/>
        </w:rPr>
        <w:t>（二）太阳能资源</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sz w:val="32"/>
          <w:szCs w:val="32"/>
        </w:rPr>
        <w:t>抚顺市光照资源较为丰富，</w:t>
      </w:r>
      <w:r>
        <w:rPr>
          <w:rFonts w:hint="eastAsia" w:ascii="仿宋_GB2312" w:eastAsia="仿宋_GB2312" w:cs="仿宋_GB2312"/>
          <w:color w:val="auto"/>
          <w:sz w:val="32"/>
          <w:szCs w:val="32"/>
        </w:rPr>
        <w:t>温暖季节的太阳总辐射量占全年辐射量的</w:t>
      </w:r>
      <w:r>
        <w:rPr>
          <w:rFonts w:ascii="仿宋_GB2312" w:eastAsia="仿宋_GB2312" w:cs="仿宋_GB2312"/>
          <w:color w:val="auto"/>
          <w:sz w:val="32"/>
          <w:szCs w:val="32"/>
        </w:rPr>
        <w:t>72%</w:t>
      </w:r>
      <w:r>
        <w:rPr>
          <w:rFonts w:hint="eastAsia" w:ascii="仿宋_GB2312" w:eastAsia="仿宋_GB2312" w:cs="仿宋_GB2312"/>
          <w:color w:val="auto"/>
          <w:sz w:val="32"/>
          <w:szCs w:val="32"/>
        </w:rPr>
        <w:t>左右，寒冷季节的太阳能总辐射量占全年太阳总辐射量的</w:t>
      </w:r>
      <w:r>
        <w:rPr>
          <w:rFonts w:ascii="仿宋_GB2312" w:eastAsia="仿宋_GB2312" w:cs="仿宋_GB2312"/>
          <w:color w:val="auto"/>
          <w:sz w:val="32"/>
          <w:szCs w:val="32"/>
        </w:rPr>
        <w:t>27%</w:t>
      </w:r>
      <w:r>
        <w:rPr>
          <w:rFonts w:hint="eastAsia" w:ascii="仿宋_GB2312" w:eastAsia="仿宋_GB2312" w:cs="仿宋_GB2312"/>
          <w:color w:val="auto"/>
          <w:sz w:val="32"/>
          <w:szCs w:val="32"/>
        </w:rPr>
        <w:t>～</w:t>
      </w:r>
      <w:r>
        <w:rPr>
          <w:rFonts w:ascii="仿宋_GB2312" w:eastAsia="仿宋_GB2312" w:cs="仿宋_GB2312"/>
          <w:color w:val="auto"/>
          <w:sz w:val="32"/>
          <w:szCs w:val="32"/>
        </w:rPr>
        <w:t>28%</w:t>
      </w:r>
      <w:r>
        <w:rPr>
          <w:rFonts w:hint="eastAsia" w:ascii="仿宋_GB2312" w:eastAsia="仿宋_GB2312" w:cs="仿宋_GB2312"/>
          <w:color w:val="auto"/>
          <w:sz w:val="32"/>
          <w:szCs w:val="32"/>
        </w:rPr>
        <w:t>左右。太阳能总辐射量的最大值出现在</w:t>
      </w:r>
      <w:r>
        <w:rPr>
          <w:rFonts w:ascii="仿宋_GB2312" w:eastAsia="仿宋_GB2312" w:cs="仿宋_GB2312"/>
          <w:color w:val="auto"/>
          <w:sz w:val="32"/>
          <w:szCs w:val="32"/>
        </w:rPr>
        <w:t>5</w:t>
      </w:r>
      <w:r>
        <w:rPr>
          <w:rFonts w:hint="eastAsia" w:ascii="仿宋_GB2312" w:eastAsia="仿宋_GB2312" w:cs="仿宋_GB2312"/>
          <w:color w:val="auto"/>
          <w:sz w:val="32"/>
          <w:szCs w:val="32"/>
        </w:rPr>
        <w:t>月份，最小值出现在</w:t>
      </w:r>
      <w:r>
        <w:rPr>
          <w:rFonts w:ascii="仿宋_GB2312" w:eastAsia="仿宋_GB2312" w:cs="仿宋_GB2312"/>
          <w:color w:val="auto"/>
          <w:sz w:val="32"/>
          <w:szCs w:val="32"/>
        </w:rPr>
        <w:t>12</w:t>
      </w:r>
      <w:r>
        <w:rPr>
          <w:rFonts w:hint="eastAsia" w:ascii="仿宋_GB2312" w:eastAsia="仿宋_GB2312" w:cs="仿宋_GB2312"/>
          <w:color w:val="auto"/>
          <w:sz w:val="32"/>
          <w:szCs w:val="32"/>
        </w:rPr>
        <w:t>月份，县区内各个月有一定差异。根据</w:t>
      </w:r>
      <w:r>
        <w:rPr>
          <w:rFonts w:ascii="仿宋_GB2312" w:eastAsia="仿宋_GB2312" w:cs="仿宋_GB2312"/>
          <w:color w:val="auto"/>
          <w:sz w:val="32"/>
          <w:szCs w:val="32"/>
        </w:rPr>
        <w:t>QX/T89-2018</w:t>
      </w:r>
      <w:r>
        <w:rPr>
          <w:rFonts w:hint="eastAsia" w:ascii="仿宋_GB2312" w:eastAsia="仿宋_GB2312" w:cs="仿宋_GB2312"/>
          <w:color w:val="auto"/>
          <w:sz w:val="32"/>
          <w:szCs w:val="32"/>
        </w:rPr>
        <w:t>《太阳能资源评估方法》，属于</w:t>
      </w:r>
      <w:r>
        <w:rPr>
          <w:rFonts w:ascii="仿宋_GB2312" w:eastAsia="仿宋_GB2312" w:cs="仿宋_GB2312"/>
          <w:color w:val="auto"/>
          <w:sz w:val="32"/>
          <w:szCs w:val="32"/>
        </w:rPr>
        <w:t>B</w:t>
      </w:r>
      <w:r>
        <w:rPr>
          <w:rFonts w:hint="eastAsia" w:ascii="仿宋_GB2312" w:eastAsia="仿宋_GB2312" w:cs="仿宋_GB2312"/>
          <w:color w:val="auto"/>
          <w:sz w:val="32"/>
          <w:szCs w:val="32"/>
        </w:rPr>
        <w:t>类资源很丰富地区。</w:t>
      </w:r>
    </w:p>
    <w:p>
      <w:pPr>
        <w:pStyle w:val="5"/>
        <w:spacing w:beforeLines="50" w:afterLines="50" w:line="600" w:lineRule="exact"/>
        <w:ind w:firstLine="643" w:firstLineChars="200"/>
        <w:jc w:val="both"/>
        <w:rPr>
          <w:rFonts w:ascii="楷体" w:hAnsi="楷体" w:eastAsia="楷体"/>
          <w:color w:val="auto"/>
          <w:sz w:val="32"/>
          <w:szCs w:val="32"/>
        </w:rPr>
      </w:pPr>
      <w:r>
        <w:rPr>
          <w:rFonts w:hint="eastAsia" w:ascii="楷体" w:hAnsi="楷体" w:eastAsia="楷体" w:cs="楷体"/>
          <w:color w:val="auto"/>
          <w:sz w:val="32"/>
          <w:szCs w:val="32"/>
        </w:rPr>
        <w:t>（三）风资源</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根据中尺度气象数据，从抚顺市</w:t>
      </w:r>
      <w:r>
        <w:rPr>
          <w:rFonts w:ascii="仿宋_GB2312" w:eastAsia="仿宋_GB2312" w:cs="仿宋_GB2312"/>
          <w:color w:val="auto"/>
          <w:sz w:val="32"/>
          <w:szCs w:val="32"/>
        </w:rPr>
        <w:t>100m</w:t>
      </w:r>
      <w:r>
        <w:rPr>
          <w:rFonts w:hint="eastAsia" w:ascii="仿宋_GB2312" w:eastAsia="仿宋_GB2312" w:cs="仿宋_GB2312"/>
          <w:color w:val="auto"/>
          <w:sz w:val="32"/>
          <w:szCs w:val="32"/>
        </w:rPr>
        <w:t>高度的风速分布整体看风资源较为优越，东部及西部高处的山脊上风速较高，平均风速在</w:t>
      </w:r>
      <w:r>
        <w:rPr>
          <w:rFonts w:ascii="仿宋_GB2312" w:eastAsia="仿宋_GB2312" w:cs="仿宋_GB2312"/>
          <w:color w:val="auto"/>
          <w:sz w:val="32"/>
          <w:szCs w:val="32"/>
        </w:rPr>
        <w:t>6m/s-6.5m/s</w:t>
      </w:r>
      <w:r>
        <w:rPr>
          <w:rFonts w:hint="eastAsia" w:ascii="仿宋_GB2312" w:eastAsia="仿宋_GB2312" w:cs="仿宋_GB2312"/>
          <w:color w:val="auto"/>
          <w:sz w:val="32"/>
          <w:szCs w:val="32"/>
        </w:rPr>
        <w:t>之间，如果不考虑对山林生态造成的影响，可以适度开发一定规模的风电场项目。</w:t>
      </w:r>
    </w:p>
    <w:p>
      <w:pPr>
        <w:pStyle w:val="5"/>
        <w:spacing w:beforeLines="50" w:afterLines="50" w:line="600" w:lineRule="exact"/>
        <w:ind w:firstLine="643" w:firstLineChars="200"/>
        <w:jc w:val="both"/>
        <w:rPr>
          <w:rFonts w:ascii="楷体" w:hAnsi="楷体" w:eastAsia="楷体"/>
          <w:color w:val="auto"/>
          <w:sz w:val="32"/>
          <w:szCs w:val="32"/>
        </w:rPr>
      </w:pPr>
      <w:r>
        <w:rPr>
          <w:rFonts w:hint="eastAsia" w:ascii="楷体" w:hAnsi="楷体" w:eastAsia="楷体" w:cs="楷体"/>
          <w:color w:val="auto"/>
          <w:sz w:val="32"/>
          <w:szCs w:val="32"/>
        </w:rPr>
        <w:t>（四）生物质资源</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各县区生物质资源十分丰富，除去农村炊事取暖、畜牧饲料消耗外，剩余大部分生物质资源被直接烧掉及腐烂消耗。开发建设生物质发电项目既是落实国家节约能源和环境保护政策，实现发展低碳循环经济的实际举措，也是促进经济增长、增加农民收入的有效途径。</w:t>
      </w:r>
    </w:p>
    <w:p>
      <w:pPr>
        <w:pStyle w:val="5"/>
        <w:spacing w:beforeLines="50" w:afterLines="50" w:line="600" w:lineRule="exact"/>
        <w:ind w:firstLine="643" w:firstLineChars="200"/>
        <w:jc w:val="both"/>
        <w:rPr>
          <w:rFonts w:ascii="楷体" w:hAnsi="楷体" w:eastAsia="楷体"/>
          <w:color w:val="auto"/>
          <w:sz w:val="32"/>
          <w:szCs w:val="32"/>
        </w:rPr>
      </w:pPr>
      <w:r>
        <w:rPr>
          <w:rFonts w:hint="eastAsia" w:ascii="楷体" w:hAnsi="楷体" w:eastAsia="楷体" w:cs="楷体"/>
          <w:color w:val="auto"/>
          <w:sz w:val="32"/>
          <w:szCs w:val="32"/>
        </w:rPr>
        <w:t>（五）生物资源</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抚顺市属长白植物区系，兼有华北植物群落。植物种类较为丰富，有木本植物</w:t>
      </w:r>
      <w:r>
        <w:rPr>
          <w:rFonts w:ascii="仿宋_GB2312" w:eastAsia="仿宋_GB2312" w:cs="仿宋_GB2312"/>
          <w:color w:val="auto"/>
          <w:sz w:val="32"/>
          <w:szCs w:val="32"/>
        </w:rPr>
        <w:t>43</w:t>
      </w:r>
      <w:r>
        <w:rPr>
          <w:rFonts w:hint="eastAsia" w:ascii="仿宋_GB2312" w:eastAsia="仿宋_GB2312" w:cs="仿宋_GB2312"/>
          <w:color w:val="auto"/>
          <w:sz w:val="32"/>
          <w:szCs w:val="32"/>
        </w:rPr>
        <w:t>科、</w:t>
      </w:r>
      <w:r>
        <w:rPr>
          <w:rFonts w:ascii="仿宋_GB2312" w:eastAsia="仿宋_GB2312" w:cs="仿宋_GB2312"/>
          <w:color w:val="auto"/>
          <w:sz w:val="32"/>
          <w:szCs w:val="32"/>
        </w:rPr>
        <w:t>95</w:t>
      </w:r>
      <w:r>
        <w:rPr>
          <w:rFonts w:hint="eastAsia" w:ascii="仿宋_GB2312" w:eastAsia="仿宋_GB2312" w:cs="仿宋_GB2312"/>
          <w:color w:val="auto"/>
          <w:sz w:val="32"/>
          <w:szCs w:val="32"/>
        </w:rPr>
        <w:t>属、</w:t>
      </w:r>
      <w:r>
        <w:rPr>
          <w:rFonts w:ascii="仿宋_GB2312" w:eastAsia="仿宋_GB2312" w:cs="仿宋_GB2312"/>
          <w:color w:val="auto"/>
          <w:sz w:val="32"/>
          <w:szCs w:val="32"/>
        </w:rPr>
        <w:t>266</w:t>
      </w:r>
      <w:r>
        <w:rPr>
          <w:rFonts w:hint="eastAsia" w:ascii="仿宋_GB2312" w:eastAsia="仿宋_GB2312" w:cs="仿宋_GB2312"/>
          <w:color w:val="auto"/>
          <w:sz w:val="32"/>
          <w:szCs w:val="32"/>
        </w:rPr>
        <w:t>种，野生草本植物</w:t>
      </w:r>
      <w:r>
        <w:rPr>
          <w:rFonts w:ascii="仿宋_GB2312" w:eastAsia="仿宋_GB2312" w:cs="仿宋_GB2312"/>
          <w:color w:val="auto"/>
          <w:sz w:val="32"/>
          <w:szCs w:val="32"/>
        </w:rPr>
        <w:t>90</w:t>
      </w:r>
      <w:r>
        <w:rPr>
          <w:rFonts w:hint="eastAsia" w:ascii="仿宋_GB2312" w:eastAsia="仿宋_GB2312" w:cs="仿宋_GB2312"/>
          <w:color w:val="auto"/>
          <w:sz w:val="32"/>
          <w:szCs w:val="32"/>
        </w:rPr>
        <w:t>科、</w:t>
      </w:r>
      <w:r>
        <w:rPr>
          <w:rFonts w:ascii="仿宋_GB2312" w:eastAsia="仿宋_GB2312" w:cs="仿宋_GB2312"/>
          <w:color w:val="auto"/>
          <w:sz w:val="32"/>
          <w:szCs w:val="32"/>
        </w:rPr>
        <w:t>35</w:t>
      </w:r>
      <w:r>
        <w:rPr>
          <w:rFonts w:hint="eastAsia" w:ascii="仿宋_GB2312" w:eastAsia="仿宋_GB2312" w:cs="仿宋_GB2312"/>
          <w:color w:val="auto"/>
          <w:sz w:val="32"/>
          <w:szCs w:val="32"/>
        </w:rPr>
        <w:t>属、</w:t>
      </w:r>
      <w:r>
        <w:rPr>
          <w:rFonts w:ascii="仿宋_GB2312" w:eastAsia="仿宋_GB2312" w:cs="仿宋_GB2312"/>
          <w:color w:val="auto"/>
          <w:sz w:val="32"/>
          <w:szCs w:val="32"/>
        </w:rPr>
        <w:t>712</w:t>
      </w:r>
      <w:r>
        <w:rPr>
          <w:rFonts w:hint="eastAsia" w:ascii="仿宋_GB2312" w:eastAsia="仿宋_GB2312" w:cs="仿宋_GB2312"/>
          <w:color w:val="auto"/>
          <w:sz w:val="32"/>
          <w:szCs w:val="32"/>
        </w:rPr>
        <w:t>种，其中经济价值较高的野生植物近</w:t>
      </w:r>
      <w:r>
        <w:rPr>
          <w:rFonts w:ascii="仿宋_GB2312" w:eastAsia="仿宋_GB2312" w:cs="仿宋_GB2312"/>
          <w:color w:val="auto"/>
          <w:sz w:val="32"/>
          <w:szCs w:val="32"/>
        </w:rPr>
        <w:t>300</w:t>
      </w:r>
      <w:r>
        <w:rPr>
          <w:rFonts w:hint="eastAsia" w:ascii="仿宋_GB2312" w:eastAsia="仿宋_GB2312" w:cs="仿宋_GB2312"/>
          <w:color w:val="auto"/>
          <w:sz w:val="32"/>
          <w:szCs w:val="32"/>
        </w:rPr>
        <w:t>种，珍稀、濒危、渐危、受威胁的植物共</w:t>
      </w:r>
      <w:r>
        <w:rPr>
          <w:rFonts w:ascii="仿宋_GB2312" w:eastAsia="仿宋_GB2312" w:cs="仿宋_GB2312"/>
          <w:color w:val="auto"/>
          <w:sz w:val="32"/>
          <w:szCs w:val="32"/>
        </w:rPr>
        <w:t>24</w:t>
      </w:r>
      <w:r>
        <w:rPr>
          <w:rFonts w:hint="eastAsia" w:ascii="仿宋_GB2312" w:eastAsia="仿宋_GB2312" w:cs="仿宋_GB2312"/>
          <w:color w:val="auto"/>
          <w:sz w:val="32"/>
          <w:szCs w:val="32"/>
        </w:rPr>
        <w:t>种。区系植物主要乔木代表种有红松、沙松冷杉、长白落叶松、胡桃楸、紫椴、水曲柳、山杨、白桦、黄桦、色木槭等。</w:t>
      </w:r>
    </w:p>
    <w:p>
      <w:pPr>
        <w:spacing w:line="600" w:lineRule="exact"/>
        <w:ind w:firstLine="640" w:firstLineChars="200"/>
        <w:rPr>
          <w:rFonts w:ascii="仿宋_GB2312" w:eastAsia="仿宋_GB2312" w:cs="仿宋_GB2312"/>
          <w:color w:val="auto"/>
          <w:sz w:val="32"/>
          <w:szCs w:val="32"/>
        </w:rPr>
      </w:pPr>
      <w:r>
        <w:rPr>
          <w:rFonts w:hint="eastAsia" w:ascii="仿宋_GB2312" w:eastAsia="仿宋_GB2312" w:cs="仿宋_GB2312"/>
          <w:color w:val="auto"/>
          <w:sz w:val="32"/>
          <w:szCs w:val="32"/>
        </w:rPr>
        <w:t>灌木代表种有胡榛子、胡枝子、假色槭、刺五加、长白忍冬等。草本代表种有羊胡苔草、粗茎鳞毛蕨、山茄子、木贼等；主要植被群系类型有长白落叶松林、日本落叶松林、红松林、红松阔叶混交林、蒙古栎林、辽东栎林、白桦林、山杨林、色木林、杂木林等。有路生野生动物</w:t>
      </w:r>
      <w:r>
        <w:rPr>
          <w:rFonts w:ascii="仿宋_GB2312" w:eastAsia="仿宋_GB2312" w:cs="仿宋_GB2312"/>
          <w:color w:val="auto"/>
          <w:sz w:val="32"/>
          <w:szCs w:val="32"/>
        </w:rPr>
        <w:t>226</w:t>
      </w:r>
      <w:r>
        <w:rPr>
          <w:rFonts w:hint="eastAsia" w:ascii="仿宋_GB2312" w:eastAsia="仿宋_GB2312" w:cs="仿宋_GB2312"/>
          <w:color w:val="auto"/>
          <w:sz w:val="32"/>
          <w:szCs w:val="32"/>
        </w:rPr>
        <w:t>种，其中兽类</w:t>
      </w:r>
      <w:r>
        <w:rPr>
          <w:rFonts w:ascii="仿宋_GB2312" w:eastAsia="仿宋_GB2312" w:cs="仿宋_GB2312"/>
          <w:color w:val="auto"/>
          <w:sz w:val="32"/>
          <w:szCs w:val="32"/>
        </w:rPr>
        <w:t>33</w:t>
      </w:r>
      <w:r>
        <w:rPr>
          <w:rFonts w:hint="eastAsia" w:ascii="仿宋_GB2312" w:eastAsia="仿宋_GB2312" w:cs="仿宋_GB2312"/>
          <w:color w:val="auto"/>
          <w:sz w:val="32"/>
          <w:szCs w:val="32"/>
        </w:rPr>
        <w:t>种、鸟类</w:t>
      </w:r>
      <w:r>
        <w:rPr>
          <w:rFonts w:ascii="仿宋_GB2312" w:eastAsia="仿宋_GB2312" w:cs="仿宋_GB2312"/>
          <w:color w:val="auto"/>
          <w:sz w:val="32"/>
          <w:szCs w:val="32"/>
        </w:rPr>
        <w:t>170</w:t>
      </w:r>
      <w:r>
        <w:rPr>
          <w:rFonts w:hint="eastAsia" w:ascii="仿宋_GB2312" w:eastAsia="仿宋_GB2312" w:cs="仿宋_GB2312"/>
          <w:color w:val="auto"/>
          <w:sz w:val="32"/>
          <w:szCs w:val="32"/>
        </w:rPr>
        <w:t>种、爬行类</w:t>
      </w:r>
      <w:r>
        <w:rPr>
          <w:rFonts w:ascii="仿宋_GB2312" w:eastAsia="仿宋_GB2312" w:cs="仿宋_GB2312"/>
          <w:color w:val="auto"/>
          <w:sz w:val="32"/>
          <w:szCs w:val="32"/>
        </w:rPr>
        <w:t>13</w:t>
      </w:r>
      <w:r>
        <w:rPr>
          <w:rFonts w:hint="eastAsia" w:ascii="仿宋_GB2312" w:eastAsia="仿宋_GB2312" w:cs="仿宋_GB2312"/>
          <w:color w:val="auto"/>
          <w:sz w:val="32"/>
          <w:szCs w:val="32"/>
        </w:rPr>
        <w:t>种、两栖类</w:t>
      </w:r>
      <w:r>
        <w:rPr>
          <w:rFonts w:ascii="仿宋_GB2312" w:eastAsia="仿宋_GB2312" w:cs="仿宋_GB2312"/>
          <w:color w:val="auto"/>
          <w:sz w:val="32"/>
          <w:szCs w:val="32"/>
        </w:rPr>
        <w:t>10</w:t>
      </w:r>
      <w:r>
        <w:rPr>
          <w:rFonts w:hint="eastAsia" w:ascii="仿宋_GB2312" w:eastAsia="仿宋_GB2312" w:cs="仿宋_GB2312"/>
          <w:color w:val="auto"/>
          <w:sz w:val="32"/>
          <w:szCs w:val="32"/>
        </w:rPr>
        <w:t>种。</w:t>
      </w:r>
      <w:r>
        <w:rPr>
          <w:rFonts w:ascii="仿宋_GB2312" w:eastAsia="仿宋_GB2312" w:cs="仿宋_GB2312"/>
          <w:color w:val="auto"/>
          <w:sz w:val="32"/>
          <w:szCs w:val="32"/>
        </w:rPr>
        <w:t xml:space="preserve"> </w:t>
      </w:r>
    </w:p>
    <w:p>
      <w:pPr>
        <w:pStyle w:val="5"/>
        <w:spacing w:beforeLines="50" w:afterLines="50" w:line="600" w:lineRule="exact"/>
        <w:ind w:firstLine="643" w:firstLineChars="200"/>
        <w:jc w:val="both"/>
        <w:rPr>
          <w:rFonts w:ascii="楷体" w:hAnsi="楷体" w:eastAsia="楷体"/>
          <w:color w:val="auto"/>
          <w:sz w:val="32"/>
          <w:szCs w:val="32"/>
        </w:rPr>
      </w:pPr>
      <w:r>
        <w:rPr>
          <w:rFonts w:hint="eastAsia" w:ascii="楷体" w:hAnsi="楷体" w:eastAsia="楷体" w:cs="楷体"/>
          <w:color w:val="auto"/>
          <w:sz w:val="32"/>
          <w:szCs w:val="32"/>
        </w:rPr>
        <w:t>（六）矿产资源</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抚顺市矿产资源丰富，全市有金属、非金属、煤矿</w:t>
      </w:r>
      <w:r>
        <w:rPr>
          <w:rFonts w:ascii="仿宋_GB2312" w:eastAsia="仿宋_GB2312" w:cs="仿宋_GB2312"/>
          <w:color w:val="auto"/>
          <w:sz w:val="32"/>
          <w:szCs w:val="32"/>
        </w:rPr>
        <w:t>3</w:t>
      </w:r>
      <w:r>
        <w:rPr>
          <w:rFonts w:hint="eastAsia" w:ascii="仿宋_GB2312" w:eastAsia="仿宋_GB2312" w:cs="仿宋_GB2312"/>
          <w:color w:val="auto"/>
          <w:sz w:val="32"/>
          <w:szCs w:val="32"/>
        </w:rPr>
        <w:t>大类矿产资源</w:t>
      </w:r>
      <w:r>
        <w:rPr>
          <w:rFonts w:ascii="仿宋_GB2312" w:eastAsia="仿宋_GB2312" w:cs="仿宋_GB2312"/>
          <w:color w:val="auto"/>
          <w:sz w:val="32"/>
          <w:szCs w:val="32"/>
        </w:rPr>
        <w:t>34</w:t>
      </w:r>
      <w:r>
        <w:rPr>
          <w:rFonts w:hint="eastAsia" w:ascii="仿宋_GB2312" w:eastAsia="仿宋_GB2312" w:cs="仿宋_GB2312"/>
          <w:color w:val="auto"/>
          <w:sz w:val="32"/>
          <w:szCs w:val="32"/>
        </w:rPr>
        <w:t>种，总量约</w:t>
      </w:r>
      <w:r>
        <w:rPr>
          <w:rFonts w:ascii="仿宋_GB2312" w:eastAsia="仿宋_GB2312" w:cs="仿宋_GB2312"/>
          <w:color w:val="auto"/>
          <w:sz w:val="32"/>
          <w:szCs w:val="32"/>
        </w:rPr>
        <w:t>54.97</w:t>
      </w:r>
      <w:r>
        <w:rPr>
          <w:rFonts w:hint="eastAsia" w:ascii="仿宋_GB2312" w:eastAsia="仿宋_GB2312" w:cs="仿宋_GB2312"/>
          <w:color w:val="auto"/>
          <w:sz w:val="32"/>
          <w:szCs w:val="32"/>
        </w:rPr>
        <w:t>亿吨，保有总量约</w:t>
      </w:r>
      <w:r>
        <w:rPr>
          <w:rFonts w:ascii="仿宋_GB2312" w:eastAsia="仿宋_GB2312" w:cs="仿宋_GB2312"/>
          <w:color w:val="auto"/>
          <w:sz w:val="32"/>
          <w:szCs w:val="32"/>
        </w:rPr>
        <w:t>43.32</w:t>
      </w:r>
      <w:r>
        <w:rPr>
          <w:rFonts w:hint="eastAsia" w:ascii="仿宋_GB2312" w:eastAsia="仿宋_GB2312" w:cs="仿宋_GB2312"/>
          <w:color w:val="auto"/>
          <w:sz w:val="32"/>
          <w:szCs w:val="32"/>
        </w:rPr>
        <w:t>亿吨。主要矿产有煤、铁、铜、锌、铅、金、银、镍、铂、</w:t>
      </w:r>
      <w:r>
        <w:rPr>
          <w:rFonts w:ascii="仿宋_GB2312" w:eastAsia="仿宋_GB2312" w:cs="仿宋_GB2312"/>
          <w:color w:val="auto"/>
          <w:sz w:val="32"/>
          <w:szCs w:val="32"/>
        </w:rPr>
        <w:t xml:space="preserve"> </w:t>
      </w:r>
      <w:r>
        <w:rPr>
          <w:rFonts w:hint="eastAsia" w:ascii="仿宋_GB2312" w:eastAsia="仿宋_GB2312" w:cs="仿宋_GB2312"/>
          <w:color w:val="auto"/>
          <w:sz w:val="32"/>
          <w:szCs w:val="32"/>
        </w:rPr>
        <w:t>钯、硫化铁等。其中，红透山铜锌矿的规模和储量居全省前列。</w:t>
      </w:r>
      <w:r>
        <w:rPr>
          <w:rFonts w:ascii="仿宋_GB2312" w:eastAsia="仿宋_GB2312" w:cs="仿宋_GB2312"/>
          <w:color w:val="auto"/>
          <w:sz w:val="32"/>
          <w:szCs w:val="32"/>
        </w:rPr>
        <w:t xml:space="preserve">  </w:t>
      </w:r>
      <w:r>
        <w:rPr>
          <w:rFonts w:hint="eastAsia" w:ascii="仿宋_GB2312" w:eastAsia="仿宋_GB2312" w:cs="仿宋_GB2312"/>
          <w:color w:val="auto"/>
          <w:sz w:val="32"/>
          <w:szCs w:val="32"/>
        </w:rPr>
        <w:t>抚顺地区位于华北断块北部边缘，辽东吉南成矿带之上。矿床特点如下：一是能源矿产储量丰富，区位条件优越，优势突出。油页岩、煤层气储量大，前景可观；二是铜、锌资源丰富，成矿地质条件优越；三是共伴生矿产多，综合利用潜力大。</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9" w:name="_Toc63172375"/>
      <w:bookmarkStart w:id="10" w:name="_Toc14747"/>
      <w:bookmarkStart w:id="11" w:name="_Toc86233318"/>
      <w:r>
        <w:rPr>
          <w:rFonts w:hint="eastAsia" w:ascii="黑体" w:hAnsi="黑体" w:eastAsia="黑体" w:cs="黑体"/>
          <w:color w:val="auto"/>
          <w:sz w:val="32"/>
          <w:szCs w:val="32"/>
        </w:rPr>
        <w:t>三、能源消费</w:t>
      </w:r>
      <w:bookmarkEnd w:id="9"/>
      <w:bookmarkEnd w:id="10"/>
      <w:r>
        <w:rPr>
          <w:rFonts w:hint="eastAsia" w:ascii="黑体" w:hAnsi="黑体" w:eastAsia="黑体" w:cs="黑体"/>
          <w:color w:val="auto"/>
          <w:sz w:val="32"/>
          <w:szCs w:val="32"/>
        </w:rPr>
        <w:t>现状</w:t>
      </w:r>
      <w:bookmarkEnd w:id="11"/>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“十三五”期间，抚顺一次能源消费结构持续优化，</w:t>
      </w:r>
      <w:r>
        <w:rPr>
          <w:rFonts w:ascii="仿宋_GB2312" w:eastAsia="仿宋_GB2312" w:cs="仿宋_GB2312"/>
          <w:color w:val="auto"/>
          <w:sz w:val="32"/>
          <w:szCs w:val="32"/>
        </w:rPr>
        <w:t>2019</w:t>
      </w:r>
      <w:r>
        <w:rPr>
          <w:rFonts w:hint="eastAsia" w:ascii="仿宋_GB2312" w:eastAsia="仿宋_GB2312" w:cs="仿宋_GB2312"/>
          <w:color w:val="auto"/>
          <w:sz w:val="32"/>
          <w:szCs w:val="32"/>
        </w:rPr>
        <w:t>年，全市主要能源消费总量</w:t>
      </w:r>
      <w:r>
        <w:rPr>
          <w:rFonts w:ascii="仿宋_GB2312" w:eastAsia="仿宋_GB2312" w:cs="仿宋_GB2312"/>
          <w:color w:val="auto"/>
          <w:sz w:val="32"/>
          <w:szCs w:val="32"/>
        </w:rPr>
        <w:t>1569</w:t>
      </w:r>
      <w:r>
        <w:rPr>
          <w:rFonts w:hint="eastAsia" w:ascii="仿宋_GB2312" w:eastAsia="仿宋_GB2312" w:cs="仿宋_GB2312"/>
          <w:color w:val="auto"/>
          <w:sz w:val="32"/>
          <w:szCs w:val="32"/>
        </w:rPr>
        <w:t>万吨标煤，其中：煤品消费量为</w:t>
      </w:r>
      <w:r>
        <w:rPr>
          <w:rFonts w:ascii="仿宋_GB2312" w:eastAsia="仿宋_GB2312" w:cs="仿宋_GB2312"/>
          <w:color w:val="auto"/>
          <w:sz w:val="32"/>
          <w:szCs w:val="32"/>
        </w:rPr>
        <w:t>748</w:t>
      </w:r>
      <w:r>
        <w:rPr>
          <w:rFonts w:hint="eastAsia" w:ascii="仿宋_GB2312" w:eastAsia="仿宋_GB2312" w:cs="仿宋_GB2312"/>
          <w:color w:val="auto"/>
          <w:sz w:val="32"/>
          <w:szCs w:val="32"/>
        </w:rPr>
        <w:t>万吨标准煤，相比</w:t>
      </w:r>
      <w:r>
        <w:rPr>
          <w:rFonts w:ascii="仿宋_GB2312" w:eastAsia="仿宋_GB2312" w:cs="仿宋_GB2312"/>
          <w:color w:val="auto"/>
          <w:sz w:val="32"/>
          <w:szCs w:val="32"/>
        </w:rPr>
        <w:t>2015</w:t>
      </w:r>
      <w:r>
        <w:rPr>
          <w:rFonts w:hint="eastAsia" w:ascii="仿宋_GB2312" w:eastAsia="仿宋_GB2312" w:cs="仿宋_GB2312"/>
          <w:color w:val="auto"/>
          <w:sz w:val="32"/>
          <w:szCs w:val="32"/>
        </w:rPr>
        <w:t>年下降</w:t>
      </w:r>
      <w:r>
        <w:rPr>
          <w:rFonts w:ascii="仿宋_GB2312" w:eastAsia="仿宋_GB2312" w:cs="仿宋_GB2312"/>
          <w:color w:val="auto"/>
          <w:sz w:val="32"/>
          <w:szCs w:val="32"/>
        </w:rPr>
        <w:t>13%</w:t>
      </w:r>
      <w:r>
        <w:rPr>
          <w:rFonts w:hint="eastAsia" w:ascii="仿宋_GB2312" w:eastAsia="仿宋_GB2312" w:cs="仿宋_GB2312"/>
          <w:color w:val="auto"/>
          <w:sz w:val="32"/>
          <w:szCs w:val="32"/>
        </w:rPr>
        <w:t>；油品消费量</w:t>
      </w:r>
      <w:r>
        <w:rPr>
          <w:rFonts w:ascii="仿宋_GB2312" w:eastAsia="仿宋_GB2312" w:cs="仿宋_GB2312"/>
          <w:color w:val="auto"/>
          <w:sz w:val="32"/>
          <w:szCs w:val="32"/>
        </w:rPr>
        <w:t>731</w:t>
      </w:r>
      <w:r>
        <w:rPr>
          <w:rFonts w:hint="eastAsia" w:ascii="仿宋_GB2312" w:eastAsia="仿宋_GB2312" w:cs="仿宋_GB2312"/>
          <w:color w:val="auto"/>
          <w:sz w:val="32"/>
          <w:szCs w:val="32"/>
        </w:rPr>
        <w:t>万吨标准煤，相比</w:t>
      </w:r>
      <w:r>
        <w:rPr>
          <w:rFonts w:ascii="仿宋_GB2312" w:eastAsia="仿宋_GB2312" w:cs="仿宋_GB2312"/>
          <w:color w:val="auto"/>
          <w:sz w:val="32"/>
          <w:szCs w:val="32"/>
        </w:rPr>
        <w:t>2015</w:t>
      </w:r>
      <w:r>
        <w:rPr>
          <w:rFonts w:hint="eastAsia" w:ascii="仿宋_GB2312" w:eastAsia="仿宋_GB2312" w:cs="仿宋_GB2312"/>
          <w:color w:val="auto"/>
          <w:sz w:val="32"/>
          <w:szCs w:val="32"/>
        </w:rPr>
        <w:t>年增长</w:t>
      </w:r>
      <w:r>
        <w:rPr>
          <w:rFonts w:ascii="仿宋_GB2312" w:eastAsia="仿宋_GB2312" w:cs="仿宋_GB2312"/>
          <w:color w:val="auto"/>
          <w:sz w:val="32"/>
          <w:szCs w:val="32"/>
        </w:rPr>
        <w:t>19.6%</w:t>
      </w:r>
      <w:r>
        <w:rPr>
          <w:rFonts w:hint="eastAsia" w:ascii="仿宋_GB2312" w:eastAsia="仿宋_GB2312" w:cs="仿宋_GB2312"/>
          <w:color w:val="auto"/>
          <w:sz w:val="32"/>
          <w:szCs w:val="32"/>
        </w:rPr>
        <w:t>；天然气消费量</w:t>
      </w:r>
      <w:r>
        <w:rPr>
          <w:rFonts w:ascii="仿宋_GB2312" w:eastAsia="仿宋_GB2312" w:cs="仿宋_GB2312"/>
          <w:color w:val="auto"/>
          <w:sz w:val="32"/>
          <w:szCs w:val="32"/>
        </w:rPr>
        <w:t>90</w:t>
      </w:r>
      <w:r>
        <w:rPr>
          <w:rFonts w:hint="eastAsia" w:ascii="仿宋_GB2312" w:eastAsia="仿宋_GB2312" w:cs="仿宋_GB2312"/>
          <w:color w:val="auto"/>
          <w:sz w:val="32"/>
          <w:szCs w:val="32"/>
        </w:rPr>
        <w:t>万吨标准煤，相比</w:t>
      </w:r>
      <w:r>
        <w:rPr>
          <w:rFonts w:ascii="仿宋_GB2312" w:eastAsia="仿宋_GB2312" w:cs="仿宋_GB2312"/>
          <w:color w:val="auto"/>
          <w:sz w:val="32"/>
          <w:szCs w:val="32"/>
        </w:rPr>
        <w:t>2015</w:t>
      </w:r>
      <w:r>
        <w:rPr>
          <w:rFonts w:hint="eastAsia" w:ascii="仿宋_GB2312" w:eastAsia="仿宋_GB2312" w:cs="仿宋_GB2312"/>
          <w:color w:val="auto"/>
          <w:sz w:val="32"/>
          <w:szCs w:val="32"/>
        </w:rPr>
        <w:t>年增长</w:t>
      </w:r>
      <w:r>
        <w:rPr>
          <w:rFonts w:ascii="仿宋_GB2312" w:eastAsia="仿宋_GB2312" w:cs="仿宋_GB2312"/>
          <w:color w:val="auto"/>
          <w:sz w:val="32"/>
          <w:szCs w:val="32"/>
        </w:rPr>
        <w:t>42.8%</w:t>
      </w:r>
      <w:r>
        <w:rPr>
          <w:rFonts w:hint="eastAsia" w:ascii="仿宋_GB2312" w:eastAsia="仿宋_GB2312" w:cs="仿宋_GB2312"/>
          <w:color w:val="auto"/>
          <w:sz w:val="32"/>
          <w:szCs w:val="32"/>
        </w:rPr>
        <w:t>；全社会用电量</w:t>
      </w:r>
      <w:r>
        <w:rPr>
          <w:rFonts w:ascii="仿宋_GB2312" w:eastAsia="仿宋_GB2312" w:cs="仿宋_GB2312"/>
          <w:color w:val="auto"/>
          <w:sz w:val="32"/>
          <w:szCs w:val="32"/>
        </w:rPr>
        <w:t>110.56</w:t>
      </w:r>
      <w:r>
        <w:rPr>
          <w:rFonts w:hint="eastAsia" w:ascii="仿宋_GB2312" w:eastAsia="仿宋_GB2312" w:cs="仿宋_GB2312"/>
          <w:color w:val="auto"/>
          <w:sz w:val="32"/>
          <w:szCs w:val="32"/>
        </w:rPr>
        <w:t>亿千瓦时，相比</w:t>
      </w:r>
      <w:r>
        <w:rPr>
          <w:rFonts w:ascii="仿宋_GB2312" w:eastAsia="仿宋_GB2312" w:cs="仿宋_GB2312"/>
          <w:color w:val="auto"/>
          <w:sz w:val="32"/>
          <w:szCs w:val="32"/>
        </w:rPr>
        <w:t>2015</w:t>
      </w:r>
      <w:r>
        <w:rPr>
          <w:rFonts w:hint="eastAsia" w:ascii="仿宋_GB2312" w:eastAsia="仿宋_GB2312" w:cs="仿宋_GB2312"/>
          <w:color w:val="auto"/>
          <w:sz w:val="32"/>
          <w:szCs w:val="32"/>
        </w:rPr>
        <w:t>年下降</w:t>
      </w:r>
      <w:r>
        <w:rPr>
          <w:rFonts w:ascii="仿宋_GB2312" w:eastAsia="仿宋_GB2312" w:cs="仿宋_GB2312"/>
          <w:color w:val="auto"/>
          <w:sz w:val="32"/>
          <w:szCs w:val="32"/>
        </w:rPr>
        <w:t>10.48%</w:t>
      </w:r>
      <w:r>
        <w:rPr>
          <w:rFonts w:hint="eastAsia" w:ascii="仿宋_GB2312" w:eastAsia="仿宋_GB2312" w:cs="仿宋_GB2312"/>
          <w:color w:val="auto"/>
          <w:sz w:val="32"/>
          <w:szCs w:val="32"/>
        </w:rPr>
        <w:t>。</w:t>
      </w:r>
    </w:p>
    <w:p>
      <w:pPr>
        <w:pStyle w:val="5"/>
        <w:spacing w:beforeLines="50" w:afterLines="50" w:line="600" w:lineRule="exact"/>
        <w:ind w:firstLine="643" w:firstLineChars="200"/>
        <w:jc w:val="both"/>
        <w:rPr>
          <w:rFonts w:ascii="楷体" w:hAnsi="楷体" w:eastAsia="楷体"/>
          <w:color w:val="auto"/>
          <w:sz w:val="32"/>
          <w:szCs w:val="32"/>
        </w:rPr>
      </w:pPr>
      <w:bookmarkStart w:id="12" w:name="_Toc63172376"/>
      <w:r>
        <w:rPr>
          <w:rFonts w:hint="eastAsia" w:ascii="楷体" w:hAnsi="楷体" w:eastAsia="楷体" w:cs="楷体"/>
          <w:color w:val="auto"/>
          <w:sz w:val="32"/>
          <w:szCs w:val="32"/>
        </w:rPr>
        <w:t>（一）煤品</w:t>
      </w:r>
      <w:bookmarkEnd w:id="12"/>
    </w:p>
    <w:p>
      <w:pPr>
        <w:spacing w:line="600" w:lineRule="exact"/>
        <w:ind w:firstLine="640" w:firstLineChars="200"/>
        <w:rPr>
          <w:rFonts w:ascii="仿宋_GB2312" w:eastAsia="仿宋_GB2312"/>
          <w:color w:val="auto"/>
          <w:sz w:val="32"/>
          <w:szCs w:val="32"/>
        </w:rPr>
      </w:pPr>
      <w:r>
        <w:rPr>
          <w:rFonts w:ascii="仿宋_GB2312" w:eastAsia="仿宋_GB2312" w:cs="仿宋_GB2312"/>
          <w:color w:val="auto"/>
          <w:sz w:val="32"/>
          <w:szCs w:val="32"/>
        </w:rPr>
        <w:t>2019</w:t>
      </w:r>
      <w:r>
        <w:rPr>
          <w:rFonts w:hint="eastAsia" w:ascii="仿宋_GB2312" w:eastAsia="仿宋_GB2312" w:cs="仿宋_GB2312"/>
          <w:color w:val="auto"/>
          <w:sz w:val="32"/>
          <w:szCs w:val="32"/>
        </w:rPr>
        <w:t>年，全市规上原煤消费量</w:t>
      </w:r>
      <w:r>
        <w:rPr>
          <w:rFonts w:ascii="仿宋_GB2312" w:eastAsia="仿宋_GB2312" w:cs="仿宋_GB2312"/>
          <w:color w:val="auto"/>
          <w:sz w:val="32"/>
          <w:szCs w:val="32"/>
        </w:rPr>
        <w:t>925.36</w:t>
      </w:r>
      <w:r>
        <w:rPr>
          <w:rFonts w:hint="eastAsia" w:ascii="仿宋_GB2312" w:eastAsia="仿宋_GB2312" w:cs="仿宋_GB2312"/>
          <w:color w:val="auto"/>
          <w:sz w:val="32"/>
          <w:szCs w:val="32"/>
        </w:rPr>
        <w:t>万吨，相比</w:t>
      </w:r>
      <w:r>
        <w:rPr>
          <w:rFonts w:ascii="仿宋_GB2312" w:eastAsia="仿宋_GB2312" w:cs="仿宋_GB2312"/>
          <w:color w:val="auto"/>
          <w:sz w:val="32"/>
          <w:szCs w:val="32"/>
        </w:rPr>
        <w:t>2015</w:t>
      </w:r>
      <w:r>
        <w:rPr>
          <w:rFonts w:hint="eastAsia" w:ascii="仿宋_GB2312" w:eastAsia="仿宋_GB2312" w:cs="仿宋_GB2312"/>
          <w:color w:val="auto"/>
          <w:sz w:val="32"/>
          <w:szCs w:val="32"/>
        </w:rPr>
        <w:t>年增长</w:t>
      </w:r>
      <w:r>
        <w:rPr>
          <w:rFonts w:ascii="仿宋_GB2312" w:eastAsia="仿宋_GB2312" w:cs="仿宋_GB2312"/>
          <w:color w:val="auto"/>
          <w:sz w:val="32"/>
          <w:szCs w:val="32"/>
        </w:rPr>
        <w:t>12.3%</w:t>
      </w:r>
      <w:r>
        <w:rPr>
          <w:rFonts w:hint="eastAsia" w:ascii="仿宋_GB2312" w:eastAsia="仿宋_GB2312" w:cs="仿宋_GB2312"/>
          <w:color w:val="auto"/>
          <w:sz w:val="32"/>
          <w:szCs w:val="32"/>
        </w:rPr>
        <w:t>，主要用于火力发电和供热；规上焦炭消费量</w:t>
      </w:r>
      <w:r>
        <w:rPr>
          <w:rFonts w:ascii="仿宋_GB2312" w:eastAsia="仿宋_GB2312" w:cs="仿宋_GB2312"/>
          <w:color w:val="auto"/>
          <w:sz w:val="32"/>
          <w:szCs w:val="32"/>
        </w:rPr>
        <w:t>157.22</w:t>
      </w:r>
      <w:r>
        <w:rPr>
          <w:rFonts w:hint="eastAsia" w:ascii="仿宋_GB2312" w:eastAsia="仿宋_GB2312" w:cs="仿宋_GB2312"/>
          <w:color w:val="auto"/>
          <w:sz w:val="32"/>
          <w:szCs w:val="32"/>
        </w:rPr>
        <w:t>万吨，相比</w:t>
      </w:r>
      <w:r>
        <w:rPr>
          <w:rFonts w:ascii="仿宋_GB2312" w:eastAsia="仿宋_GB2312" w:cs="仿宋_GB2312"/>
          <w:color w:val="auto"/>
          <w:sz w:val="32"/>
          <w:szCs w:val="32"/>
        </w:rPr>
        <w:t>2015</w:t>
      </w:r>
      <w:r>
        <w:rPr>
          <w:rFonts w:hint="eastAsia" w:ascii="仿宋_GB2312" w:eastAsia="仿宋_GB2312" w:cs="仿宋_GB2312"/>
          <w:color w:val="auto"/>
          <w:sz w:val="32"/>
          <w:szCs w:val="32"/>
        </w:rPr>
        <w:t>年下降</w:t>
      </w:r>
      <w:r>
        <w:rPr>
          <w:rFonts w:ascii="仿宋_GB2312" w:eastAsia="仿宋_GB2312" w:cs="仿宋_GB2312"/>
          <w:color w:val="auto"/>
          <w:sz w:val="32"/>
          <w:szCs w:val="32"/>
        </w:rPr>
        <w:t>1.4%</w:t>
      </w:r>
      <w:r>
        <w:rPr>
          <w:rFonts w:hint="eastAsia" w:ascii="仿宋_GB2312" w:eastAsia="仿宋_GB2312" w:cs="仿宋_GB2312"/>
          <w:color w:val="auto"/>
          <w:sz w:val="32"/>
          <w:szCs w:val="32"/>
        </w:rPr>
        <w:t>，主要应用于黑色金属冶炼行业，煤品消费量占全市一次能源消费总量的</w:t>
      </w:r>
      <w:r>
        <w:rPr>
          <w:rFonts w:ascii="仿宋_GB2312" w:eastAsia="仿宋_GB2312" w:cs="仿宋_GB2312"/>
          <w:color w:val="auto"/>
          <w:sz w:val="32"/>
          <w:szCs w:val="32"/>
        </w:rPr>
        <w:t>47.6%</w:t>
      </w:r>
      <w:r>
        <w:rPr>
          <w:rFonts w:hint="eastAsia" w:ascii="仿宋_GB2312" w:eastAsia="仿宋_GB2312" w:cs="仿宋_GB2312"/>
          <w:color w:val="auto"/>
          <w:sz w:val="32"/>
          <w:szCs w:val="32"/>
        </w:rPr>
        <w:t>，占比较大。</w:t>
      </w:r>
    </w:p>
    <w:p>
      <w:pPr>
        <w:pStyle w:val="5"/>
        <w:spacing w:beforeLines="50" w:afterLines="50" w:line="600" w:lineRule="exact"/>
        <w:ind w:firstLine="643" w:firstLineChars="200"/>
        <w:jc w:val="both"/>
        <w:rPr>
          <w:rFonts w:ascii="楷体" w:hAnsi="楷体" w:eastAsia="楷体"/>
          <w:color w:val="auto"/>
          <w:sz w:val="32"/>
          <w:szCs w:val="32"/>
        </w:rPr>
      </w:pPr>
      <w:bookmarkStart w:id="13" w:name="_Toc63172377"/>
      <w:r>
        <w:rPr>
          <w:rFonts w:hint="eastAsia" w:ascii="楷体" w:hAnsi="楷体" w:eastAsia="楷体" w:cs="楷体"/>
          <w:color w:val="auto"/>
          <w:sz w:val="32"/>
          <w:szCs w:val="32"/>
        </w:rPr>
        <w:t>（二）油品</w:t>
      </w:r>
      <w:bookmarkEnd w:id="13"/>
    </w:p>
    <w:p>
      <w:pPr>
        <w:spacing w:line="600" w:lineRule="exact"/>
        <w:ind w:firstLine="640" w:firstLineChars="200"/>
        <w:rPr>
          <w:rFonts w:ascii="仿宋_GB2312" w:eastAsia="仿宋_GB2312"/>
          <w:color w:val="auto"/>
          <w:sz w:val="32"/>
          <w:szCs w:val="32"/>
        </w:rPr>
      </w:pPr>
      <w:r>
        <w:rPr>
          <w:rFonts w:ascii="仿宋_GB2312" w:eastAsia="仿宋_GB2312" w:cs="仿宋_GB2312"/>
          <w:color w:val="auto"/>
          <w:sz w:val="32"/>
          <w:szCs w:val="32"/>
        </w:rPr>
        <w:t>2019</w:t>
      </w:r>
      <w:r>
        <w:rPr>
          <w:rFonts w:hint="eastAsia" w:ascii="仿宋_GB2312" w:eastAsia="仿宋_GB2312" w:cs="仿宋_GB2312"/>
          <w:color w:val="auto"/>
          <w:sz w:val="32"/>
          <w:szCs w:val="32"/>
        </w:rPr>
        <w:t>年，全市规上原油加工量</w:t>
      </w:r>
      <w:r>
        <w:rPr>
          <w:rFonts w:ascii="仿宋_GB2312" w:eastAsia="仿宋_GB2312" w:cs="仿宋_GB2312"/>
          <w:color w:val="auto"/>
          <w:sz w:val="32"/>
          <w:szCs w:val="32"/>
        </w:rPr>
        <w:t>881.5</w:t>
      </w:r>
      <w:r>
        <w:rPr>
          <w:rFonts w:hint="eastAsia" w:ascii="仿宋_GB2312" w:eastAsia="仿宋_GB2312" w:cs="仿宋_GB2312"/>
          <w:color w:val="auto"/>
          <w:sz w:val="32"/>
          <w:szCs w:val="32"/>
        </w:rPr>
        <w:t>万吨，相比</w:t>
      </w:r>
      <w:r>
        <w:rPr>
          <w:rFonts w:ascii="仿宋_GB2312" w:eastAsia="仿宋_GB2312" w:cs="仿宋_GB2312"/>
          <w:color w:val="auto"/>
          <w:sz w:val="32"/>
          <w:szCs w:val="32"/>
        </w:rPr>
        <w:t>2015</w:t>
      </w:r>
      <w:r>
        <w:rPr>
          <w:rFonts w:hint="eastAsia" w:ascii="仿宋_GB2312" w:eastAsia="仿宋_GB2312" w:cs="仿宋_GB2312"/>
          <w:color w:val="auto"/>
          <w:sz w:val="32"/>
          <w:szCs w:val="32"/>
        </w:rPr>
        <w:t>年增长</w:t>
      </w:r>
      <w:r>
        <w:rPr>
          <w:rFonts w:ascii="仿宋_GB2312" w:eastAsia="仿宋_GB2312" w:cs="仿宋_GB2312"/>
          <w:color w:val="auto"/>
          <w:sz w:val="32"/>
          <w:szCs w:val="32"/>
        </w:rPr>
        <w:t>8.7%</w:t>
      </w:r>
      <w:r>
        <w:rPr>
          <w:rFonts w:hint="eastAsia" w:ascii="仿宋_GB2312" w:eastAsia="仿宋_GB2312" w:cs="仿宋_GB2312"/>
          <w:color w:val="auto"/>
          <w:sz w:val="32"/>
          <w:szCs w:val="32"/>
        </w:rPr>
        <w:t>，全部用于石油加工和炼焦加工业；原油所生产的汽油、柴油、燃料油和液化石油气消费量分别为</w:t>
      </w:r>
      <w:r>
        <w:rPr>
          <w:rFonts w:ascii="仿宋_GB2312" w:eastAsia="仿宋_GB2312" w:cs="仿宋_GB2312"/>
          <w:color w:val="auto"/>
          <w:sz w:val="32"/>
          <w:szCs w:val="32"/>
        </w:rPr>
        <w:t>0.24</w:t>
      </w:r>
      <w:r>
        <w:rPr>
          <w:rFonts w:hint="eastAsia" w:ascii="仿宋_GB2312" w:eastAsia="仿宋_GB2312" w:cs="仿宋_GB2312"/>
          <w:color w:val="auto"/>
          <w:sz w:val="32"/>
          <w:szCs w:val="32"/>
        </w:rPr>
        <w:t>万吨、</w:t>
      </w:r>
      <w:r>
        <w:rPr>
          <w:rFonts w:ascii="仿宋_GB2312" w:eastAsia="仿宋_GB2312" w:cs="仿宋_GB2312"/>
          <w:color w:val="auto"/>
          <w:sz w:val="32"/>
          <w:szCs w:val="32"/>
        </w:rPr>
        <w:t>2.5</w:t>
      </w:r>
      <w:r>
        <w:rPr>
          <w:rFonts w:hint="eastAsia" w:ascii="仿宋_GB2312" w:eastAsia="仿宋_GB2312" w:cs="仿宋_GB2312"/>
          <w:color w:val="auto"/>
          <w:sz w:val="32"/>
          <w:szCs w:val="32"/>
        </w:rPr>
        <w:t>万吨、</w:t>
      </w:r>
      <w:r>
        <w:rPr>
          <w:rFonts w:ascii="仿宋_GB2312" w:eastAsia="仿宋_GB2312" w:cs="仿宋_GB2312"/>
          <w:color w:val="auto"/>
          <w:sz w:val="32"/>
          <w:szCs w:val="32"/>
        </w:rPr>
        <w:t>0.52</w:t>
      </w:r>
      <w:r>
        <w:rPr>
          <w:rFonts w:hint="eastAsia" w:ascii="仿宋_GB2312" w:eastAsia="仿宋_GB2312" w:cs="仿宋_GB2312"/>
          <w:color w:val="auto"/>
          <w:sz w:val="32"/>
          <w:szCs w:val="32"/>
        </w:rPr>
        <w:t>万吨和</w:t>
      </w:r>
      <w:r>
        <w:rPr>
          <w:rFonts w:ascii="仿宋_GB2312" w:eastAsia="仿宋_GB2312" w:cs="仿宋_GB2312"/>
          <w:color w:val="auto"/>
          <w:sz w:val="32"/>
          <w:szCs w:val="32"/>
        </w:rPr>
        <w:t>29.3</w:t>
      </w:r>
      <w:r>
        <w:rPr>
          <w:rFonts w:hint="eastAsia" w:ascii="仿宋_GB2312" w:eastAsia="仿宋_GB2312" w:cs="仿宋_GB2312"/>
          <w:color w:val="auto"/>
          <w:sz w:val="32"/>
          <w:szCs w:val="32"/>
        </w:rPr>
        <w:t>万吨，基本用于交通运输、仓储和邮政业。</w:t>
      </w:r>
    </w:p>
    <w:p>
      <w:pPr>
        <w:pStyle w:val="5"/>
        <w:spacing w:beforeLines="50" w:afterLines="50" w:line="600" w:lineRule="exact"/>
        <w:ind w:firstLine="643" w:firstLineChars="200"/>
        <w:jc w:val="both"/>
        <w:rPr>
          <w:rFonts w:ascii="楷体" w:hAnsi="楷体" w:eastAsia="楷体"/>
          <w:color w:val="auto"/>
          <w:sz w:val="32"/>
          <w:szCs w:val="32"/>
        </w:rPr>
      </w:pPr>
      <w:bookmarkStart w:id="14" w:name="_Toc63172378"/>
      <w:r>
        <w:rPr>
          <w:rFonts w:hint="eastAsia" w:ascii="楷体" w:hAnsi="楷体" w:eastAsia="楷体" w:cs="楷体"/>
          <w:color w:val="auto"/>
          <w:sz w:val="32"/>
          <w:szCs w:val="32"/>
        </w:rPr>
        <w:t>（三）天然气</w:t>
      </w:r>
      <w:bookmarkEnd w:id="14"/>
    </w:p>
    <w:p>
      <w:pPr>
        <w:spacing w:line="600" w:lineRule="exact"/>
        <w:ind w:firstLine="640" w:firstLineChars="200"/>
        <w:rPr>
          <w:rFonts w:ascii="仿宋_GB2312" w:eastAsia="仿宋_GB2312"/>
          <w:color w:val="auto"/>
          <w:sz w:val="32"/>
          <w:szCs w:val="32"/>
        </w:rPr>
      </w:pPr>
      <w:r>
        <w:rPr>
          <w:rFonts w:ascii="仿宋_GB2312" w:eastAsia="仿宋_GB2312" w:cs="仿宋_GB2312"/>
          <w:color w:val="auto"/>
          <w:sz w:val="32"/>
          <w:szCs w:val="32"/>
        </w:rPr>
        <w:t>2019</w:t>
      </w:r>
      <w:r>
        <w:rPr>
          <w:rFonts w:hint="eastAsia" w:ascii="仿宋_GB2312" w:eastAsia="仿宋_GB2312" w:cs="仿宋_GB2312"/>
          <w:color w:val="auto"/>
          <w:sz w:val="32"/>
          <w:szCs w:val="32"/>
        </w:rPr>
        <w:t>年，全市规上天然气消费量</w:t>
      </w:r>
      <w:r>
        <w:rPr>
          <w:rFonts w:ascii="仿宋_GB2312" w:eastAsia="仿宋_GB2312" w:cs="仿宋_GB2312"/>
          <w:color w:val="auto"/>
          <w:sz w:val="32"/>
          <w:szCs w:val="32"/>
        </w:rPr>
        <w:t>4.59</w:t>
      </w:r>
      <w:r>
        <w:rPr>
          <w:rFonts w:hint="eastAsia" w:ascii="仿宋_GB2312" w:eastAsia="仿宋_GB2312" w:cs="仿宋_GB2312"/>
          <w:color w:val="auto"/>
          <w:sz w:val="32"/>
          <w:szCs w:val="32"/>
        </w:rPr>
        <w:t>亿立方米，相比</w:t>
      </w:r>
      <w:r>
        <w:rPr>
          <w:rFonts w:ascii="仿宋_GB2312" w:eastAsia="仿宋_GB2312" w:cs="仿宋_GB2312"/>
          <w:color w:val="auto"/>
          <w:sz w:val="32"/>
          <w:szCs w:val="32"/>
        </w:rPr>
        <w:t>2015</w:t>
      </w:r>
      <w:r>
        <w:rPr>
          <w:rFonts w:hint="eastAsia" w:ascii="仿宋_GB2312" w:eastAsia="仿宋_GB2312" w:cs="仿宋_GB2312"/>
          <w:color w:val="auto"/>
          <w:sz w:val="32"/>
          <w:szCs w:val="32"/>
        </w:rPr>
        <w:t>年增长</w:t>
      </w:r>
      <w:r>
        <w:rPr>
          <w:rFonts w:ascii="仿宋_GB2312" w:eastAsia="仿宋_GB2312" w:cs="仿宋_GB2312"/>
          <w:color w:val="auto"/>
          <w:sz w:val="32"/>
          <w:szCs w:val="32"/>
        </w:rPr>
        <w:t>30.7%</w:t>
      </w:r>
      <w:r>
        <w:rPr>
          <w:rFonts w:hint="eastAsia" w:ascii="仿宋_GB2312" w:eastAsia="仿宋_GB2312" w:cs="仿宋_GB2312"/>
          <w:color w:val="auto"/>
          <w:sz w:val="32"/>
          <w:szCs w:val="32"/>
        </w:rPr>
        <w:t>，主要用于石油加工、黑色金属冶炼、生活消费等行业。“十三五”期间，天然气消费量虽大幅提高，但占一次能源消费比重仍总体偏低。</w:t>
      </w:r>
    </w:p>
    <w:p>
      <w:pPr>
        <w:pStyle w:val="5"/>
        <w:spacing w:beforeLines="50" w:afterLines="50" w:line="600" w:lineRule="exact"/>
        <w:ind w:firstLine="643" w:firstLineChars="200"/>
        <w:jc w:val="both"/>
        <w:rPr>
          <w:rFonts w:ascii="楷体" w:hAnsi="楷体" w:eastAsia="楷体"/>
          <w:color w:val="auto"/>
          <w:sz w:val="32"/>
          <w:szCs w:val="32"/>
        </w:rPr>
      </w:pPr>
      <w:bookmarkStart w:id="15" w:name="_Toc63172379"/>
      <w:r>
        <w:rPr>
          <w:rFonts w:hint="eastAsia" w:ascii="楷体" w:hAnsi="楷体" w:eastAsia="楷体" w:cs="楷体"/>
          <w:color w:val="auto"/>
          <w:sz w:val="32"/>
          <w:szCs w:val="32"/>
        </w:rPr>
        <w:t>（四）电力</w:t>
      </w:r>
      <w:bookmarkEnd w:id="15"/>
    </w:p>
    <w:p>
      <w:pPr>
        <w:spacing w:line="600" w:lineRule="exact"/>
        <w:ind w:firstLine="640" w:firstLineChars="200"/>
        <w:rPr>
          <w:rFonts w:ascii="仿宋_GB2312" w:eastAsia="仿宋_GB2312"/>
          <w:color w:val="auto"/>
          <w:sz w:val="32"/>
          <w:szCs w:val="32"/>
        </w:rPr>
      </w:pPr>
      <w:bookmarkStart w:id="16" w:name="抚顺市能源发展规划_沈航_页面_09"/>
      <w:bookmarkEnd w:id="16"/>
      <w:r>
        <w:rPr>
          <w:rFonts w:ascii="仿宋_GB2312" w:eastAsia="仿宋_GB2312" w:cs="仿宋_GB2312"/>
          <w:color w:val="auto"/>
          <w:sz w:val="32"/>
          <w:szCs w:val="32"/>
        </w:rPr>
        <w:t>2019</w:t>
      </w:r>
      <w:r>
        <w:rPr>
          <w:rFonts w:hint="eastAsia" w:ascii="仿宋_GB2312" w:eastAsia="仿宋_GB2312" w:cs="仿宋_GB2312"/>
          <w:color w:val="auto"/>
          <w:sz w:val="32"/>
          <w:szCs w:val="32"/>
        </w:rPr>
        <w:t>年，抚顺市全社会用电量</w:t>
      </w:r>
      <w:r>
        <w:rPr>
          <w:rFonts w:ascii="仿宋_GB2312" w:eastAsia="仿宋_GB2312" w:cs="仿宋_GB2312"/>
          <w:color w:val="auto"/>
          <w:sz w:val="32"/>
          <w:szCs w:val="32"/>
        </w:rPr>
        <w:t>110.56</w:t>
      </w:r>
      <w:r>
        <w:rPr>
          <w:rFonts w:hint="eastAsia" w:ascii="仿宋_GB2312" w:eastAsia="仿宋_GB2312" w:cs="仿宋_GB2312"/>
          <w:color w:val="auto"/>
          <w:sz w:val="32"/>
          <w:szCs w:val="32"/>
        </w:rPr>
        <w:t>亿千瓦时，与</w:t>
      </w:r>
      <w:r>
        <w:rPr>
          <w:rFonts w:ascii="仿宋_GB2312" w:eastAsia="仿宋_GB2312" w:cs="仿宋_GB2312"/>
          <w:color w:val="auto"/>
          <w:sz w:val="32"/>
          <w:szCs w:val="32"/>
        </w:rPr>
        <w:t>2015</w:t>
      </w:r>
      <w:r>
        <w:rPr>
          <w:rFonts w:hint="eastAsia" w:ascii="仿宋_GB2312" w:eastAsia="仿宋_GB2312" w:cs="仿宋_GB2312"/>
          <w:color w:val="auto"/>
          <w:sz w:val="32"/>
          <w:szCs w:val="32"/>
        </w:rPr>
        <w:t>年相比下降</w:t>
      </w:r>
      <w:r>
        <w:rPr>
          <w:rFonts w:ascii="仿宋_GB2312" w:eastAsia="仿宋_GB2312" w:cs="仿宋_GB2312"/>
          <w:color w:val="auto"/>
          <w:sz w:val="32"/>
          <w:szCs w:val="32"/>
        </w:rPr>
        <w:t>10.48%</w:t>
      </w:r>
      <w:r>
        <w:rPr>
          <w:rFonts w:hint="eastAsia" w:ascii="仿宋_GB2312" w:eastAsia="仿宋_GB2312" w:cs="仿宋_GB2312"/>
          <w:color w:val="auto"/>
          <w:sz w:val="32"/>
          <w:szCs w:val="32"/>
        </w:rPr>
        <w:t>；全社会最大负荷</w:t>
      </w:r>
      <w:r>
        <w:rPr>
          <w:rFonts w:ascii="仿宋_GB2312" w:eastAsia="仿宋_GB2312" w:cs="仿宋_GB2312"/>
          <w:color w:val="auto"/>
          <w:sz w:val="32"/>
          <w:szCs w:val="32"/>
        </w:rPr>
        <w:t>1730</w:t>
      </w:r>
      <w:r>
        <w:rPr>
          <w:rFonts w:hint="eastAsia" w:ascii="仿宋_GB2312" w:eastAsia="仿宋_GB2312" w:cs="仿宋_GB2312"/>
          <w:color w:val="auto"/>
          <w:sz w:val="32"/>
          <w:szCs w:val="32"/>
        </w:rPr>
        <w:t>兆瓦，与</w:t>
      </w:r>
      <w:r>
        <w:rPr>
          <w:rFonts w:ascii="仿宋_GB2312" w:eastAsia="仿宋_GB2312" w:cs="仿宋_GB2312"/>
          <w:color w:val="auto"/>
          <w:sz w:val="32"/>
          <w:szCs w:val="32"/>
        </w:rPr>
        <w:t>2015</w:t>
      </w:r>
      <w:r>
        <w:rPr>
          <w:rFonts w:hint="eastAsia" w:ascii="仿宋_GB2312" w:eastAsia="仿宋_GB2312" w:cs="仿宋_GB2312"/>
          <w:color w:val="auto"/>
          <w:sz w:val="32"/>
          <w:szCs w:val="32"/>
        </w:rPr>
        <w:t>年相比下降</w:t>
      </w:r>
      <w:r>
        <w:rPr>
          <w:rFonts w:ascii="仿宋_GB2312" w:eastAsia="仿宋_GB2312" w:cs="仿宋_GB2312"/>
          <w:color w:val="auto"/>
          <w:sz w:val="32"/>
          <w:szCs w:val="32"/>
        </w:rPr>
        <w:t>10.36%</w:t>
      </w:r>
      <w:r>
        <w:rPr>
          <w:rFonts w:hint="eastAsia" w:ascii="仿宋_GB2312" w:eastAsia="仿宋_GB2312" w:cs="仿宋_GB2312"/>
          <w:color w:val="auto"/>
          <w:sz w:val="32"/>
          <w:szCs w:val="32"/>
        </w:rPr>
        <w:t>。“十三五”时期，全社会用电量基本保持平稳态势，工业用电量处于主导地位。</w:t>
      </w:r>
    </w:p>
    <w:tbl>
      <w:tblPr>
        <w:tblStyle w:val="52"/>
        <w:tblW w:w="5000" w:type="pct"/>
        <w:tblInd w:w="-106" w:type="dxa"/>
        <w:tblLayout w:type="fixed"/>
        <w:tblCellMar>
          <w:top w:w="0" w:type="dxa"/>
          <w:left w:w="108" w:type="dxa"/>
          <w:bottom w:w="0" w:type="dxa"/>
          <w:right w:w="108" w:type="dxa"/>
        </w:tblCellMar>
      </w:tblPr>
      <w:tblGrid>
        <w:gridCol w:w="2763"/>
        <w:gridCol w:w="1164"/>
        <w:gridCol w:w="1164"/>
        <w:gridCol w:w="1166"/>
        <w:gridCol w:w="1164"/>
        <w:gridCol w:w="1101"/>
      </w:tblGrid>
      <w:tr>
        <w:tblPrEx>
          <w:tblCellMar>
            <w:top w:w="0" w:type="dxa"/>
            <w:left w:w="108" w:type="dxa"/>
            <w:bottom w:w="0" w:type="dxa"/>
            <w:right w:w="108" w:type="dxa"/>
          </w:tblCellMar>
        </w:tblPrEx>
        <w:trPr>
          <w:trHeight w:val="270" w:hRule="atLeast"/>
        </w:trPr>
        <w:tc>
          <w:tcPr>
            <w:tcW w:w="5000" w:type="pct"/>
            <w:gridSpan w:val="6"/>
            <w:tcBorders>
              <w:top w:val="single" w:color="auto" w:sz="4" w:space="0"/>
              <w:left w:val="single" w:color="auto" w:sz="4" w:space="0"/>
              <w:bottom w:val="single" w:color="auto" w:sz="4" w:space="0"/>
              <w:right w:val="single" w:color="000000" w:sz="4" w:space="0"/>
            </w:tcBorders>
            <w:noWrap/>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抚顺市全社会用电量和用电负荷基本情况</w:t>
            </w:r>
          </w:p>
        </w:tc>
      </w:tr>
      <w:tr>
        <w:tblPrEx>
          <w:tblCellMar>
            <w:top w:w="0" w:type="dxa"/>
            <w:left w:w="108" w:type="dxa"/>
            <w:bottom w:w="0" w:type="dxa"/>
            <w:right w:w="108" w:type="dxa"/>
          </w:tblCellMar>
        </w:tblPrEx>
        <w:trPr>
          <w:trHeight w:val="270" w:hRule="atLeast"/>
        </w:trPr>
        <w:tc>
          <w:tcPr>
            <w:tcW w:w="1621" w:type="pct"/>
            <w:tcBorders>
              <w:top w:val="nil"/>
              <w:left w:val="single" w:color="auto" w:sz="4" w:space="0"/>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年份</w:t>
            </w:r>
          </w:p>
        </w:tc>
        <w:tc>
          <w:tcPr>
            <w:tcW w:w="683"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2015</w:t>
            </w:r>
          </w:p>
        </w:tc>
        <w:tc>
          <w:tcPr>
            <w:tcW w:w="683"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2016</w:t>
            </w:r>
          </w:p>
        </w:tc>
        <w:tc>
          <w:tcPr>
            <w:tcW w:w="684"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2017</w:t>
            </w:r>
          </w:p>
        </w:tc>
        <w:tc>
          <w:tcPr>
            <w:tcW w:w="683"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2018</w:t>
            </w:r>
          </w:p>
        </w:tc>
        <w:tc>
          <w:tcPr>
            <w:tcW w:w="645"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2019</w:t>
            </w:r>
          </w:p>
        </w:tc>
      </w:tr>
      <w:tr>
        <w:tblPrEx>
          <w:tblCellMar>
            <w:top w:w="0" w:type="dxa"/>
            <w:left w:w="108" w:type="dxa"/>
            <w:bottom w:w="0" w:type="dxa"/>
            <w:right w:w="108" w:type="dxa"/>
          </w:tblCellMar>
        </w:tblPrEx>
        <w:trPr>
          <w:trHeight w:val="270" w:hRule="atLeast"/>
        </w:trPr>
        <w:tc>
          <w:tcPr>
            <w:tcW w:w="1621" w:type="pct"/>
            <w:tcBorders>
              <w:top w:val="nil"/>
              <w:left w:val="single" w:color="auto" w:sz="4" w:space="0"/>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全社会用电量（亿千瓦时）</w:t>
            </w:r>
          </w:p>
        </w:tc>
        <w:tc>
          <w:tcPr>
            <w:tcW w:w="683"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123.51</w:t>
            </w:r>
          </w:p>
        </w:tc>
        <w:tc>
          <w:tcPr>
            <w:tcW w:w="683"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102.74</w:t>
            </w:r>
          </w:p>
        </w:tc>
        <w:tc>
          <w:tcPr>
            <w:tcW w:w="684"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104.93</w:t>
            </w:r>
          </w:p>
        </w:tc>
        <w:tc>
          <w:tcPr>
            <w:tcW w:w="683"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111.45</w:t>
            </w:r>
          </w:p>
        </w:tc>
        <w:tc>
          <w:tcPr>
            <w:tcW w:w="645"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110.56</w:t>
            </w:r>
          </w:p>
        </w:tc>
      </w:tr>
      <w:tr>
        <w:tblPrEx>
          <w:tblCellMar>
            <w:top w:w="0" w:type="dxa"/>
            <w:left w:w="108" w:type="dxa"/>
            <w:bottom w:w="0" w:type="dxa"/>
            <w:right w:w="108" w:type="dxa"/>
          </w:tblCellMar>
        </w:tblPrEx>
        <w:trPr>
          <w:trHeight w:val="270" w:hRule="atLeast"/>
        </w:trPr>
        <w:tc>
          <w:tcPr>
            <w:tcW w:w="1621" w:type="pct"/>
            <w:tcBorders>
              <w:top w:val="nil"/>
              <w:left w:val="single" w:color="auto" w:sz="4" w:space="0"/>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全社会最大用电负荷（兆瓦）</w:t>
            </w:r>
          </w:p>
        </w:tc>
        <w:tc>
          <w:tcPr>
            <w:tcW w:w="683"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1930</w:t>
            </w:r>
          </w:p>
        </w:tc>
        <w:tc>
          <w:tcPr>
            <w:tcW w:w="683"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1650</w:t>
            </w:r>
          </w:p>
        </w:tc>
        <w:tc>
          <w:tcPr>
            <w:tcW w:w="684"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1770</w:t>
            </w:r>
          </w:p>
        </w:tc>
        <w:tc>
          <w:tcPr>
            <w:tcW w:w="683"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1750</w:t>
            </w:r>
          </w:p>
        </w:tc>
        <w:tc>
          <w:tcPr>
            <w:tcW w:w="645"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1730</w:t>
            </w:r>
          </w:p>
        </w:tc>
      </w:tr>
    </w:tbl>
    <w:p>
      <w:pPr>
        <w:pStyle w:val="2"/>
        <w:rPr>
          <w:rFonts w:cs="Times New Roman"/>
        </w:rPr>
      </w:pP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17" w:name="_Toc86233319"/>
      <w:r>
        <w:rPr>
          <w:rFonts w:hint="eastAsia" w:ascii="黑体" w:hAnsi="黑体" w:eastAsia="黑体" w:cs="黑体"/>
          <w:color w:val="auto"/>
          <w:sz w:val="32"/>
          <w:szCs w:val="32"/>
        </w:rPr>
        <w:t>四、新型能源发展现状</w:t>
      </w:r>
      <w:bookmarkEnd w:id="17"/>
    </w:p>
    <w:p>
      <w:pPr>
        <w:ind w:firstLine="640" w:firstLineChars="200"/>
        <w:rPr>
          <w:rFonts w:ascii="仿宋_GB2312" w:hAnsi="黑体" w:eastAsia="仿宋_GB2312"/>
          <w:sz w:val="32"/>
          <w:szCs w:val="32"/>
        </w:rPr>
      </w:pPr>
      <w:r>
        <w:rPr>
          <w:rFonts w:hint="eastAsia" w:ascii="仿宋_GB2312" w:hAnsi="黑体" w:eastAsia="仿宋_GB2312" w:cs="仿宋_GB2312"/>
          <w:sz w:val="32"/>
          <w:szCs w:val="32"/>
        </w:rPr>
        <w:t>“十三五”以来，在省委、省政府的领导和支持下，抚顺市清洁能源产业起步发展。截至</w:t>
      </w:r>
      <w:r>
        <w:rPr>
          <w:rFonts w:ascii="仿宋_GB2312" w:hAnsi="黑体" w:eastAsia="仿宋_GB2312" w:cs="仿宋_GB2312"/>
          <w:sz w:val="32"/>
          <w:szCs w:val="32"/>
        </w:rPr>
        <w:t>2020</w:t>
      </w:r>
      <w:r>
        <w:rPr>
          <w:rFonts w:hint="eastAsia" w:ascii="仿宋_GB2312" w:hAnsi="黑体" w:eastAsia="仿宋_GB2312" w:cs="仿宋_GB2312"/>
          <w:sz w:val="32"/>
          <w:szCs w:val="32"/>
        </w:rPr>
        <w:t>年，全市可再生能源装机容量达到</w:t>
      </w:r>
      <w:r>
        <w:rPr>
          <w:rFonts w:ascii="仿宋_GB2312" w:eastAsia="仿宋_GB2312" w:cs="仿宋_GB2312"/>
          <w:sz w:val="32"/>
          <w:szCs w:val="32"/>
        </w:rPr>
        <w:t>18.54</w:t>
      </w:r>
      <w:r>
        <w:rPr>
          <w:rFonts w:hint="eastAsia" w:ascii="仿宋_GB2312" w:hAnsi="黑体" w:eastAsia="仿宋_GB2312" w:cs="仿宋_GB2312"/>
          <w:sz w:val="32"/>
          <w:szCs w:val="32"/>
        </w:rPr>
        <w:t>万千瓦，其中，水电装机容量</w:t>
      </w:r>
      <w:r>
        <w:rPr>
          <w:rFonts w:ascii="仿宋_GB2312" w:hAnsi="黑体" w:eastAsia="仿宋_GB2312" w:cs="仿宋_GB2312"/>
          <w:sz w:val="32"/>
          <w:szCs w:val="32"/>
        </w:rPr>
        <w:t>11.36</w:t>
      </w:r>
      <w:r>
        <w:rPr>
          <w:rFonts w:hint="eastAsia" w:ascii="仿宋_GB2312" w:hAnsi="黑体" w:eastAsia="仿宋_GB2312" w:cs="仿宋_GB2312"/>
          <w:sz w:val="32"/>
          <w:szCs w:val="32"/>
        </w:rPr>
        <w:t>万千瓦，光伏装机容量</w:t>
      </w:r>
      <w:r>
        <w:rPr>
          <w:rFonts w:ascii="仿宋_GB2312" w:hAnsi="黑体" w:eastAsia="仿宋_GB2312" w:cs="仿宋_GB2312"/>
          <w:sz w:val="32"/>
          <w:szCs w:val="32"/>
        </w:rPr>
        <w:t>7.18</w:t>
      </w:r>
      <w:r>
        <w:rPr>
          <w:rFonts w:hint="eastAsia" w:ascii="仿宋_GB2312" w:hAnsi="黑体" w:eastAsia="仿宋_GB2312" w:cs="仿宋_GB2312"/>
          <w:sz w:val="32"/>
          <w:szCs w:val="32"/>
        </w:rPr>
        <w:t>万千瓦。目前，全市在建装机容量</w:t>
      </w:r>
      <w:r>
        <w:rPr>
          <w:rFonts w:ascii="仿宋_GB2312" w:hAnsi="黑体" w:eastAsia="仿宋_GB2312" w:cs="仿宋_GB2312"/>
          <w:sz w:val="32"/>
          <w:szCs w:val="32"/>
        </w:rPr>
        <w:t>207</w:t>
      </w:r>
      <w:r>
        <w:rPr>
          <w:rFonts w:hint="eastAsia" w:ascii="仿宋_GB2312" w:hAnsi="黑体" w:eastAsia="仿宋_GB2312" w:cs="仿宋_GB2312"/>
          <w:sz w:val="32"/>
          <w:szCs w:val="32"/>
        </w:rPr>
        <w:t>万千瓦，其中，水电装机容量</w:t>
      </w:r>
      <w:r>
        <w:rPr>
          <w:rFonts w:ascii="仿宋_GB2312" w:hAnsi="黑体" w:eastAsia="仿宋_GB2312" w:cs="仿宋_GB2312"/>
          <w:sz w:val="32"/>
          <w:szCs w:val="32"/>
        </w:rPr>
        <w:t>180</w:t>
      </w:r>
      <w:r>
        <w:rPr>
          <w:rFonts w:hint="eastAsia" w:ascii="仿宋_GB2312" w:hAnsi="黑体" w:eastAsia="仿宋_GB2312" w:cs="仿宋_GB2312"/>
          <w:sz w:val="32"/>
          <w:szCs w:val="32"/>
        </w:rPr>
        <w:t>万千瓦，光伏装机容量</w:t>
      </w:r>
      <w:r>
        <w:rPr>
          <w:rFonts w:ascii="仿宋_GB2312" w:hAnsi="黑体" w:eastAsia="仿宋_GB2312" w:cs="仿宋_GB2312"/>
          <w:sz w:val="32"/>
          <w:szCs w:val="32"/>
        </w:rPr>
        <w:t>20</w:t>
      </w:r>
      <w:r>
        <w:rPr>
          <w:rFonts w:hint="eastAsia" w:ascii="仿宋_GB2312" w:hAnsi="黑体" w:eastAsia="仿宋_GB2312" w:cs="仿宋_GB2312"/>
          <w:sz w:val="32"/>
          <w:szCs w:val="32"/>
        </w:rPr>
        <w:t>万千瓦，生物质装机容量</w:t>
      </w:r>
      <w:r>
        <w:rPr>
          <w:rFonts w:ascii="仿宋_GB2312" w:hAnsi="黑体" w:eastAsia="仿宋_GB2312" w:cs="仿宋_GB2312"/>
          <w:sz w:val="32"/>
          <w:szCs w:val="32"/>
        </w:rPr>
        <w:t>7</w:t>
      </w:r>
      <w:r>
        <w:rPr>
          <w:rFonts w:hint="eastAsia" w:ascii="仿宋_GB2312" w:hAnsi="黑体" w:eastAsia="仿宋_GB2312" w:cs="仿宋_GB2312"/>
          <w:sz w:val="32"/>
          <w:szCs w:val="32"/>
        </w:rPr>
        <w:t>万千瓦。“十四五”时期，拟开工建设及谋划储备装机容量</w:t>
      </w:r>
      <w:r>
        <w:rPr>
          <w:rFonts w:ascii="仿宋_GB2312" w:hAnsi="黑体" w:eastAsia="仿宋_GB2312" w:cs="仿宋_GB2312"/>
          <w:sz w:val="32"/>
          <w:szCs w:val="32"/>
        </w:rPr>
        <w:t>507</w:t>
      </w:r>
      <w:r>
        <w:rPr>
          <w:rFonts w:hint="eastAsia" w:ascii="仿宋_GB2312" w:hAnsi="黑体" w:eastAsia="仿宋_GB2312" w:cs="仿宋_GB2312"/>
          <w:sz w:val="32"/>
          <w:szCs w:val="32"/>
        </w:rPr>
        <w:t>万千瓦，其中，水电装机容量</w:t>
      </w:r>
      <w:r>
        <w:rPr>
          <w:rFonts w:ascii="仿宋_GB2312" w:hAnsi="黑体" w:eastAsia="仿宋_GB2312" w:cs="仿宋_GB2312"/>
          <w:sz w:val="32"/>
          <w:szCs w:val="32"/>
        </w:rPr>
        <w:t>220</w:t>
      </w:r>
      <w:r>
        <w:rPr>
          <w:rFonts w:hint="eastAsia" w:ascii="仿宋_GB2312" w:hAnsi="黑体" w:eastAsia="仿宋_GB2312" w:cs="仿宋_GB2312"/>
          <w:sz w:val="32"/>
          <w:szCs w:val="32"/>
        </w:rPr>
        <w:t>万千瓦，光伏装机容量</w:t>
      </w:r>
      <w:r>
        <w:rPr>
          <w:rFonts w:ascii="仿宋_GB2312" w:hAnsi="黑体" w:eastAsia="仿宋_GB2312" w:cs="仿宋_GB2312"/>
          <w:sz w:val="32"/>
          <w:szCs w:val="32"/>
        </w:rPr>
        <w:t>178.2</w:t>
      </w:r>
      <w:r>
        <w:rPr>
          <w:rFonts w:hint="eastAsia" w:ascii="仿宋_GB2312" w:hAnsi="黑体" w:eastAsia="仿宋_GB2312" w:cs="仿宋_GB2312"/>
          <w:sz w:val="32"/>
          <w:szCs w:val="32"/>
        </w:rPr>
        <w:t>万千瓦，风电装机容量</w:t>
      </w:r>
      <w:r>
        <w:rPr>
          <w:rFonts w:ascii="仿宋_GB2312" w:hAnsi="黑体" w:eastAsia="仿宋_GB2312" w:cs="仿宋_GB2312"/>
          <w:sz w:val="32"/>
          <w:szCs w:val="32"/>
        </w:rPr>
        <w:t>100</w:t>
      </w:r>
      <w:r>
        <w:rPr>
          <w:rFonts w:hint="eastAsia" w:ascii="仿宋_GB2312" w:hAnsi="黑体" w:eastAsia="仿宋_GB2312" w:cs="仿宋_GB2312"/>
          <w:sz w:val="32"/>
          <w:szCs w:val="32"/>
        </w:rPr>
        <w:t>万千瓦，生物质发电装机容量</w:t>
      </w:r>
      <w:r>
        <w:rPr>
          <w:rFonts w:ascii="仿宋_GB2312" w:hAnsi="黑体" w:eastAsia="仿宋_GB2312" w:cs="仿宋_GB2312"/>
          <w:sz w:val="32"/>
          <w:szCs w:val="32"/>
        </w:rPr>
        <w:t>8.8</w:t>
      </w:r>
      <w:r>
        <w:rPr>
          <w:rFonts w:hint="eastAsia" w:ascii="仿宋_GB2312" w:hAnsi="黑体" w:eastAsia="仿宋_GB2312" w:cs="仿宋_GB2312"/>
          <w:sz w:val="32"/>
          <w:szCs w:val="32"/>
        </w:rPr>
        <w:t>万千瓦。</w:t>
      </w:r>
    </w:p>
    <w:p>
      <w:pPr>
        <w:pStyle w:val="5"/>
        <w:spacing w:beforeLines="50" w:afterLines="50" w:line="600" w:lineRule="exact"/>
        <w:ind w:firstLine="643" w:firstLineChars="200"/>
        <w:jc w:val="both"/>
        <w:rPr>
          <w:rFonts w:ascii="楷体" w:hAnsi="楷体" w:eastAsia="楷体"/>
          <w:color w:val="auto"/>
          <w:sz w:val="32"/>
          <w:szCs w:val="32"/>
        </w:rPr>
      </w:pPr>
      <w:r>
        <w:rPr>
          <w:rFonts w:hint="eastAsia" w:ascii="楷体" w:hAnsi="楷体" w:eastAsia="楷体" w:cs="楷体"/>
          <w:color w:val="auto"/>
          <w:sz w:val="32"/>
          <w:szCs w:val="32"/>
        </w:rPr>
        <w:t>（一）抽水蓄能稳步发展</w:t>
      </w:r>
    </w:p>
    <w:p>
      <w:pPr>
        <w:ind w:firstLine="640" w:firstLineChars="200"/>
        <w:rPr>
          <w:rFonts w:ascii="仿宋_GB2312" w:hAnsi="黑体" w:eastAsia="仿宋_GB2312"/>
          <w:sz w:val="32"/>
          <w:szCs w:val="32"/>
        </w:rPr>
      </w:pPr>
      <w:r>
        <w:rPr>
          <w:rFonts w:hint="eastAsia" w:ascii="仿宋_GB2312" w:hAnsi="黑体" w:eastAsia="仿宋_GB2312" w:cs="仿宋_GB2312"/>
          <w:sz w:val="32"/>
          <w:szCs w:val="32"/>
        </w:rPr>
        <w:t>利用东部山区资源、地形等优势，以及西露天矿综合治理转型发展机遇，规划抽水蓄能电站总装机容量</w:t>
      </w:r>
      <w:r>
        <w:rPr>
          <w:rFonts w:ascii="仿宋_GB2312" w:hAnsi="黑体" w:eastAsia="仿宋_GB2312" w:cs="仿宋_GB2312"/>
          <w:sz w:val="32"/>
          <w:szCs w:val="32"/>
        </w:rPr>
        <w:t>400</w:t>
      </w:r>
      <w:r>
        <w:rPr>
          <w:rFonts w:hint="eastAsia" w:ascii="仿宋_GB2312" w:hAnsi="黑体" w:eastAsia="仿宋_GB2312" w:cs="仿宋_GB2312"/>
          <w:sz w:val="32"/>
          <w:szCs w:val="32"/>
        </w:rPr>
        <w:t>万千瓦。目前，清原抽水蓄能电站一期项目开工建设，在建装机规模</w:t>
      </w:r>
      <w:r>
        <w:rPr>
          <w:rFonts w:ascii="仿宋_GB2312" w:hAnsi="黑体" w:eastAsia="仿宋_GB2312" w:cs="仿宋_GB2312"/>
          <w:sz w:val="32"/>
          <w:szCs w:val="32"/>
        </w:rPr>
        <w:t>180</w:t>
      </w:r>
      <w:r>
        <w:rPr>
          <w:rFonts w:hint="eastAsia" w:ascii="仿宋_GB2312" w:hAnsi="黑体" w:eastAsia="仿宋_GB2312" w:cs="仿宋_GB2312"/>
          <w:sz w:val="32"/>
          <w:szCs w:val="32"/>
        </w:rPr>
        <w:t>万千瓦。清原抽水蓄能电站二期项目、西露天矿抽水蓄能电站纳入辽宁省“十四五”规划和国家抽水蓄能中长期规划，装机规模</w:t>
      </w:r>
      <w:r>
        <w:rPr>
          <w:rFonts w:ascii="仿宋_GB2312" w:hAnsi="黑体" w:eastAsia="仿宋_GB2312" w:cs="仿宋_GB2312"/>
          <w:sz w:val="32"/>
          <w:szCs w:val="32"/>
        </w:rPr>
        <w:t>220</w:t>
      </w:r>
      <w:r>
        <w:rPr>
          <w:rFonts w:hint="eastAsia" w:ascii="仿宋_GB2312" w:hAnsi="黑体" w:eastAsia="仿宋_GB2312" w:cs="仿宋_GB2312"/>
          <w:sz w:val="32"/>
          <w:szCs w:val="32"/>
        </w:rPr>
        <w:t>万千瓦。</w:t>
      </w:r>
    </w:p>
    <w:p>
      <w:pPr>
        <w:pStyle w:val="5"/>
        <w:spacing w:beforeLines="50" w:afterLines="50" w:line="600" w:lineRule="exact"/>
        <w:ind w:firstLine="643" w:firstLineChars="200"/>
        <w:jc w:val="both"/>
        <w:rPr>
          <w:rFonts w:ascii="楷体" w:hAnsi="楷体" w:eastAsia="楷体"/>
          <w:color w:val="auto"/>
          <w:sz w:val="32"/>
          <w:szCs w:val="32"/>
        </w:rPr>
      </w:pPr>
      <w:r>
        <w:rPr>
          <w:rFonts w:hint="eastAsia" w:ascii="楷体" w:hAnsi="楷体" w:eastAsia="楷体" w:cs="楷体"/>
          <w:color w:val="auto"/>
          <w:sz w:val="32"/>
          <w:szCs w:val="32"/>
        </w:rPr>
        <w:t>（二）光伏发电取得零的突破</w:t>
      </w:r>
    </w:p>
    <w:p>
      <w:pPr>
        <w:ind w:firstLine="640" w:firstLineChars="200"/>
        <w:rPr>
          <w:rFonts w:ascii="仿宋_GB2312" w:hAnsi="黑体" w:eastAsia="仿宋_GB2312"/>
          <w:sz w:val="32"/>
          <w:szCs w:val="32"/>
        </w:rPr>
      </w:pPr>
      <w:r>
        <w:rPr>
          <w:rFonts w:hint="eastAsia" w:ascii="仿宋_GB2312" w:hAnsi="黑体" w:eastAsia="仿宋_GB2312" w:cs="仿宋_GB2312"/>
          <w:sz w:val="32"/>
          <w:szCs w:val="32"/>
        </w:rPr>
        <w:t>“十三五”期间，在国家、省的带动和支持下，我市光伏发电产业起步发展。目前，全市累计建成光伏发电装机</w:t>
      </w:r>
      <w:r>
        <w:rPr>
          <w:rFonts w:ascii="仿宋_GB2312" w:hAnsi="黑体" w:eastAsia="仿宋_GB2312" w:cs="仿宋_GB2312"/>
          <w:sz w:val="32"/>
          <w:szCs w:val="32"/>
        </w:rPr>
        <w:t>7.18</w:t>
      </w:r>
      <w:r>
        <w:rPr>
          <w:rFonts w:hint="eastAsia" w:ascii="仿宋_GB2312" w:hAnsi="黑体" w:eastAsia="仿宋_GB2312" w:cs="仿宋_GB2312"/>
          <w:sz w:val="32"/>
          <w:szCs w:val="32"/>
        </w:rPr>
        <w:t>万千瓦，其中，集中式光伏装机</w:t>
      </w:r>
      <w:r>
        <w:rPr>
          <w:rFonts w:ascii="仿宋_GB2312" w:hAnsi="黑体" w:eastAsia="仿宋_GB2312" w:cs="仿宋_GB2312"/>
          <w:sz w:val="32"/>
          <w:szCs w:val="32"/>
        </w:rPr>
        <w:t>6</w:t>
      </w:r>
      <w:r>
        <w:rPr>
          <w:rFonts w:hint="eastAsia" w:ascii="仿宋_GB2312" w:hAnsi="黑体" w:eastAsia="仿宋_GB2312" w:cs="仿宋_GB2312"/>
          <w:sz w:val="32"/>
          <w:szCs w:val="32"/>
        </w:rPr>
        <w:t>万千瓦，工商业及居民屋顶分布式光伏装机</w:t>
      </w:r>
      <w:r>
        <w:rPr>
          <w:rFonts w:ascii="仿宋_GB2312" w:hAnsi="黑体" w:eastAsia="仿宋_GB2312" w:cs="仿宋_GB2312"/>
          <w:sz w:val="32"/>
          <w:szCs w:val="32"/>
        </w:rPr>
        <w:t>1.18</w:t>
      </w:r>
      <w:r>
        <w:rPr>
          <w:rFonts w:hint="eastAsia" w:ascii="仿宋_GB2312" w:hAnsi="黑体" w:eastAsia="仿宋_GB2312" w:cs="仿宋_GB2312"/>
          <w:sz w:val="32"/>
          <w:szCs w:val="32"/>
        </w:rPr>
        <w:t>万千瓦。</w:t>
      </w:r>
      <w:r>
        <w:rPr>
          <w:rFonts w:ascii="仿宋_GB2312" w:hAnsi="黑体" w:eastAsia="仿宋_GB2312" w:cs="仿宋_GB2312"/>
          <w:sz w:val="32"/>
          <w:szCs w:val="32"/>
        </w:rPr>
        <w:t>2021-2022</w:t>
      </w:r>
      <w:r>
        <w:rPr>
          <w:rFonts w:hint="eastAsia" w:ascii="仿宋_GB2312" w:hAnsi="黑体" w:eastAsia="仿宋_GB2312" w:cs="仿宋_GB2312"/>
          <w:sz w:val="32"/>
          <w:szCs w:val="32"/>
        </w:rPr>
        <w:t>年计划新开工光伏发电装机</w:t>
      </w:r>
      <w:r>
        <w:rPr>
          <w:rFonts w:ascii="仿宋_GB2312" w:hAnsi="黑体" w:eastAsia="仿宋_GB2312" w:cs="仿宋_GB2312"/>
          <w:sz w:val="32"/>
          <w:szCs w:val="32"/>
        </w:rPr>
        <w:t>44</w:t>
      </w:r>
      <w:r>
        <w:rPr>
          <w:rFonts w:hint="eastAsia" w:ascii="仿宋_GB2312" w:hAnsi="黑体" w:eastAsia="仿宋_GB2312" w:cs="仿宋_GB2312"/>
          <w:sz w:val="32"/>
          <w:szCs w:val="32"/>
        </w:rPr>
        <w:t>万千瓦，包括矿区光伏发电项目，装机规模</w:t>
      </w:r>
      <w:r>
        <w:rPr>
          <w:rFonts w:ascii="仿宋_GB2312" w:hAnsi="黑体" w:eastAsia="仿宋_GB2312" w:cs="仿宋_GB2312"/>
          <w:sz w:val="32"/>
          <w:szCs w:val="32"/>
        </w:rPr>
        <w:t>40</w:t>
      </w:r>
      <w:r>
        <w:rPr>
          <w:rFonts w:hint="eastAsia" w:ascii="仿宋_GB2312" w:hAnsi="黑体" w:eastAsia="仿宋_GB2312" w:cs="仿宋_GB2312"/>
          <w:sz w:val="32"/>
          <w:szCs w:val="32"/>
        </w:rPr>
        <w:t>万千瓦，以及清原东仪等平价光伏项目，装机规模</w:t>
      </w:r>
      <w:r>
        <w:rPr>
          <w:rFonts w:ascii="仿宋_GB2312" w:hAnsi="黑体" w:eastAsia="仿宋_GB2312" w:cs="仿宋_GB2312"/>
          <w:sz w:val="32"/>
          <w:szCs w:val="32"/>
        </w:rPr>
        <w:t>4</w:t>
      </w:r>
      <w:r>
        <w:rPr>
          <w:rFonts w:hint="eastAsia" w:ascii="仿宋_GB2312" w:hAnsi="黑体" w:eastAsia="仿宋_GB2312" w:cs="仿宋_GB2312"/>
          <w:sz w:val="32"/>
          <w:szCs w:val="32"/>
        </w:rPr>
        <w:t>万千瓦。包装策划光伏发电装机</w:t>
      </w:r>
      <w:r>
        <w:rPr>
          <w:rFonts w:ascii="仿宋_GB2312" w:hAnsi="黑体" w:eastAsia="仿宋_GB2312" w:cs="仿宋_GB2312"/>
          <w:sz w:val="32"/>
          <w:szCs w:val="32"/>
        </w:rPr>
        <w:t>134.2</w:t>
      </w:r>
      <w:r>
        <w:rPr>
          <w:rFonts w:hint="eastAsia" w:ascii="仿宋_GB2312" w:hAnsi="黑体" w:eastAsia="仿宋_GB2312" w:cs="仿宋_GB2312"/>
          <w:sz w:val="32"/>
          <w:szCs w:val="32"/>
        </w:rPr>
        <w:t>万千瓦，其中，集中式光伏装机</w:t>
      </w:r>
      <w:r>
        <w:rPr>
          <w:rFonts w:ascii="仿宋_GB2312" w:hAnsi="黑体" w:eastAsia="仿宋_GB2312" w:cs="仿宋_GB2312"/>
          <w:sz w:val="32"/>
          <w:szCs w:val="32"/>
        </w:rPr>
        <w:t>130</w:t>
      </w:r>
      <w:r>
        <w:rPr>
          <w:rFonts w:hint="eastAsia" w:ascii="仿宋_GB2312" w:hAnsi="黑体" w:eastAsia="仿宋_GB2312" w:cs="仿宋_GB2312"/>
          <w:sz w:val="32"/>
          <w:szCs w:val="32"/>
        </w:rPr>
        <w:t>万千瓦，分布式光伏装机</w:t>
      </w:r>
      <w:r>
        <w:rPr>
          <w:rFonts w:ascii="仿宋_GB2312" w:hAnsi="黑体" w:eastAsia="仿宋_GB2312" w:cs="仿宋_GB2312"/>
          <w:sz w:val="32"/>
          <w:szCs w:val="32"/>
        </w:rPr>
        <w:t>4.2</w:t>
      </w:r>
      <w:r>
        <w:rPr>
          <w:rFonts w:hint="eastAsia" w:ascii="仿宋_GB2312" w:hAnsi="黑体" w:eastAsia="仿宋_GB2312" w:cs="仿宋_GB2312"/>
          <w:sz w:val="32"/>
          <w:szCs w:val="32"/>
        </w:rPr>
        <w:t>万千瓦。</w:t>
      </w:r>
    </w:p>
    <w:p>
      <w:pPr>
        <w:pStyle w:val="5"/>
        <w:spacing w:beforeLines="50" w:afterLines="50" w:line="600" w:lineRule="exact"/>
        <w:ind w:firstLine="643" w:firstLineChars="200"/>
        <w:jc w:val="both"/>
        <w:rPr>
          <w:rFonts w:ascii="楷体" w:hAnsi="楷体" w:eastAsia="楷体"/>
          <w:color w:val="auto"/>
          <w:sz w:val="32"/>
          <w:szCs w:val="32"/>
        </w:rPr>
      </w:pPr>
      <w:r>
        <w:rPr>
          <w:rFonts w:hint="eastAsia" w:ascii="楷体" w:hAnsi="楷体" w:eastAsia="楷体" w:cs="楷体"/>
          <w:color w:val="auto"/>
          <w:sz w:val="32"/>
          <w:szCs w:val="32"/>
        </w:rPr>
        <w:t>（三）生物质发电有序推进</w:t>
      </w:r>
    </w:p>
    <w:p>
      <w:pPr>
        <w:ind w:firstLine="640" w:firstLineChars="200"/>
        <w:rPr>
          <w:rFonts w:ascii="仿宋_GB2312" w:hAnsi="黑体" w:eastAsia="仿宋_GB2312"/>
          <w:sz w:val="32"/>
          <w:szCs w:val="32"/>
        </w:rPr>
      </w:pPr>
      <w:r>
        <w:rPr>
          <w:rFonts w:hint="eastAsia" w:ascii="仿宋_GB2312" w:hAnsi="黑体" w:eastAsia="仿宋_GB2312" w:cs="仿宋_GB2312"/>
          <w:sz w:val="32"/>
          <w:szCs w:val="32"/>
        </w:rPr>
        <w:t>按照辽宁省“十三五”生物质发电项目规划布局，根据生物质能资源分布等建设条件情况，我市生物质发电产业有序推进。目前，抚顺城市垃圾焚烧发电项目和清原生物质热电联产项目稳步建设，总装机</w:t>
      </w:r>
      <w:r>
        <w:rPr>
          <w:rFonts w:ascii="仿宋_GB2312" w:hAnsi="黑体" w:eastAsia="仿宋_GB2312" w:cs="仿宋_GB2312"/>
          <w:sz w:val="32"/>
          <w:szCs w:val="32"/>
        </w:rPr>
        <w:t>7</w:t>
      </w:r>
      <w:r>
        <w:rPr>
          <w:rFonts w:hint="eastAsia" w:ascii="仿宋_GB2312" w:hAnsi="黑体" w:eastAsia="仿宋_GB2312" w:cs="仿宋_GB2312"/>
          <w:sz w:val="32"/>
          <w:szCs w:val="32"/>
        </w:rPr>
        <w:t>万千瓦。</w:t>
      </w:r>
    </w:p>
    <w:p>
      <w:pPr>
        <w:pStyle w:val="5"/>
        <w:spacing w:beforeLines="50" w:afterLines="50" w:line="600" w:lineRule="exact"/>
        <w:ind w:firstLine="643" w:firstLineChars="200"/>
        <w:jc w:val="both"/>
        <w:rPr>
          <w:rFonts w:ascii="楷体" w:hAnsi="楷体" w:eastAsia="楷体"/>
          <w:color w:val="auto"/>
          <w:sz w:val="32"/>
          <w:szCs w:val="32"/>
        </w:rPr>
      </w:pPr>
      <w:r>
        <w:rPr>
          <w:rFonts w:hint="eastAsia" w:ascii="楷体" w:hAnsi="楷体" w:eastAsia="楷体" w:cs="楷体"/>
          <w:color w:val="auto"/>
          <w:sz w:val="32"/>
          <w:szCs w:val="32"/>
        </w:rPr>
        <w:t>（四）风力发电加快谋划</w:t>
      </w:r>
    </w:p>
    <w:p>
      <w:pPr>
        <w:ind w:firstLine="640" w:firstLineChars="200"/>
        <w:rPr>
          <w:rFonts w:ascii="楷体" w:hAnsi="楷体" w:eastAsia="楷体"/>
          <w:b/>
          <w:bCs/>
          <w:sz w:val="32"/>
          <w:szCs w:val="32"/>
        </w:rPr>
      </w:pPr>
      <w:r>
        <w:rPr>
          <w:rFonts w:hint="eastAsia" w:ascii="仿宋_GB2312" w:eastAsia="仿宋_GB2312" w:cs="仿宋_GB2312"/>
          <w:sz w:val="32"/>
          <w:szCs w:val="32"/>
        </w:rPr>
        <w:t>抚顺市东部山区的新宾县、清原县的全部，抚顺县、东洲区的大部都处于大伙房水库水源保护地或准保护区之内，受自然条件和指标限制，我市风电产业尚属空白。目前，在抚顺县、东洲区西部，以及新抚区等距主要生态功能区较远区域，积极谋划风力发电项目，总装机</w:t>
      </w:r>
      <w:r>
        <w:rPr>
          <w:rFonts w:ascii="仿宋_GB2312" w:eastAsia="仿宋_GB2312" w:cs="仿宋_GB2312"/>
          <w:sz w:val="32"/>
          <w:szCs w:val="32"/>
        </w:rPr>
        <w:t>100</w:t>
      </w:r>
      <w:r>
        <w:rPr>
          <w:rFonts w:hint="eastAsia" w:ascii="仿宋_GB2312" w:eastAsia="仿宋_GB2312" w:cs="仿宋_GB2312"/>
          <w:sz w:val="32"/>
          <w:szCs w:val="32"/>
        </w:rPr>
        <w:t>万千瓦。</w:t>
      </w:r>
    </w:p>
    <w:p>
      <w:pPr>
        <w:pStyle w:val="5"/>
        <w:spacing w:beforeLines="50" w:afterLines="50" w:line="600" w:lineRule="exact"/>
        <w:ind w:firstLine="643" w:firstLineChars="200"/>
        <w:jc w:val="both"/>
        <w:rPr>
          <w:rFonts w:ascii="楷体" w:hAnsi="楷体" w:eastAsia="楷体"/>
          <w:color w:val="auto"/>
          <w:sz w:val="32"/>
          <w:szCs w:val="32"/>
        </w:rPr>
      </w:pPr>
      <w:r>
        <w:rPr>
          <w:rFonts w:hint="eastAsia" w:ascii="楷体" w:hAnsi="楷体" w:eastAsia="楷体" w:cs="楷体"/>
          <w:color w:val="auto"/>
          <w:sz w:val="32"/>
          <w:szCs w:val="32"/>
        </w:rPr>
        <w:t>（五）清洁能源替代积极推进</w:t>
      </w:r>
    </w:p>
    <w:p>
      <w:pPr>
        <w:spacing w:line="600" w:lineRule="exact"/>
        <w:ind w:firstLine="640" w:firstLineChars="200"/>
        <w:rPr>
          <w:rFonts w:ascii="仿宋_GB2312" w:eastAsia="仿宋_GB2312"/>
          <w:color w:val="auto"/>
          <w:sz w:val="32"/>
          <w:szCs w:val="32"/>
        </w:rPr>
        <w:sectPr>
          <w:footerReference r:id="rId6" w:type="default"/>
          <w:pgSz w:w="11906" w:h="16838"/>
          <w:pgMar w:top="1440" w:right="1800" w:bottom="1440" w:left="1800" w:header="851" w:footer="992" w:gutter="0"/>
          <w:cols w:space="425" w:num="1"/>
          <w:docGrid w:type="lines" w:linePitch="312" w:charSpace="0"/>
        </w:sectPr>
      </w:pPr>
      <w:r>
        <w:rPr>
          <w:rFonts w:hint="eastAsia" w:ascii="仿宋_GB2312" w:eastAsia="仿宋_GB2312" w:cs="仿宋_GB2312"/>
          <w:color w:val="auto"/>
          <w:sz w:val="32"/>
          <w:szCs w:val="32"/>
        </w:rPr>
        <w:t>抚顺市积极谋划城中村和近郊村利用太阳能替代散煤取暖工程。散煤替代一期工程，涉及</w:t>
      </w:r>
      <w:r>
        <w:rPr>
          <w:rFonts w:ascii="仿宋_GB2312" w:eastAsia="仿宋_GB2312" w:cs="仿宋_GB2312"/>
          <w:color w:val="auto"/>
          <w:sz w:val="32"/>
          <w:szCs w:val="32"/>
        </w:rPr>
        <w:t>8832</w:t>
      </w:r>
      <w:r>
        <w:rPr>
          <w:rFonts w:hint="eastAsia" w:ascii="仿宋_GB2312" w:eastAsia="仿宋_GB2312" w:cs="仿宋_GB2312"/>
          <w:color w:val="auto"/>
          <w:sz w:val="32"/>
          <w:szCs w:val="32"/>
        </w:rPr>
        <w:t>户散煤户，替代方式为“光热</w:t>
      </w:r>
      <w:r>
        <w:rPr>
          <w:rFonts w:ascii="仿宋_GB2312" w:eastAsia="仿宋_GB2312" w:cs="仿宋_GB2312"/>
          <w:color w:val="auto"/>
          <w:sz w:val="32"/>
          <w:szCs w:val="32"/>
        </w:rPr>
        <w:t>+</w:t>
      </w:r>
      <w:r>
        <w:rPr>
          <w:rFonts w:hint="eastAsia" w:ascii="仿宋_GB2312" w:eastAsia="仿宋_GB2312" w:cs="仿宋_GB2312"/>
          <w:color w:val="auto"/>
          <w:sz w:val="32"/>
          <w:szCs w:val="32"/>
        </w:rPr>
        <w:t>电”</w:t>
      </w:r>
      <w:r>
        <w:rPr>
          <w:rFonts w:ascii="仿宋_GB2312" w:eastAsia="仿宋_GB2312" w:cs="仿宋_GB2312"/>
          <w:color w:val="auto"/>
          <w:sz w:val="32"/>
          <w:szCs w:val="32"/>
        </w:rPr>
        <w:t>3533</w:t>
      </w:r>
      <w:r>
        <w:rPr>
          <w:rFonts w:hint="eastAsia" w:ascii="仿宋_GB2312" w:eastAsia="仿宋_GB2312" w:cs="仿宋_GB2312"/>
          <w:color w:val="auto"/>
          <w:sz w:val="32"/>
          <w:szCs w:val="32"/>
        </w:rPr>
        <w:t>户（占比</w:t>
      </w:r>
      <w:r>
        <w:rPr>
          <w:rFonts w:ascii="仿宋_GB2312" w:eastAsia="仿宋_GB2312" w:cs="仿宋_GB2312"/>
          <w:color w:val="auto"/>
          <w:sz w:val="32"/>
          <w:szCs w:val="32"/>
        </w:rPr>
        <w:t>40%</w:t>
      </w:r>
      <w:r>
        <w:rPr>
          <w:rFonts w:hint="eastAsia" w:ascii="仿宋_GB2312" w:eastAsia="仿宋_GB2312" w:cs="仿宋_GB2312"/>
          <w:color w:val="auto"/>
          <w:sz w:val="32"/>
          <w:szCs w:val="32"/>
        </w:rPr>
        <w:t>）、“光热</w:t>
      </w:r>
      <w:r>
        <w:rPr>
          <w:rFonts w:ascii="仿宋_GB2312" w:eastAsia="仿宋_GB2312" w:cs="仿宋_GB2312"/>
          <w:color w:val="auto"/>
          <w:sz w:val="32"/>
          <w:szCs w:val="32"/>
        </w:rPr>
        <w:t>+</w:t>
      </w:r>
      <w:r>
        <w:rPr>
          <w:rFonts w:hint="eastAsia" w:ascii="仿宋_GB2312" w:eastAsia="仿宋_GB2312" w:cs="仿宋_GB2312"/>
          <w:color w:val="auto"/>
          <w:sz w:val="32"/>
          <w:szCs w:val="32"/>
        </w:rPr>
        <w:t>天然气”</w:t>
      </w:r>
      <w:r>
        <w:rPr>
          <w:rFonts w:ascii="仿宋_GB2312" w:eastAsia="仿宋_GB2312" w:cs="仿宋_GB2312"/>
          <w:color w:val="auto"/>
          <w:sz w:val="32"/>
          <w:szCs w:val="32"/>
        </w:rPr>
        <w:t>4415</w:t>
      </w:r>
      <w:r>
        <w:rPr>
          <w:rFonts w:hint="eastAsia" w:ascii="仿宋_GB2312" w:eastAsia="仿宋_GB2312" w:cs="仿宋_GB2312"/>
          <w:color w:val="auto"/>
          <w:sz w:val="32"/>
          <w:szCs w:val="32"/>
        </w:rPr>
        <w:t>户（占比</w:t>
      </w:r>
      <w:r>
        <w:rPr>
          <w:rFonts w:ascii="仿宋_GB2312" w:eastAsia="仿宋_GB2312" w:cs="仿宋_GB2312"/>
          <w:color w:val="auto"/>
          <w:sz w:val="32"/>
          <w:szCs w:val="32"/>
        </w:rPr>
        <w:t>50%</w:t>
      </w:r>
      <w:r>
        <w:rPr>
          <w:rFonts w:hint="eastAsia" w:ascii="仿宋_GB2312" w:eastAsia="仿宋_GB2312" w:cs="仿宋_GB2312"/>
          <w:color w:val="auto"/>
          <w:sz w:val="32"/>
          <w:szCs w:val="32"/>
        </w:rPr>
        <w:t>）。散煤替代二期工程，涉及</w:t>
      </w:r>
      <w:r>
        <w:rPr>
          <w:rFonts w:ascii="仿宋_GB2312" w:eastAsia="仿宋_GB2312" w:cs="仿宋_GB2312"/>
          <w:color w:val="auto"/>
          <w:sz w:val="32"/>
          <w:szCs w:val="32"/>
        </w:rPr>
        <w:t>2500</w:t>
      </w:r>
      <w:r>
        <w:rPr>
          <w:rFonts w:hint="eastAsia" w:ascii="仿宋_GB2312" w:eastAsia="仿宋_GB2312" w:cs="仿宋_GB2312"/>
          <w:color w:val="auto"/>
          <w:sz w:val="32"/>
          <w:szCs w:val="32"/>
        </w:rPr>
        <w:t>户散煤户，替代方式为“光热</w:t>
      </w:r>
      <w:r>
        <w:rPr>
          <w:rFonts w:ascii="仿宋_GB2312" w:eastAsia="仿宋_GB2312" w:cs="仿宋_GB2312"/>
          <w:color w:val="auto"/>
          <w:sz w:val="32"/>
          <w:szCs w:val="32"/>
        </w:rPr>
        <w:t>+</w:t>
      </w:r>
      <w:r>
        <w:rPr>
          <w:rFonts w:hint="eastAsia" w:ascii="仿宋_GB2312" w:eastAsia="仿宋_GB2312" w:cs="仿宋_GB2312"/>
          <w:color w:val="auto"/>
          <w:sz w:val="32"/>
          <w:szCs w:val="32"/>
        </w:rPr>
        <w:t>电”</w:t>
      </w:r>
      <w:r>
        <w:rPr>
          <w:rFonts w:ascii="仿宋_GB2312" w:eastAsia="仿宋_GB2312" w:cs="仿宋_GB2312"/>
          <w:color w:val="auto"/>
          <w:sz w:val="32"/>
          <w:szCs w:val="32"/>
        </w:rPr>
        <w:t>175</w:t>
      </w:r>
      <w:r>
        <w:rPr>
          <w:rFonts w:hint="eastAsia" w:ascii="仿宋_GB2312" w:eastAsia="仿宋_GB2312" w:cs="仿宋_GB2312"/>
          <w:color w:val="auto"/>
          <w:sz w:val="32"/>
          <w:szCs w:val="32"/>
        </w:rPr>
        <w:t>户（占比</w:t>
      </w:r>
      <w:r>
        <w:rPr>
          <w:rFonts w:ascii="仿宋_GB2312" w:eastAsia="仿宋_GB2312" w:cs="仿宋_GB2312"/>
          <w:color w:val="auto"/>
          <w:sz w:val="32"/>
          <w:szCs w:val="32"/>
        </w:rPr>
        <w:t>7%</w:t>
      </w:r>
      <w:r>
        <w:rPr>
          <w:rFonts w:hint="eastAsia" w:ascii="仿宋_GB2312" w:eastAsia="仿宋_GB2312" w:cs="仿宋_GB2312"/>
          <w:color w:val="auto"/>
          <w:sz w:val="32"/>
          <w:szCs w:val="32"/>
        </w:rPr>
        <w:t>）、“光热</w:t>
      </w:r>
      <w:r>
        <w:rPr>
          <w:rFonts w:ascii="仿宋_GB2312" w:eastAsia="仿宋_GB2312" w:cs="仿宋_GB2312"/>
          <w:color w:val="auto"/>
          <w:sz w:val="32"/>
          <w:szCs w:val="32"/>
        </w:rPr>
        <w:t>+</w:t>
      </w:r>
      <w:r>
        <w:rPr>
          <w:rFonts w:hint="eastAsia" w:ascii="仿宋_GB2312" w:eastAsia="仿宋_GB2312" w:cs="仿宋_GB2312"/>
          <w:color w:val="auto"/>
          <w:sz w:val="32"/>
          <w:szCs w:val="32"/>
        </w:rPr>
        <w:t>天然气”</w:t>
      </w:r>
      <w:r>
        <w:rPr>
          <w:rFonts w:ascii="仿宋_GB2312" w:eastAsia="仿宋_GB2312" w:cs="仿宋_GB2312"/>
          <w:color w:val="auto"/>
          <w:sz w:val="32"/>
          <w:szCs w:val="32"/>
        </w:rPr>
        <w:t>2250</w:t>
      </w:r>
      <w:r>
        <w:rPr>
          <w:rFonts w:hint="eastAsia" w:ascii="仿宋_GB2312" w:eastAsia="仿宋_GB2312" w:cs="仿宋_GB2312"/>
          <w:color w:val="auto"/>
          <w:sz w:val="32"/>
          <w:szCs w:val="32"/>
        </w:rPr>
        <w:t>户（占比</w:t>
      </w:r>
      <w:r>
        <w:rPr>
          <w:rFonts w:ascii="仿宋_GB2312" w:eastAsia="仿宋_GB2312" w:cs="仿宋_GB2312"/>
          <w:color w:val="auto"/>
          <w:sz w:val="32"/>
          <w:szCs w:val="32"/>
        </w:rPr>
        <w:t>90%</w:t>
      </w:r>
      <w:r>
        <w:rPr>
          <w:rFonts w:hint="eastAsia" w:ascii="仿宋_GB2312" w:eastAsia="仿宋_GB2312" w:cs="仿宋_GB2312"/>
          <w:color w:val="auto"/>
          <w:sz w:val="32"/>
          <w:szCs w:val="32"/>
        </w:rPr>
        <w:t>）。预计两期工程实施后，可以利用太阳能替代散煤取暖达到</w:t>
      </w:r>
      <w:r>
        <w:rPr>
          <w:rFonts w:ascii="仿宋_GB2312" w:eastAsia="仿宋_GB2312" w:cs="仿宋_GB2312"/>
          <w:color w:val="auto"/>
          <w:sz w:val="32"/>
          <w:szCs w:val="32"/>
        </w:rPr>
        <w:t>3</w:t>
      </w:r>
      <w:r>
        <w:rPr>
          <w:rFonts w:hint="eastAsia" w:ascii="仿宋_GB2312" w:eastAsia="仿宋_GB2312" w:cs="仿宋_GB2312"/>
          <w:color w:val="auto"/>
          <w:sz w:val="32"/>
          <w:szCs w:val="32"/>
        </w:rPr>
        <w:t>万吨标准煤。工程实施在综合利用太阳能、大量节约散煤资源的同时，将有利于减少大气污染物排放，改善城市环境质量。</w:t>
      </w:r>
    </w:p>
    <w:p>
      <w:pPr>
        <w:autoSpaceDE w:val="0"/>
        <w:autoSpaceDN w:val="0"/>
        <w:adjustRightInd w:val="0"/>
        <w:snapToGrid w:val="0"/>
        <w:spacing w:beforeLines="100" w:afterLines="100" w:line="360" w:lineRule="auto"/>
        <w:jc w:val="center"/>
        <w:outlineLvl w:val="0"/>
        <w:rPr>
          <w:rFonts w:ascii="黑体" w:hAnsi="黑体" w:eastAsia="黑体"/>
          <w:color w:val="auto"/>
          <w:sz w:val="32"/>
          <w:szCs w:val="32"/>
        </w:rPr>
      </w:pPr>
      <w:bookmarkStart w:id="18" w:name="_Toc63339701"/>
      <w:bookmarkStart w:id="19" w:name="_Toc86233320"/>
      <w:r>
        <w:rPr>
          <w:rFonts w:hint="eastAsia" w:ascii="黑体" w:hAnsi="黑体" w:eastAsia="黑体" w:cs="黑体"/>
          <w:color w:val="auto"/>
          <w:sz w:val="32"/>
          <w:szCs w:val="32"/>
        </w:rPr>
        <w:t>第二章</w:t>
      </w:r>
      <w:r>
        <w:rPr>
          <w:rFonts w:ascii="黑体" w:hAnsi="黑体" w:eastAsia="黑体" w:cs="黑体"/>
          <w:color w:val="auto"/>
          <w:sz w:val="32"/>
          <w:szCs w:val="32"/>
        </w:rPr>
        <w:t xml:space="preserve"> </w:t>
      </w:r>
      <w:bookmarkEnd w:id="18"/>
      <w:r>
        <w:rPr>
          <w:rFonts w:hint="eastAsia" w:ascii="黑体" w:hAnsi="黑体" w:eastAsia="黑体" w:cs="黑体"/>
          <w:color w:val="auto"/>
          <w:sz w:val="32"/>
          <w:szCs w:val="32"/>
        </w:rPr>
        <w:t>总体要求</w:t>
      </w:r>
      <w:bookmarkEnd w:id="19"/>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20" w:name="_Toc86233321"/>
      <w:bookmarkStart w:id="21" w:name="_Toc63339702"/>
      <w:r>
        <w:rPr>
          <w:rFonts w:hint="eastAsia" w:ascii="黑体" w:hAnsi="黑体" w:eastAsia="黑体" w:cs="黑体"/>
          <w:color w:val="auto"/>
          <w:sz w:val="32"/>
          <w:szCs w:val="32"/>
        </w:rPr>
        <w:t>一、指导思想</w:t>
      </w:r>
      <w:bookmarkEnd w:id="20"/>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以习近平新时代中国特色社会主义思想为指导，全面贯彻党的十九大和十九届二中、三中、四中、五中全会精神</w:t>
      </w:r>
      <w:r>
        <w:rPr>
          <w:rFonts w:hint="eastAsia" w:ascii="仿宋" w:hAnsi="仿宋" w:eastAsia="仿宋" w:cs="仿宋"/>
          <w:sz w:val="32"/>
          <w:szCs w:val="32"/>
        </w:rPr>
        <w:t>和习近平总书记在东北地区调研特别是在抚顺市考察时的讲话精神</w:t>
      </w:r>
      <w:r>
        <w:rPr>
          <w:rFonts w:hint="eastAsia" w:ascii="仿宋_GB2312" w:eastAsia="仿宋_GB2312" w:cs="仿宋_GB2312"/>
          <w:color w:val="auto"/>
          <w:sz w:val="32"/>
          <w:szCs w:val="32"/>
        </w:rPr>
        <w:t>，牢固树立创新、协调、绿色、开放、共享的发展理念，以“四个革命一个合作”能源安全新战略为指引，把握“</w:t>
      </w:r>
      <w:r>
        <w:rPr>
          <w:rFonts w:ascii="仿宋_GB2312" w:eastAsia="仿宋_GB2312" w:cs="仿宋_GB2312"/>
          <w:color w:val="auto"/>
          <w:sz w:val="32"/>
          <w:szCs w:val="32"/>
        </w:rPr>
        <w:t>2030</w:t>
      </w:r>
      <w:r>
        <w:rPr>
          <w:rFonts w:hint="eastAsia" w:ascii="仿宋_GB2312" w:eastAsia="仿宋_GB2312" w:cs="仿宋_GB2312"/>
          <w:color w:val="auto"/>
          <w:sz w:val="32"/>
          <w:szCs w:val="32"/>
        </w:rPr>
        <w:t>年碳达峰、</w:t>
      </w:r>
      <w:r>
        <w:rPr>
          <w:rFonts w:ascii="仿宋_GB2312" w:eastAsia="仿宋_GB2312" w:cs="仿宋_GB2312"/>
          <w:color w:val="auto"/>
          <w:sz w:val="32"/>
          <w:szCs w:val="32"/>
        </w:rPr>
        <w:t>2060</w:t>
      </w:r>
      <w:r>
        <w:rPr>
          <w:rFonts w:hint="eastAsia" w:ascii="仿宋_GB2312" w:eastAsia="仿宋_GB2312" w:cs="仿宋_GB2312"/>
          <w:color w:val="auto"/>
          <w:sz w:val="32"/>
          <w:szCs w:val="32"/>
        </w:rPr>
        <w:t>年碳中和”目标机遇，按照省委、省政府决策部署和市委、市政府在《抚顺市国民经济和社会发展第第十四个五年和</w:t>
      </w:r>
      <w:r>
        <w:rPr>
          <w:rFonts w:ascii="仿宋_GB2312" w:eastAsia="仿宋_GB2312" w:cs="仿宋_GB2312"/>
          <w:color w:val="auto"/>
          <w:sz w:val="32"/>
          <w:szCs w:val="32"/>
        </w:rPr>
        <w:t>2035</w:t>
      </w:r>
      <w:r>
        <w:rPr>
          <w:rFonts w:hint="eastAsia" w:ascii="仿宋_GB2312" w:eastAsia="仿宋_GB2312" w:cs="仿宋_GB2312"/>
          <w:color w:val="auto"/>
          <w:sz w:val="32"/>
          <w:szCs w:val="32"/>
        </w:rPr>
        <w:t>年远景目标刚要》中提出的建设“两大基地”、发展“六大产业”、推进“三个融合”、建设“五个抚顺”的总体思路，充分发挥抚顺市得天独厚的资源禀赋、区位要素、产业基础等优势，做大做强抽水蓄能、光伏发电两大优势产业，稳步发展生物质能产业，力争风电取得零的突破，加快布局储能、氢能两大未来产业，培育壮大输变配电、综合能源服务两大配套产业，积极推进创新应用示范，加速完善基础设施、科创服务两大体系，聚力推动新型清洁能源产业高质量发展，全面构建清洁低碳、安全高效的现代能源体系。</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22" w:name="_Toc63339703"/>
      <w:bookmarkStart w:id="23" w:name="_Toc86233322"/>
      <w:r>
        <w:rPr>
          <w:rFonts w:hint="eastAsia" w:ascii="黑体" w:hAnsi="黑体" w:eastAsia="黑体" w:cs="黑体"/>
          <w:color w:val="auto"/>
          <w:sz w:val="32"/>
          <w:szCs w:val="32"/>
        </w:rPr>
        <w:t>二、规划原则</w:t>
      </w:r>
      <w:bookmarkEnd w:id="22"/>
      <w:bookmarkEnd w:id="23"/>
    </w:p>
    <w:p>
      <w:pPr>
        <w:adjustRightInd w:val="0"/>
        <w:snapToGrid w:val="0"/>
        <w:spacing w:line="579" w:lineRule="exact"/>
        <w:ind w:firstLine="643" w:firstLineChars="200"/>
        <w:textAlignment w:val="center"/>
      </w:pPr>
      <w:r>
        <w:rPr>
          <w:rFonts w:hint="eastAsia" w:ascii="楷体" w:hAnsi="楷体" w:eastAsia="楷体" w:cs="楷体"/>
          <w:b/>
          <w:bCs/>
          <w:sz w:val="32"/>
          <w:szCs w:val="32"/>
        </w:rPr>
        <w:t>规模发展，保障安全。</w:t>
      </w:r>
      <w:r>
        <w:rPr>
          <w:rFonts w:hint="eastAsia" w:eastAsia="仿宋_GB2312" w:cs="仿宋_GB2312"/>
          <w:sz w:val="32"/>
          <w:szCs w:val="32"/>
        </w:rPr>
        <w:t>把扩大新型清洁能源利用规模，提高新型清洁能源电力消费占比作为重要引导性指标，充分发挥新型清洁能源资源分布广、产品形式多样的特点，推动新型清洁能源高质量发展，保障能源供应和安全。</w:t>
      </w:r>
    </w:p>
    <w:p>
      <w:pPr>
        <w:adjustRightInd w:val="0"/>
        <w:snapToGrid w:val="0"/>
        <w:spacing w:line="579" w:lineRule="exact"/>
        <w:ind w:firstLine="643" w:firstLineChars="200"/>
        <w:textAlignment w:val="center"/>
        <w:rPr>
          <w:b/>
          <w:bCs/>
        </w:rPr>
      </w:pPr>
      <w:r>
        <w:rPr>
          <w:rFonts w:hint="eastAsia" w:ascii="楷体" w:hAnsi="楷体" w:eastAsia="楷体" w:cs="楷体"/>
          <w:b/>
          <w:bCs/>
          <w:sz w:val="32"/>
          <w:szCs w:val="32"/>
        </w:rPr>
        <w:t>促进优化，生态和谐。</w:t>
      </w:r>
      <w:r>
        <w:rPr>
          <w:rFonts w:hint="eastAsia" w:eastAsia="仿宋_GB2312" w:cs="仿宋_GB2312"/>
          <w:sz w:val="32"/>
          <w:szCs w:val="32"/>
        </w:rPr>
        <w:t>把握生态文明建设要求，持续推进能源结构优化调整，大力发展新型清洁能源，逐步支撑能源碳达峰行动。推动新型清洁能源产业绿色发展，形成绿色能源消费机制，实现新型清洁能源与生态环境和谐共生，相互促进。</w:t>
      </w:r>
    </w:p>
    <w:p>
      <w:pPr>
        <w:adjustRightInd w:val="0"/>
        <w:snapToGrid w:val="0"/>
        <w:spacing w:line="550" w:lineRule="exact"/>
        <w:ind w:firstLine="643" w:firstLineChars="200"/>
        <w:textAlignment w:val="center"/>
        <w:rPr>
          <w:rFonts w:ascii="仿宋_GB2312" w:eastAsia="仿宋_GB2312" w:cs="仿宋_GB2312"/>
          <w:color w:val="auto"/>
          <w:sz w:val="32"/>
          <w:szCs w:val="32"/>
        </w:rPr>
      </w:pPr>
      <w:r>
        <w:rPr>
          <w:rFonts w:hint="eastAsia" w:ascii="楷体" w:hAnsi="楷体" w:eastAsia="楷体" w:cs="楷体"/>
          <w:b/>
          <w:bCs/>
          <w:sz w:val="32"/>
          <w:szCs w:val="32"/>
        </w:rPr>
        <w:t>创新引领、高端发展。</w:t>
      </w:r>
      <w:r>
        <w:rPr>
          <w:rFonts w:hint="eastAsia" w:ascii="仿宋_GB2312" w:eastAsia="仿宋_GB2312" w:cs="仿宋_GB2312"/>
          <w:color w:val="auto"/>
          <w:sz w:val="32"/>
          <w:szCs w:val="32"/>
        </w:rPr>
        <w:t>充分发挥比较优势，全面实施创新驱动，围绕产业链部署创新链，强化新型清洁能源前沿技术研究，</w:t>
      </w:r>
      <w:r>
        <w:rPr>
          <w:rFonts w:ascii="仿宋_GB2312" w:eastAsia="仿宋_GB2312" w:cs="仿宋_GB2312"/>
          <w:color w:val="auto"/>
          <w:sz w:val="32"/>
          <w:szCs w:val="32"/>
        </w:rPr>
        <w:t xml:space="preserve"> </w:t>
      </w:r>
      <w:r>
        <w:rPr>
          <w:rFonts w:hint="eastAsia" w:ascii="仿宋_GB2312" w:eastAsia="仿宋_GB2312" w:cs="仿宋_GB2312"/>
          <w:color w:val="auto"/>
          <w:sz w:val="32"/>
          <w:szCs w:val="32"/>
        </w:rPr>
        <w:t>加大产业科技成果转化应用力度，集聚创新要素，营造创新环境，增强自主创新能力，加强研发服务、人才培养等平台建设，</w:t>
      </w:r>
      <w:r>
        <w:rPr>
          <w:rFonts w:ascii="仿宋_GB2312" w:eastAsia="仿宋_GB2312" w:cs="仿宋_GB2312"/>
          <w:color w:val="auto"/>
          <w:sz w:val="32"/>
          <w:szCs w:val="32"/>
        </w:rPr>
        <w:t xml:space="preserve"> </w:t>
      </w:r>
      <w:r>
        <w:rPr>
          <w:rFonts w:hint="eastAsia" w:ascii="仿宋_GB2312" w:eastAsia="仿宋_GB2312" w:cs="仿宋_GB2312"/>
          <w:color w:val="auto"/>
          <w:sz w:val="32"/>
          <w:szCs w:val="32"/>
        </w:rPr>
        <w:t>持续提高产业发展质量与效益，推动产业向价值链高端拓展。</w:t>
      </w:r>
      <w:r>
        <w:rPr>
          <w:rFonts w:ascii="仿宋_GB2312" w:eastAsia="仿宋_GB2312" w:cs="仿宋_GB2312"/>
          <w:color w:val="auto"/>
          <w:sz w:val="32"/>
          <w:szCs w:val="32"/>
        </w:rPr>
        <w:t xml:space="preserve"> </w:t>
      </w:r>
    </w:p>
    <w:p>
      <w:pPr>
        <w:adjustRightInd w:val="0"/>
        <w:snapToGrid w:val="0"/>
        <w:spacing w:line="550" w:lineRule="exact"/>
        <w:ind w:firstLine="643" w:firstLineChars="200"/>
        <w:textAlignment w:val="center"/>
        <w:rPr>
          <w:rFonts w:ascii="仿宋_GB2312" w:eastAsia="仿宋_GB2312" w:cs="仿宋_GB2312"/>
          <w:color w:val="auto"/>
          <w:sz w:val="32"/>
          <w:szCs w:val="32"/>
        </w:rPr>
      </w:pPr>
      <w:r>
        <w:rPr>
          <w:rFonts w:hint="eastAsia" w:ascii="楷体" w:hAnsi="楷体" w:eastAsia="楷体" w:cs="楷体"/>
          <w:b/>
          <w:bCs/>
          <w:sz w:val="32"/>
          <w:szCs w:val="32"/>
        </w:rPr>
        <w:t>统筹协调、集聚发展。</w:t>
      </w:r>
      <w:r>
        <w:rPr>
          <w:rFonts w:hint="eastAsia" w:ascii="仿宋_GB2312" w:eastAsia="仿宋_GB2312" w:cs="仿宋_GB2312"/>
          <w:color w:val="auto"/>
          <w:sz w:val="32"/>
          <w:szCs w:val="32"/>
        </w:rPr>
        <w:t>按照区域联动发展、产业集聚集约发展的要求，统筹优化全市新型清洁能源产业布局，明确各园区定位，构建功能互补、良性循环、协同发展的产业空间体系。</w:t>
      </w:r>
      <w:r>
        <w:rPr>
          <w:rFonts w:ascii="仿宋_GB2312" w:eastAsia="仿宋_GB2312" w:cs="仿宋_GB2312"/>
          <w:color w:val="auto"/>
          <w:sz w:val="32"/>
          <w:szCs w:val="32"/>
        </w:rPr>
        <w:t xml:space="preserve"> </w:t>
      </w:r>
      <w:r>
        <w:rPr>
          <w:rFonts w:hint="eastAsia" w:ascii="仿宋_GB2312" w:eastAsia="仿宋_GB2312" w:cs="仿宋_GB2312"/>
          <w:color w:val="auto"/>
          <w:sz w:val="32"/>
          <w:szCs w:val="32"/>
        </w:rPr>
        <w:t>强化资源要素集聚，打造企业集聚、要素完善、协作紧密的新型清洁能源产业集群。</w:t>
      </w:r>
      <w:r>
        <w:rPr>
          <w:rFonts w:ascii="仿宋_GB2312" w:eastAsia="仿宋_GB2312" w:cs="仿宋_GB2312"/>
          <w:color w:val="auto"/>
          <w:sz w:val="32"/>
          <w:szCs w:val="32"/>
        </w:rPr>
        <w:t xml:space="preserve"> </w:t>
      </w:r>
    </w:p>
    <w:p>
      <w:pPr>
        <w:adjustRightInd w:val="0"/>
        <w:snapToGrid w:val="0"/>
        <w:spacing w:line="550" w:lineRule="exact"/>
        <w:ind w:firstLine="643" w:firstLineChars="200"/>
        <w:textAlignment w:val="center"/>
        <w:rPr>
          <w:rFonts w:ascii="仿宋_GB2312" w:eastAsia="仿宋_GB2312" w:cs="仿宋_GB2312"/>
          <w:color w:val="auto"/>
          <w:sz w:val="32"/>
          <w:szCs w:val="32"/>
        </w:rPr>
      </w:pPr>
      <w:r>
        <w:rPr>
          <w:rFonts w:hint="eastAsia" w:ascii="楷体" w:hAnsi="楷体" w:eastAsia="楷体" w:cs="楷体"/>
          <w:b/>
          <w:bCs/>
          <w:sz w:val="32"/>
          <w:szCs w:val="32"/>
        </w:rPr>
        <w:t>因地制宜、多元发展。</w:t>
      </w:r>
      <w:r>
        <w:rPr>
          <w:rFonts w:hint="eastAsia" w:ascii="仿宋_GB2312" w:eastAsia="仿宋_GB2312" w:cs="仿宋_GB2312"/>
          <w:color w:val="auto"/>
          <w:sz w:val="32"/>
          <w:szCs w:val="32"/>
        </w:rPr>
        <w:t>根据各区域资源条件，推进新型清洁能源创新应用示范，促进风电、光伏、生物质能、储能、氢能等各类新型清洁能源综合开发。推动新型清洁能源与农业、渔业、交通、建筑等不同产业的深度融合发展，不断拓展应用场景，实现新型清洁能源发展的多元化。</w:t>
      </w:r>
      <w:r>
        <w:rPr>
          <w:rFonts w:ascii="仿宋_GB2312" w:eastAsia="仿宋_GB2312" w:cs="仿宋_GB2312"/>
          <w:color w:val="auto"/>
          <w:sz w:val="32"/>
          <w:szCs w:val="32"/>
        </w:rPr>
        <w:t xml:space="preserve"> </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24" w:name="_Toc86233323"/>
      <w:r>
        <w:rPr>
          <w:rFonts w:hint="eastAsia" w:ascii="黑体" w:hAnsi="黑体" w:eastAsia="黑体" w:cs="黑体"/>
          <w:color w:val="auto"/>
          <w:sz w:val="32"/>
          <w:szCs w:val="32"/>
        </w:rPr>
        <w:t>三、发展目标</w:t>
      </w:r>
      <w:bookmarkEnd w:id="24"/>
    </w:p>
    <w:bookmarkEnd w:id="21"/>
    <w:p>
      <w:pPr>
        <w:pStyle w:val="2"/>
        <w:ind w:firstLine="643" w:firstLineChars="200"/>
        <w:rPr>
          <w:rFonts w:cs="Times New Roman"/>
        </w:rPr>
      </w:pPr>
      <w:r>
        <w:rPr>
          <w:rFonts w:ascii="楷体" w:hAnsi="楷体" w:eastAsia="楷体" w:cs="楷体"/>
          <w:b/>
          <w:bCs/>
          <w:sz w:val="32"/>
          <w:szCs w:val="32"/>
        </w:rPr>
        <w:t>2035</w:t>
      </w:r>
      <w:r>
        <w:rPr>
          <w:rFonts w:hint="eastAsia" w:ascii="楷体" w:hAnsi="楷体" w:eastAsia="楷体" w:cs="楷体"/>
          <w:b/>
          <w:bCs/>
          <w:sz w:val="32"/>
          <w:szCs w:val="32"/>
        </w:rPr>
        <w:t>年远景目标。</w:t>
      </w:r>
      <w:r>
        <w:rPr>
          <w:rFonts w:hint="eastAsia" w:ascii="Times New Roman"/>
          <w:sz w:val="32"/>
          <w:szCs w:val="32"/>
        </w:rPr>
        <w:t>绿色抚顺建设达到更高水平，广泛形成绿色生产生活方式，碳排放达峰后稳中有降，生态环境根本好转，新型清洁能源产业成为重要支柱产业，优化创新生态，致力打造新型清洁能源创新示范城市，成为国内新型清洁能源产业创新策源地和先行区。</w:t>
      </w:r>
    </w:p>
    <w:p>
      <w:pPr>
        <w:snapToGrid w:val="0"/>
        <w:spacing w:line="550" w:lineRule="exact"/>
        <w:ind w:firstLine="643" w:firstLineChars="200"/>
        <w:rPr>
          <w:rFonts w:ascii="仿宋" w:hAnsi="仿宋" w:eastAsia="仿宋_GB2312"/>
          <w:color w:val="auto"/>
          <w:sz w:val="32"/>
          <w:szCs w:val="32"/>
        </w:rPr>
      </w:pPr>
      <w:r>
        <w:rPr>
          <w:rFonts w:hint="eastAsia" w:ascii="楷体" w:hAnsi="楷体" w:eastAsia="楷体" w:cs="楷体"/>
          <w:b/>
          <w:bCs/>
          <w:sz w:val="32"/>
          <w:szCs w:val="32"/>
        </w:rPr>
        <w:t>“十四五”时期发展目标。</w:t>
      </w:r>
      <w:r>
        <w:rPr>
          <w:rFonts w:hint="eastAsia" w:ascii="仿宋" w:hAnsi="仿宋" w:eastAsia="仿宋_GB2312" w:cs="仿宋_GB2312"/>
          <w:color w:val="auto"/>
          <w:sz w:val="32"/>
          <w:szCs w:val="32"/>
        </w:rPr>
        <w:t>锚定</w:t>
      </w:r>
      <w:r>
        <w:rPr>
          <w:rFonts w:ascii="仿宋" w:hAnsi="仿宋" w:eastAsia="仿宋_GB2312" w:cs="仿宋"/>
          <w:color w:val="auto"/>
          <w:sz w:val="32"/>
          <w:szCs w:val="32"/>
        </w:rPr>
        <w:t>2035</w:t>
      </w:r>
      <w:r>
        <w:rPr>
          <w:rFonts w:hint="eastAsia" w:ascii="仿宋" w:hAnsi="仿宋" w:eastAsia="仿宋_GB2312" w:cs="仿宋_GB2312"/>
          <w:color w:val="auto"/>
          <w:sz w:val="32"/>
          <w:szCs w:val="32"/>
        </w:rPr>
        <w:t>年远景目标。新型清洁能源产业发展全面提升、龙头企业加快培育、产业链条自主可控、创新能力显著增强、服务体系健全完善；新型清洁能源开发规模不断提升，能源结构持续优化；新型清洁能源消纳水平显著提高，初步构建以新型清洁能源为主体的新型电力系统和能源供应系统，推动高质量发展迈出新步伐、取得新成效。</w:t>
      </w:r>
    </w:p>
    <w:p>
      <w:pPr>
        <w:pStyle w:val="5"/>
        <w:spacing w:beforeLines="50" w:afterLines="50" w:line="600" w:lineRule="exact"/>
        <w:ind w:firstLine="643" w:firstLineChars="200"/>
        <w:jc w:val="both"/>
        <w:rPr>
          <w:rFonts w:ascii="楷体" w:hAnsi="楷体" w:eastAsia="楷体"/>
          <w:color w:val="auto"/>
          <w:sz w:val="32"/>
          <w:szCs w:val="32"/>
        </w:rPr>
      </w:pPr>
      <w:r>
        <w:rPr>
          <w:rFonts w:hint="eastAsia" w:ascii="楷体" w:hAnsi="楷体" w:eastAsia="楷体" w:cs="楷体"/>
          <w:color w:val="auto"/>
          <w:sz w:val="32"/>
          <w:szCs w:val="32"/>
        </w:rPr>
        <w:t>（一）能源结构实现新优化</w:t>
      </w:r>
    </w:p>
    <w:p>
      <w:pPr>
        <w:snapToGrid w:val="0"/>
        <w:spacing w:line="550" w:lineRule="exact"/>
        <w:ind w:firstLine="640" w:firstLineChars="200"/>
      </w:pPr>
      <w:r>
        <w:rPr>
          <w:rFonts w:hint="eastAsia" w:eastAsia="仿宋_GB2312" w:cs="仿宋_GB2312"/>
          <w:sz w:val="32"/>
          <w:szCs w:val="32"/>
        </w:rPr>
        <w:t>大力发展抽水蓄能、光伏；因地制宜高质量发展生物质能、风能、氢能等。到</w:t>
      </w:r>
      <w:r>
        <w:rPr>
          <w:rFonts w:eastAsia="仿宋_GB2312"/>
          <w:sz w:val="32"/>
          <w:szCs w:val="32"/>
        </w:rPr>
        <w:t>2025</w:t>
      </w:r>
      <w:r>
        <w:rPr>
          <w:rFonts w:hint="eastAsia" w:eastAsia="仿宋_GB2312" w:cs="仿宋_GB2312"/>
          <w:sz w:val="32"/>
          <w:szCs w:val="32"/>
        </w:rPr>
        <w:t>年底，新型清洁能源装机超过</w:t>
      </w:r>
      <w:r>
        <w:rPr>
          <w:rFonts w:eastAsia="仿宋_GB2312"/>
          <w:sz w:val="32"/>
          <w:szCs w:val="32"/>
        </w:rPr>
        <w:t>804.04</w:t>
      </w:r>
      <w:r>
        <w:rPr>
          <w:rFonts w:hint="eastAsia" w:eastAsia="仿宋_GB2312" w:cs="仿宋_GB2312"/>
          <w:sz w:val="32"/>
          <w:szCs w:val="32"/>
        </w:rPr>
        <w:t>万千瓦（含在建）。我市</w:t>
      </w:r>
      <w:r>
        <w:rPr>
          <w:rFonts w:eastAsia="仿宋_GB2312"/>
          <w:sz w:val="32"/>
          <w:szCs w:val="32"/>
        </w:rPr>
        <w:t>“</w:t>
      </w:r>
      <w:r>
        <w:rPr>
          <w:rFonts w:hint="eastAsia" w:eastAsia="仿宋_GB2312" w:cs="仿宋_GB2312"/>
          <w:sz w:val="32"/>
          <w:szCs w:val="32"/>
        </w:rPr>
        <w:t>十四五</w:t>
      </w:r>
      <w:r>
        <w:rPr>
          <w:rFonts w:eastAsia="仿宋_GB2312"/>
          <w:sz w:val="32"/>
          <w:szCs w:val="32"/>
        </w:rPr>
        <w:t>”</w:t>
      </w:r>
      <w:r>
        <w:rPr>
          <w:rFonts w:hint="eastAsia" w:eastAsia="仿宋_GB2312" w:cs="仿宋_GB2312"/>
          <w:sz w:val="32"/>
          <w:szCs w:val="32"/>
        </w:rPr>
        <w:t>主要新型清洁能源品种发展目标如下：</w:t>
      </w:r>
    </w:p>
    <w:p>
      <w:pPr>
        <w:adjustRightInd w:val="0"/>
        <w:snapToGrid w:val="0"/>
        <w:spacing w:line="550" w:lineRule="exact"/>
        <w:ind w:firstLine="640" w:firstLineChars="200"/>
        <w:textAlignment w:val="center"/>
        <w:rPr>
          <w:rFonts w:eastAsia="仿宋_GB2312"/>
          <w:sz w:val="32"/>
          <w:szCs w:val="32"/>
        </w:rPr>
      </w:pPr>
      <w:r>
        <w:rPr>
          <w:rFonts w:hint="eastAsia" w:eastAsia="仿宋_GB2312" w:cs="仿宋_GB2312"/>
          <w:sz w:val="32"/>
          <w:szCs w:val="32"/>
        </w:rPr>
        <w:t>（</w:t>
      </w:r>
      <w:r>
        <w:rPr>
          <w:rFonts w:eastAsia="仿宋_GB2312"/>
          <w:sz w:val="32"/>
          <w:szCs w:val="32"/>
        </w:rPr>
        <w:t>1</w:t>
      </w:r>
      <w:r>
        <w:rPr>
          <w:rFonts w:hint="eastAsia" w:eastAsia="仿宋_GB2312" w:cs="仿宋_GB2312"/>
          <w:sz w:val="32"/>
          <w:szCs w:val="32"/>
        </w:rPr>
        <w:t>）抽水蓄能</w:t>
      </w:r>
    </w:p>
    <w:p>
      <w:pPr>
        <w:adjustRightInd w:val="0"/>
        <w:snapToGrid w:val="0"/>
        <w:spacing w:line="550" w:lineRule="exact"/>
        <w:ind w:firstLine="640" w:firstLineChars="200"/>
        <w:textAlignment w:val="center"/>
      </w:pPr>
      <w:r>
        <w:rPr>
          <w:rFonts w:hint="eastAsia" w:eastAsia="仿宋_GB2312" w:cs="仿宋_GB2312"/>
          <w:sz w:val="32"/>
          <w:szCs w:val="32"/>
        </w:rPr>
        <w:t>到</w:t>
      </w:r>
      <w:r>
        <w:rPr>
          <w:rFonts w:eastAsia="仿宋_GB2312"/>
          <w:sz w:val="32"/>
          <w:szCs w:val="32"/>
        </w:rPr>
        <w:t>“</w:t>
      </w:r>
      <w:r>
        <w:rPr>
          <w:rFonts w:hint="eastAsia" w:eastAsia="仿宋_GB2312" w:cs="仿宋_GB2312"/>
          <w:sz w:val="32"/>
          <w:szCs w:val="32"/>
        </w:rPr>
        <w:t>十四五</w:t>
      </w:r>
      <w:r>
        <w:rPr>
          <w:rFonts w:eastAsia="仿宋_GB2312"/>
          <w:sz w:val="32"/>
          <w:szCs w:val="32"/>
        </w:rPr>
        <w:t>”</w:t>
      </w:r>
      <w:r>
        <w:rPr>
          <w:rFonts w:hint="eastAsia" w:eastAsia="仿宋_GB2312" w:cs="仿宋_GB2312"/>
          <w:sz w:val="32"/>
          <w:szCs w:val="32"/>
        </w:rPr>
        <w:t>末，力争我市抽水蓄能装机达到</w:t>
      </w:r>
      <w:r>
        <w:rPr>
          <w:rFonts w:eastAsia="仿宋_GB2312"/>
          <w:sz w:val="32"/>
          <w:szCs w:val="32"/>
        </w:rPr>
        <w:t>180</w:t>
      </w:r>
      <w:r>
        <w:rPr>
          <w:rFonts w:hint="eastAsia" w:eastAsia="仿宋_GB2312" w:cs="仿宋_GB2312"/>
          <w:sz w:val="32"/>
          <w:szCs w:val="32"/>
        </w:rPr>
        <w:t>万千瓦以上，新增装机在</w:t>
      </w:r>
      <w:r>
        <w:rPr>
          <w:rFonts w:eastAsia="仿宋_GB2312"/>
          <w:sz w:val="32"/>
          <w:szCs w:val="32"/>
        </w:rPr>
        <w:t>120</w:t>
      </w:r>
      <w:r>
        <w:rPr>
          <w:rFonts w:hint="eastAsia" w:eastAsia="仿宋_GB2312" w:cs="仿宋_GB2312"/>
          <w:sz w:val="32"/>
          <w:szCs w:val="32"/>
        </w:rPr>
        <w:t>万千瓦以上，新开工装机</w:t>
      </w:r>
      <w:r>
        <w:rPr>
          <w:rFonts w:eastAsia="仿宋_GB2312"/>
          <w:sz w:val="32"/>
          <w:szCs w:val="32"/>
        </w:rPr>
        <w:t>100</w:t>
      </w:r>
      <w:r>
        <w:rPr>
          <w:rFonts w:hint="eastAsia" w:eastAsia="仿宋_GB2312" w:cs="仿宋_GB2312"/>
          <w:sz w:val="32"/>
          <w:szCs w:val="32"/>
        </w:rPr>
        <w:t>万千瓦以上。</w:t>
      </w:r>
    </w:p>
    <w:p>
      <w:pPr>
        <w:adjustRightInd w:val="0"/>
        <w:snapToGrid w:val="0"/>
        <w:spacing w:line="550" w:lineRule="exact"/>
        <w:ind w:firstLine="640" w:firstLineChars="200"/>
        <w:textAlignment w:val="center"/>
        <w:rPr>
          <w:rFonts w:eastAsia="仿宋_GB2312"/>
          <w:sz w:val="32"/>
          <w:szCs w:val="32"/>
        </w:rPr>
      </w:pPr>
      <w:r>
        <w:rPr>
          <w:rFonts w:hint="eastAsia" w:eastAsia="仿宋_GB2312" w:cs="仿宋_GB2312"/>
          <w:sz w:val="32"/>
          <w:szCs w:val="32"/>
        </w:rPr>
        <w:t>（</w:t>
      </w:r>
      <w:r>
        <w:rPr>
          <w:rFonts w:eastAsia="仿宋_GB2312"/>
          <w:sz w:val="32"/>
          <w:szCs w:val="32"/>
        </w:rPr>
        <w:t>2</w:t>
      </w:r>
      <w:r>
        <w:rPr>
          <w:rFonts w:hint="eastAsia" w:eastAsia="仿宋_GB2312" w:cs="仿宋_GB2312"/>
          <w:sz w:val="32"/>
          <w:szCs w:val="32"/>
        </w:rPr>
        <w:t>）光伏</w:t>
      </w:r>
    </w:p>
    <w:p>
      <w:pPr>
        <w:adjustRightInd w:val="0"/>
        <w:snapToGrid w:val="0"/>
        <w:spacing w:line="550" w:lineRule="exact"/>
        <w:ind w:firstLine="640" w:firstLineChars="200"/>
        <w:textAlignment w:val="center"/>
      </w:pPr>
      <w:r>
        <w:rPr>
          <w:rFonts w:hint="eastAsia" w:eastAsia="仿宋_GB2312" w:cs="仿宋_GB2312"/>
          <w:sz w:val="32"/>
          <w:szCs w:val="32"/>
        </w:rPr>
        <w:t>到</w:t>
      </w:r>
      <w:r>
        <w:rPr>
          <w:rFonts w:eastAsia="仿宋_GB2312"/>
          <w:sz w:val="32"/>
          <w:szCs w:val="32"/>
        </w:rPr>
        <w:t>“</w:t>
      </w:r>
      <w:r>
        <w:rPr>
          <w:rFonts w:hint="eastAsia" w:eastAsia="仿宋_GB2312" w:cs="仿宋_GB2312"/>
          <w:sz w:val="32"/>
          <w:szCs w:val="32"/>
        </w:rPr>
        <w:t>十四五</w:t>
      </w:r>
      <w:r>
        <w:rPr>
          <w:rFonts w:eastAsia="仿宋_GB2312"/>
          <w:sz w:val="32"/>
          <w:szCs w:val="32"/>
        </w:rPr>
        <w:t>”</w:t>
      </w:r>
      <w:r>
        <w:rPr>
          <w:rFonts w:hint="eastAsia" w:eastAsia="仿宋_GB2312" w:cs="仿宋_GB2312"/>
          <w:sz w:val="32"/>
          <w:szCs w:val="32"/>
        </w:rPr>
        <w:t>末，力争我市光伏装机达到</w:t>
      </w:r>
      <w:r>
        <w:rPr>
          <w:rFonts w:eastAsia="仿宋_GB2312"/>
          <w:sz w:val="32"/>
          <w:szCs w:val="32"/>
        </w:rPr>
        <w:t>185.38</w:t>
      </w:r>
      <w:r>
        <w:rPr>
          <w:rFonts w:hint="eastAsia" w:eastAsia="仿宋_GB2312" w:cs="仿宋_GB2312"/>
          <w:sz w:val="32"/>
          <w:szCs w:val="32"/>
        </w:rPr>
        <w:t>万千瓦以上（含在建），新增装机在</w:t>
      </w:r>
      <w:r>
        <w:rPr>
          <w:rFonts w:eastAsia="仿宋_GB2312"/>
          <w:sz w:val="32"/>
          <w:szCs w:val="32"/>
        </w:rPr>
        <w:t>178.2</w:t>
      </w:r>
      <w:r>
        <w:rPr>
          <w:rFonts w:hint="eastAsia" w:eastAsia="仿宋_GB2312" w:cs="仿宋_GB2312"/>
          <w:sz w:val="32"/>
          <w:szCs w:val="32"/>
        </w:rPr>
        <w:t>万千瓦以上，其中集中式光伏新增装机超过</w:t>
      </w:r>
      <w:r>
        <w:rPr>
          <w:rFonts w:eastAsia="仿宋_GB2312"/>
          <w:sz w:val="32"/>
          <w:szCs w:val="32"/>
        </w:rPr>
        <w:t>174</w:t>
      </w:r>
      <w:r>
        <w:rPr>
          <w:rFonts w:hint="eastAsia" w:eastAsia="仿宋_GB2312" w:cs="仿宋_GB2312"/>
          <w:sz w:val="32"/>
          <w:szCs w:val="32"/>
        </w:rPr>
        <w:t>万千瓦，分布式光伏新增装机</w:t>
      </w:r>
      <w:r>
        <w:rPr>
          <w:rFonts w:eastAsia="仿宋_GB2312"/>
          <w:sz w:val="32"/>
          <w:szCs w:val="32"/>
        </w:rPr>
        <w:t>4.2</w:t>
      </w:r>
      <w:r>
        <w:rPr>
          <w:rFonts w:hint="eastAsia" w:eastAsia="仿宋_GB2312" w:cs="仿宋_GB2312"/>
          <w:sz w:val="32"/>
          <w:szCs w:val="32"/>
        </w:rPr>
        <w:t>万千瓦。</w:t>
      </w:r>
    </w:p>
    <w:p>
      <w:pPr>
        <w:adjustRightInd w:val="0"/>
        <w:snapToGrid w:val="0"/>
        <w:spacing w:line="550" w:lineRule="exact"/>
        <w:ind w:firstLine="640" w:firstLineChars="200"/>
        <w:textAlignment w:val="center"/>
        <w:rPr>
          <w:rFonts w:eastAsia="仿宋_GB2312"/>
          <w:sz w:val="32"/>
          <w:szCs w:val="32"/>
        </w:rPr>
      </w:pPr>
      <w:r>
        <w:rPr>
          <w:rFonts w:hint="eastAsia" w:eastAsia="仿宋_GB2312" w:cs="仿宋_GB2312"/>
          <w:sz w:val="32"/>
          <w:szCs w:val="32"/>
        </w:rPr>
        <w:t>（</w:t>
      </w:r>
      <w:r>
        <w:rPr>
          <w:rFonts w:eastAsia="仿宋_GB2312"/>
          <w:sz w:val="32"/>
          <w:szCs w:val="32"/>
        </w:rPr>
        <w:t>3</w:t>
      </w:r>
      <w:r>
        <w:rPr>
          <w:rFonts w:hint="eastAsia" w:eastAsia="仿宋_GB2312" w:cs="仿宋_GB2312"/>
          <w:sz w:val="32"/>
          <w:szCs w:val="32"/>
        </w:rPr>
        <w:t>）生物质</w:t>
      </w:r>
    </w:p>
    <w:p>
      <w:pPr>
        <w:adjustRightInd w:val="0"/>
        <w:snapToGrid w:val="0"/>
        <w:spacing w:line="550" w:lineRule="exact"/>
        <w:ind w:right="-342" w:rightChars="-163" w:firstLine="640" w:firstLineChars="200"/>
        <w:textAlignment w:val="center"/>
        <w:rPr>
          <w:rFonts w:eastAsia="仿宋_GB2312"/>
          <w:sz w:val="32"/>
          <w:szCs w:val="32"/>
        </w:rPr>
      </w:pPr>
      <w:r>
        <w:rPr>
          <w:rFonts w:hint="eastAsia" w:eastAsia="仿宋_GB2312" w:cs="仿宋_GB2312"/>
          <w:sz w:val="32"/>
          <w:szCs w:val="32"/>
        </w:rPr>
        <w:t>到</w:t>
      </w:r>
      <w:r>
        <w:rPr>
          <w:rFonts w:eastAsia="仿宋_GB2312"/>
          <w:sz w:val="32"/>
          <w:szCs w:val="32"/>
        </w:rPr>
        <w:t>“</w:t>
      </w:r>
      <w:r>
        <w:rPr>
          <w:rFonts w:hint="eastAsia" w:eastAsia="仿宋_GB2312" w:cs="仿宋_GB2312"/>
          <w:sz w:val="32"/>
          <w:szCs w:val="32"/>
        </w:rPr>
        <w:t>十四五</w:t>
      </w:r>
      <w:r>
        <w:rPr>
          <w:rFonts w:eastAsia="仿宋_GB2312"/>
          <w:sz w:val="32"/>
          <w:szCs w:val="32"/>
        </w:rPr>
        <w:t>”</w:t>
      </w:r>
      <w:r>
        <w:rPr>
          <w:rFonts w:hint="eastAsia" w:eastAsia="仿宋_GB2312" w:cs="仿宋_GB2312"/>
          <w:sz w:val="32"/>
          <w:szCs w:val="32"/>
        </w:rPr>
        <w:t>末，力争我市生物质装机达到</w:t>
      </w:r>
      <w:r>
        <w:rPr>
          <w:rFonts w:eastAsia="仿宋_GB2312"/>
          <w:sz w:val="32"/>
          <w:szCs w:val="32"/>
        </w:rPr>
        <w:t>15.8</w:t>
      </w:r>
      <w:r>
        <w:rPr>
          <w:rFonts w:hint="eastAsia" w:eastAsia="仿宋_GB2312" w:cs="仿宋_GB2312"/>
          <w:sz w:val="32"/>
          <w:szCs w:val="32"/>
        </w:rPr>
        <w:t>万千瓦以上，</w:t>
      </w:r>
      <w:r>
        <w:rPr>
          <w:rFonts w:hint="eastAsia" w:ascii="仿宋_GB2312" w:eastAsia="仿宋_GB2312" w:cs="仿宋_GB2312"/>
          <w:color w:val="auto"/>
          <w:sz w:val="32"/>
          <w:szCs w:val="32"/>
        </w:rPr>
        <w:t>在建装机</w:t>
      </w:r>
      <w:r>
        <w:rPr>
          <w:rFonts w:ascii="仿宋_GB2312" w:eastAsia="仿宋_GB2312" w:cs="仿宋_GB2312"/>
          <w:color w:val="auto"/>
          <w:sz w:val="32"/>
          <w:szCs w:val="32"/>
        </w:rPr>
        <w:t>7</w:t>
      </w:r>
      <w:r>
        <w:rPr>
          <w:rFonts w:hint="eastAsia" w:ascii="仿宋_GB2312" w:eastAsia="仿宋_GB2312" w:cs="仿宋_GB2312"/>
          <w:color w:val="auto"/>
          <w:sz w:val="32"/>
          <w:szCs w:val="32"/>
        </w:rPr>
        <w:t>万千瓦（</w:t>
      </w:r>
      <w:r>
        <w:rPr>
          <w:rFonts w:hint="eastAsia" w:eastAsia="仿宋_GB2312" w:cs="仿宋_GB2312"/>
          <w:sz w:val="32"/>
          <w:szCs w:val="32"/>
        </w:rPr>
        <w:t>垃圾发电</w:t>
      </w:r>
      <w:r>
        <w:rPr>
          <w:rFonts w:eastAsia="仿宋_GB2312"/>
          <w:sz w:val="32"/>
          <w:szCs w:val="32"/>
        </w:rPr>
        <w:t>3</w:t>
      </w:r>
      <w:r>
        <w:rPr>
          <w:rFonts w:hint="eastAsia" w:ascii="仿宋_GB2312" w:eastAsia="仿宋_GB2312" w:cs="仿宋_GB2312"/>
          <w:color w:val="auto"/>
          <w:sz w:val="32"/>
          <w:szCs w:val="32"/>
        </w:rPr>
        <w:t>万千瓦），</w:t>
      </w:r>
      <w:r>
        <w:rPr>
          <w:rFonts w:hint="eastAsia" w:eastAsia="仿宋_GB2312" w:cs="仿宋_GB2312"/>
          <w:sz w:val="32"/>
          <w:szCs w:val="32"/>
        </w:rPr>
        <w:t>新增装机在</w:t>
      </w:r>
      <w:r>
        <w:rPr>
          <w:rFonts w:eastAsia="仿宋_GB2312"/>
          <w:sz w:val="32"/>
          <w:szCs w:val="32"/>
        </w:rPr>
        <w:t>8.8</w:t>
      </w:r>
      <w:r>
        <w:rPr>
          <w:rFonts w:hint="eastAsia" w:eastAsia="仿宋_GB2312" w:cs="仿宋_GB2312"/>
          <w:sz w:val="32"/>
          <w:szCs w:val="32"/>
        </w:rPr>
        <w:t>万千瓦以上。</w:t>
      </w:r>
    </w:p>
    <w:p>
      <w:pPr>
        <w:adjustRightInd w:val="0"/>
        <w:snapToGrid w:val="0"/>
        <w:spacing w:line="550" w:lineRule="exact"/>
        <w:ind w:firstLine="640" w:firstLineChars="200"/>
        <w:textAlignment w:val="center"/>
        <w:rPr>
          <w:rFonts w:eastAsia="仿宋_GB2312"/>
          <w:sz w:val="32"/>
          <w:szCs w:val="32"/>
        </w:rPr>
      </w:pPr>
      <w:r>
        <w:rPr>
          <w:rFonts w:hint="eastAsia" w:eastAsia="仿宋_GB2312" w:cs="仿宋_GB2312"/>
          <w:sz w:val="32"/>
          <w:szCs w:val="32"/>
        </w:rPr>
        <w:t>（</w:t>
      </w:r>
      <w:r>
        <w:rPr>
          <w:rFonts w:eastAsia="仿宋_GB2312"/>
          <w:sz w:val="32"/>
          <w:szCs w:val="32"/>
        </w:rPr>
        <w:t>4</w:t>
      </w:r>
      <w:r>
        <w:rPr>
          <w:rFonts w:hint="eastAsia" w:eastAsia="仿宋_GB2312" w:cs="仿宋_GB2312"/>
          <w:sz w:val="32"/>
          <w:szCs w:val="32"/>
        </w:rPr>
        <w:t>）风电</w:t>
      </w:r>
    </w:p>
    <w:p>
      <w:pPr>
        <w:adjustRightInd w:val="0"/>
        <w:snapToGrid w:val="0"/>
        <w:spacing w:line="550" w:lineRule="exact"/>
        <w:ind w:firstLine="640" w:firstLineChars="200"/>
        <w:textAlignment w:val="center"/>
        <w:rPr>
          <w:rFonts w:eastAsia="仿宋_GB2312"/>
          <w:sz w:val="32"/>
          <w:szCs w:val="32"/>
        </w:rPr>
      </w:pPr>
      <w:r>
        <w:rPr>
          <w:rFonts w:hint="eastAsia" w:eastAsia="仿宋_GB2312" w:cs="仿宋_GB2312"/>
          <w:sz w:val="32"/>
          <w:szCs w:val="32"/>
        </w:rPr>
        <w:t>到</w:t>
      </w:r>
      <w:r>
        <w:rPr>
          <w:rFonts w:eastAsia="仿宋_GB2312"/>
          <w:sz w:val="32"/>
          <w:szCs w:val="32"/>
        </w:rPr>
        <w:t>“</w:t>
      </w:r>
      <w:r>
        <w:rPr>
          <w:rFonts w:hint="eastAsia" w:eastAsia="仿宋_GB2312" w:cs="仿宋_GB2312"/>
          <w:sz w:val="32"/>
          <w:szCs w:val="32"/>
        </w:rPr>
        <w:t>十四五</w:t>
      </w:r>
      <w:r>
        <w:rPr>
          <w:rFonts w:eastAsia="仿宋_GB2312"/>
          <w:sz w:val="32"/>
          <w:szCs w:val="32"/>
        </w:rPr>
        <w:t>”</w:t>
      </w:r>
      <w:r>
        <w:rPr>
          <w:rFonts w:hint="eastAsia" w:eastAsia="仿宋_GB2312" w:cs="仿宋_GB2312"/>
          <w:sz w:val="32"/>
          <w:szCs w:val="32"/>
        </w:rPr>
        <w:t>末，力争我市风电装机达到</w:t>
      </w:r>
      <w:r>
        <w:rPr>
          <w:rFonts w:eastAsia="仿宋_GB2312"/>
          <w:sz w:val="32"/>
          <w:szCs w:val="32"/>
        </w:rPr>
        <w:t>100</w:t>
      </w:r>
      <w:r>
        <w:rPr>
          <w:rFonts w:hint="eastAsia" w:eastAsia="仿宋_GB2312" w:cs="仿宋_GB2312"/>
          <w:sz w:val="32"/>
          <w:szCs w:val="32"/>
        </w:rPr>
        <w:t>万千瓦以上（含在建），填补风电产业空白。</w:t>
      </w:r>
    </w:p>
    <w:p>
      <w:pPr>
        <w:adjustRightInd w:val="0"/>
        <w:snapToGrid w:val="0"/>
        <w:spacing w:line="550" w:lineRule="exact"/>
        <w:ind w:firstLine="640" w:firstLineChars="200"/>
        <w:textAlignment w:val="center"/>
        <w:rPr>
          <w:rFonts w:eastAsia="仿宋_GB2312"/>
          <w:sz w:val="32"/>
          <w:szCs w:val="32"/>
        </w:rPr>
      </w:pPr>
      <w:r>
        <w:rPr>
          <w:rFonts w:hint="eastAsia" w:eastAsia="仿宋_GB2312" w:cs="仿宋_GB2312"/>
          <w:sz w:val="32"/>
          <w:szCs w:val="32"/>
        </w:rPr>
        <w:t>（</w:t>
      </w:r>
      <w:r>
        <w:rPr>
          <w:rFonts w:eastAsia="仿宋_GB2312"/>
          <w:sz w:val="32"/>
          <w:szCs w:val="32"/>
        </w:rPr>
        <w:t>5</w:t>
      </w:r>
      <w:r>
        <w:rPr>
          <w:rFonts w:hint="eastAsia" w:eastAsia="仿宋_GB2312" w:cs="仿宋_GB2312"/>
          <w:sz w:val="32"/>
          <w:szCs w:val="32"/>
        </w:rPr>
        <w:t>）储能</w:t>
      </w:r>
    </w:p>
    <w:p>
      <w:pPr>
        <w:adjustRightInd w:val="0"/>
        <w:snapToGrid w:val="0"/>
        <w:spacing w:line="550" w:lineRule="exact"/>
        <w:ind w:firstLine="640" w:firstLineChars="200"/>
        <w:textAlignment w:val="center"/>
        <w:rPr>
          <w:rFonts w:eastAsia="仿宋_GB2312"/>
          <w:sz w:val="32"/>
          <w:szCs w:val="32"/>
        </w:rPr>
      </w:pPr>
      <w:r>
        <w:rPr>
          <w:rFonts w:hint="eastAsia" w:eastAsia="仿宋_GB2312" w:cs="仿宋_GB2312"/>
          <w:sz w:val="32"/>
          <w:szCs w:val="32"/>
        </w:rPr>
        <w:t>到</w:t>
      </w:r>
      <w:r>
        <w:rPr>
          <w:rFonts w:eastAsia="仿宋_GB2312"/>
          <w:sz w:val="32"/>
          <w:szCs w:val="32"/>
        </w:rPr>
        <w:t>“</w:t>
      </w:r>
      <w:r>
        <w:rPr>
          <w:rFonts w:hint="eastAsia" w:eastAsia="仿宋_GB2312" w:cs="仿宋_GB2312"/>
          <w:sz w:val="32"/>
          <w:szCs w:val="32"/>
        </w:rPr>
        <w:t>十四五</w:t>
      </w:r>
      <w:r>
        <w:rPr>
          <w:rFonts w:eastAsia="仿宋_GB2312"/>
          <w:sz w:val="32"/>
          <w:szCs w:val="32"/>
        </w:rPr>
        <w:t>”</w:t>
      </w:r>
      <w:r>
        <w:rPr>
          <w:rFonts w:hint="eastAsia" w:eastAsia="仿宋_GB2312" w:cs="仿宋_GB2312"/>
          <w:sz w:val="32"/>
          <w:szCs w:val="32"/>
        </w:rPr>
        <w:t>末，力争我市两个一体化储能装机达到</w:t>
      </w:r>
      <w:r>
        <w:rPr>
          <w:rFonts w:eastAsia="仿宋_GB2312"/>
          <w:sz w:val="32"/>
          <w:szCs w:val="32"/>
        </w:rPr>
        <w:t>55</w:t>
      </w:r>
      <w:r>
        <w:rPr>
          <w:rFonts w:hint="eastAsia" w:eastAsia="仿宋_GB2312" w:cs="仿宋_GB2312"/>
          <w:sz w:val="32"/>
          <w:szCs w:val="32"/>
        </w:rPr>
        <w:t>万千瓦以上（在建），推动储能多元化利用。</w:t>
      </w:r>
    </w:p>
    <w:tbl>
      <w:tblPr>
        <w:tblStyle w:val="52"/>
        <w:tblW w:w="83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7"/>
        <w:gridCol w:w="2623"/>
        <w:gridCol w:w="1559"/>
        <w:gridCol w:w="1560"/>
        <w:gridCol w:w="16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2" w:hRule="atLeast"/>
          <w:jc w:val="center"/>
        </w:trPr>
        <w:tc>
          <w:tcPr>
            <w:tcW w:w="8357" w:type="dxa"/>
            <w:gridSpan w:val="5"/>
            <w:vAlign w:val="center"/>
          </w:tcPr>
          <w:p>
            <w:pPr>
              <w:spacing w:before="120" w:after="120" w:line="600" w:lineRule="exact"/>
              <w:ind w:firstLine="562" w:firstLineChars="200"/>
              <w:jc w:val="center"/>
              <w:rPr>
                <w:rFonts w:ascii="宋体"/>
                <w:b/>
                <w:bCs/>
                <w:sz w:val="28"/>
                <w:szCs w:val="28"/>
              </w:rPr>
            </w:pPr>
            <w:r>
              <w:rPr>
                <w:rFonts w:hint="eastAsia" w:ascii="宋体" w:hAnsi="宋体" w:cs="宋体"/>
                <w:b/>
                <w:bCs/>
                <w:sz w:val="28"/>
                <w:szCs w:val="28"/>
              </w:rPr>
              <w:t>专栏一“十四五”新型清洁能源发展主要指标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947"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类别</w:t>
            </w:r>
          </w:p>
        </w:tc>
        <w:tc>
          <w:tcPr>
            <w:tcW w:w="2623"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新型清洁能源种类</w:t>
            </w:r>
          </w:p>
        </w:tc>
        <w:tc>
          <w:tcPr>
            <w:tcW w:w="1559"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单位</w:t>
            </w:r>
          </w:p>
        </w:tc>
        <w:tc>
          <w:tcPr>
            <w:tcW w:w="1560"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“十三五”末</w:t>
            </w:r>
          </w:p>
        </w:tc>
        <w:tc>
          <w:tcPr>
            <w:tcW w:w="1668"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“十四五”末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jc w:val="center"/>
        </w:trPr>
        <w:tc>
          <w:tcPr>
            <w:tcW w:w="947" w:type="dxa"/>
            <w:vMerge w:val="restart"/>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装机规模</w:t>
            </w:r>
          </w:p>
        </w:tc>
        <w:tc>
          <w:tcPr>
            <w:tcW w:w="2623"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抽水蓄能</w:t>
            </w:r>
          </w:p>
        </w:tc>
        <w:tc>
          <w:tcPr>
            <w:tcW w:w="1559"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万千瓦</w:t>
            </w:r>
          </w:p>
        </w:tc>
        <w:tc>
          <w:tcPr>
            <w:tcW w:w="1560" w:type="dxa"/>
            <w:vAlign w:val="center"/>
          </w:tcPr>
          <w:p>
            <w:pPr>
              <w:widowControl/>
              <w:adjustRightInd w:val="0"/>
              <w:snapToGrid w:val="0"/>
              <w:spacing w:line="360" w:lineRule="exact"/>
              <w:jc w:val="center"/>
              <w:rPr>
                <w:rFonts w:ascii="宋体" w:cs="宋体"/>
                <w:color w:val="auto"/>
                <w:kern w:val="0"/>
                <w:sz w:val="28"/>
                <w:szCs w:val="28"/>
              </w:rPr>
            </w:pPr>
            <w:r>
              <w:rPr>
                <w:rFonts w:ascii="宋体" w:cs="宋体"/>
                <w:color w:val="auto"/>
                <w:kern w:val="0"/>
                <w:sz w:val="28"/>
                <w:szCs w:val="28"/>
              </w:rPr>
              <w:t>0</w:t>
            </w:r>
          </w:p>
        </w:tc>
        <w:tc>
          <w:tcPr>
            <w:tcW w:w="1668" w:type="dxa"/>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jc w:val="center"/>
        </w:trPr>
        <w:tc>
          <w:tcPr>
            <w:tcW w:w="947" w:type="dxa"/>
            <w:vMerge w:val="continue"/>
            <w:vAlign w:val="center"/>
          </w:tcPr>
          <w:p>
            <w:pPr>
              <w:widowControl/>
              <w:adjustRightInd w:val="0"/>
              <w:snapToGrid w:val="0"/>
              <w:spacing w:line="360" w:lineRule="exact"/>
              <w:jc w:val="center"/>
              <w:rPr>
                <w:rFonts w:ascii="宋体"/>
                <w:color w:val="auto"/>
                <w:kern w:val="0"/>
                <w:sz w:val="28"/>
                <w:szCs w:val="28"/>
              </w:rPr>
            </w:pPr>
          </w:p>
        </w:tc>
        <w:tc>
          <w:tcPr>
            <w:tcW w:w="2623"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光伏</w:t>
            </w:r>
          </w:p>
        </w:tc>
        <w:tc>
          <w:tcPr>
            <w:tcW w:w="1559"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万千瓦</w:t>
            </w:r>
          </w:p>
        </w:tc>
        <w:tc>
          <w:tcPr>
            <w:tcW w:w="1560" w:type="dxa"/>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7.18</w:t>
            </w:r>
          </w:p>
        </w:tc>
        <w:tc>
          <w:tcPr>
            <w:tcW w:w="1668" w:type="dxa"/>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185.38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947" w:type="dxa"/>
            <w:vMerge w:val="continue"/>
            <w:vAlign w:val="center"/>
          </w:tcPr>
          <w:p>
            <w:pPr>
              <w:widowControl/>
              <w:adjustRightInd w:val="0"/>
              <w:snapToGrid w:val="0"/>
              <w:spacing w:line="360" w:lineRule="exact"/>
              <w:jc w:val="center"/>
              <w:rPr>
                <w:rFonts w:ascii="宋体"/>
                <w:color w:val="auto"/>
                <w:kern w:val="0"/>
                <w:sz w:val="28"/>
                <w:szCs w:val="28"/>
              </w:rPr>
            </w:pPr>
          </w:p>
        </w:tc>
        <w:tc>
          <w:tcPr>
            <w:tcW w:w="2623"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风电</w:t>
            </w:r>
          </w:p>
        </w:tc>
        <w:tc>
          <w:tcPr>
            <w:tcW w:w="1559"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万千瓦</w:t>
            </w:r>
          </w:p>
        </w:tc>
        <w:tc>
          <w:tcPr>
            <w:tcW w:w="1560" w:type="dxa"/>
            <w:vAlign w:val="center"/>
          </w:tcPr>
          <w:p>
            <w:pPr>
              <w:widowControl/>
              <w:adjustRightInd w:val="0"/>
              <w:snapToGrid w:val="0"/>
              <w:spacing w:line="360" w:lineRule="exact"/>
              <w:jc w:val="center"/>
              <w:rPr>
                <w:rFonts w:ascii="宋体" w:cs="宋体"/>
                <w:color w:val="auto"/>
                <w:kern w:val="0"/>
                <w:sz w:val="28"/>
                <w:szCs w:val="28"/>
              </w:rPr>
            </w:pPr>
            <w:r>
              <w:rPr>
                <w:rFonts w:ascii="宋体" w:cs="宋体"/>
                <w:color w:val="auto"/>
                <w:kern w:val="0"/>
                <w:sz w:val="28"/>
                <w:szCs w:val="28"/>
              </w:rPr>
              <w:t>0</w:t>
            </w:r>
          </w:p>
        </w:tc>
        <w:tc>
          <w:tcPr>
            <w:tcW w:w="1668" w:type="dxa"/>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947" w:type="dxa"/>
            <w:vMerge w:val="continue"/>
            <w:vAlign w:val="center"/>
          </w:tcPr>
          <w:p>
            <w:pPr>
              <w:widowControl/>
              <w:adjustRightInd w:val="0"/>
              <w:snapToGrid w:val="0"/>
              <w:spacing w:line="360" w:lineRule="exact"/>
              <w:jc w:val="center"/>
              <w:rPr>
                <w:rFonts w:ascii="宋体"/>
                <w:color w:val="auto"/>
                <w:kern w:val="0"/>
                <w:sz w:val="28"/>
                <w:szCs w:val="28"/>
              </w:rPr>
            </w:pPr>
          </w:p>
        </w:tc>
        <w:tc>
          <w:tcPr>
            <w:tcW w:w="2623"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生物质</w:t>
            </w:r>
          </w:p>
        </w:tc>
        <w:tc>
          <w:tcPr>
            <w:tcW w:w="1559"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万千瓦</w:t>
            </w:r>
          </w:p>
        </w:tc>
        <w:tc>
          <w:tcPr>
            <w:tcW w:w="1560" w:type="dxa"/>
            <w:vAlign w:val="center"/>
          </w:tcPr>
          <w:p>
            <w:pPr>
              <w:widowControl/>
              <w:adjustRightInd w:val="0"/>
              <w:snapToGrid w:val="0"/>
              <w:spacing w:line="360" w:lineRule="exact"/>
              <w:jc w:val="center"/>
              <w:rPr>
                <w:rFonts w:ascii="宋体" w:cs="宋体"/>
                <w:color w:val="auto"/>
                <w:kern w:val="0"/>
                <w:sz w:val="28"/>
                <w:szCs w:val="28"/>
              </w:rPr>
            </w:pPr>
            <w:r>
              <w:rPr>
                <w:rFonts w:ascii="宋体" w:cs="宋体"/>
                <w:color w:val="auto"/>
                <w:kern w:val="0"/>
                <w:sz w:val="28"/>
                <w:szCs w:val="28"/>
              </w:rPr>
              <w:t>0</w:t>
            </w:r>
          </w:p>
        </w:tc>
        <w:tc>
          <w:tcPr>
            <w:tcW w:w="1668" w:type="dxa"/>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947" w:type="dxa"/>
            <w:vMerge w:val="restart"/>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发电量</w:t>
            </w:r>
          </w:p>
        </w:tc>
        <w:tc>
          <w:tcPr>
            <w:tcW w:w="2623"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水力</w:t>
            </w:r>
          </w:p>
        </w:tc>
        <w:tc>
          <w:tcPr>
            <w:tcW w:w="1559"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亿千瓦时</w:t>
            </w:r>
          </w:p>
        </w:tc>
        <w:tc>
          <w:tcPr>
            <w:tcW w:w="1560" w:type="dxa"/>
            <w:vAlign w:val="center"/>
          </w:tcPr>
          <w:p>
            <w:pPr>
              <w:widowControl/>
              <w:adjustRightInd w:val="0"/>
              <w:snapToGrid w:val="0"/>
              <w:spacing w:line="360" w:lineRule="exact"/>
              <w:jc w:val="center"/>
              <w:textAlignment w:val="center"/>
              <w:rPr>
                <w:rFonts w:ascii="宋体"/>
                <w:color w:val="auto"/>
                <w:kern w:val="0"/>
                <w:sz w:val="28"/>
                <w:szCs w:val="28"/>
              </w:rPr>
            </w:pPr>
            <w:r>
              <w:rPr>
                <w:rFonts w:ascii="宋体" w:hAnsi="宋体" w:cs="宋体"/>
                <w:color w:val="auto"/>
                <w:kern w:val="0"/>
                <w:sz w:val="28"/>
                <w:szCs w:val="28"/>
              </w:rPr>
              <w:t>1.21</w:t>
            </w:r>
          </w:p>
        </w:tc>
        <w:tc>
          <w:tcPr>
            <w:tcW w:w="1668" w:type="dxa"/>
            <w:vAlign w:val="center"/>
          </w:tcPr>
          <w:p>
            <w:pPr>
              <w:widowControl/>
              <w:adjustRightInd w:val="0"/>
              <w:snapToGrid w:val="0"/>
              <w:spacing w:line="360" w:lineRule="exact"/>
              <w:jc w:val="center"/>
              <w:textAlignment w:val="center"/>
              <w:rPr>
                <w:rFonts w:ascii="宋体"/>
                <w:color w:val="auto"/>
                <w:kern w:val="0"/>
                <w:sz w:val="28"/>
                <w:szCs w:val="28"/>
              </w:rPr>
            </w:pPr>
            <w:r>
              <w:rPr>
                <w:rFonts w:ascii="宋体" w:hAnsi="宋体" w:cs="宋体"/>
                <w:color w:val="auto"/>
                <w:kern w:val="0"/>
                <w:sz w:val="28"/>
                <w:szCs w:val="28"/>
              </w:rPr>
              <w:t>30.0</w:t>
            </w:r>
            <w:r>
              <w:rPr>
                <w:rFonts w:hint="eastAsia" w:ascii="宋体" w:hAnsi="宋体" w:cs="宋体"/>
                <w:color w:val="auto"/>
                <w:kern w:val="0"/>
                <w:sz w:val="28"/>
                <w:szCs w:val="28"/>
              </w:rPr>
              <w:t>左右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947" w:type="dxa"/>
            <w:vMerge w:val="continue"/>
            <w:vAlign w:val="center"/>
          </w:tcPr>
          <w:p>
            <w:pPr>
              <w:widowControl/>
              <w:adjustRightInd w:val="0"/>
              <w:snapToGrid w:val="0"/>
              <w:spacing w:line="360" w:lineRule="exact"/>
              <w:jc w:val="center"/>
              <w:rPr>
                <w:rFonts w:ascii="宋体"/>
                <w:color w:val="auto"/>
                <w:kern w:val="0"/>
                <w:sz w:val="28"/>
                <w:szCs w:val="28"/>
              </w:rPr>
            </w:pPr>
          </w:p>
        </w:tc>
        <w:tc>
          <w:tcPr>
            <w:tcW w:w="2623"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光伏</w:t>
            </w:r>
          </w:p>
        </w:tc>
        <w:tc>
          <w:tcPr>
            <w:tcW w:w="1559"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亿千瓦时</w:t>
            </w:r>
          </w:p>
        </w:tc>
        <w:tc>
          <w:tcPr>
            <w:tcW w:w="1560" w:type="dxa"/>
            <w:vAlign w:val="center"/>
          </w:tcPr>
          <w:p>
            <w:pPr>
              <w:widowControl/>
              <w:adjustRightInd w:val="0"/>
              <w:snapToGrid w:val="0"/>
              <w:spacing w:line="360" w:lineRule="exact"/>
              <w:jc w:val="center"/>
              <w:textAlignment w:val="center"/>
              <w:rPr>
                <w:rFonts w:ascii="宋体"/>
                <w:color w:val="auto"/>
                <w:kern w:val="0"/>
                <w:sz w:val="28"/>
                <w:szCs w:val="28"/>
              </w:rPr>
            </w:pPr>
            <w:r>
              <w:rPr>
                <w:rFonts w:ascii="宋体" w:hAnsi="宋体" w:cs="宋体"/>
                <w:color w:val="auto"/>
                <w:kern w:val="0"/>
                <w:sz w:val="28"/>
                <w:szCs w:val="28"/>
              </w:rPr>
              <w:t>0.89</w:t>
            </w:r>
          </w:p>
        </w:tc>
        <w:tc>
          <w:tcPr>
            <w:tcW w:w="1668" w:type="dxa"/>
            <w:vAlign w:val="center"/>
          </w:tcPr>
          <w:p>
            <w:pPr>
              <w:widowControl/>
              <w:adjustRightInd w:val="0"/>
              <w:snapToGrid w:val="0"/>
              <w:spacing w:line="360" w:lineRule="exact"/>
              <w:jc w:val="center"/>
              <w:textAlignment w:val="center"/>
              <w:rPr>
                <w:rFonts w:ascii="宋体"/>
                <w:color w:val="auto"/>
                <w:kern w:val="0"/>
                <w:sz w:val="28"/>
                <w:szCs w:val="28"/>
              </w:rPr>
            </w:pPr>
            <w:r>
              <w:rPr>
                <w:rFonts w:ascii="宋体" w:hAnsi="宋体" w:cs="宋体"/>
                <w:color w:val="auto"/>
                <w:kern w:val="0"/>
                <w:sz w:val="28"/>
                <w:szCs w:val="28"/>
              </w:rPr>
              <w:t>6.89</w:t>
            </w:r>
            <w:r>
              <w:rPr>
                <w:rFonts w:hint="eastAsia" w:ascii="宋体" w:hAnsi="宋体" w:cs="宋体"/>
                <w:color w:val="auto"/>
                <w:kern w:val="0"/>
                <w:sz w:val="28"/>
                <w:szCs w:val="28"/>
              </w:rPr>
              <w:t>左右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947" w:type="dxa"/>
            <w:vMerge w:val="continue"/>
            <w:vAlign w:val="center"/>
          </w:tcPr>
          <w:p>
            <w:pPr>
              <w:widowControl/>
              <w:adjustRightInd w:val="0"/>
              <w:snapToGrid w:val="0"/>
              <w:spacing w:line="360" w:lineRule="exact"/>
              <w:jc w:val="center"/>
              <w:rPr>
                <w:rFonts w:ascii="宋体"/>
                <w:color w:val="auto"/>
                <w:kern w:val="0"/>
                <w:sz w:val="28"/>
                <w:szCs w:val="28"/>
              </w:rPr>
            </w:pPr>
          </w:p>
        </w:tc>
        <w:tc>
          <w:tcPr>
            <w:tcW w:w="2623"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风电</w:t>
            </w:r>
          </w:p>
        </w:tc>
        <w:tc>
          <w:tcPr>
            <w:tcW w:w="1559"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亿千瓦时</w:t>
            </w:r>
          </w:p>
        </w:tc>
        <w:tc>
          <w:tcPr>
            <w:tcW w:w="1560" w:type="dxa"/>
            <w:vAlign w:val="center"/>
          </w:tcPr>
          <w:p>
            <w:pPr>
              <w:widowControl/>
              <w:adjustRightInd w:val="0"/>
              <w:snapToGrid w:val="0"/>
              <w:spacing w:line="360" w:lineRule="exact"/>
              <w:jc w:val="center"/>
              <w:textAlignment w:val="center"/>
              <w:rPr>
                <w:rFonts w:ascii="宋体"/>
                <w:color w:val="auto"/>
                <w:kern w:val="0"/>
                <w:sz w:val="28"/>
                <w:szCs w:val="28"/>
              </w:rPr>
            </w:pPr>
          </w:p>
        </w:tc>
        <w:tc>
          <w:tcPr>
            <w:tcW w:w="1668" w:type="dxa"/>
            <w:vAlign w:val="center"/>
          </w:tcPr>
          <w:p>
            <w:pPr>
              <w:widowControl/>
              <w:adjustRightInd w:val="0"/>
              <w:snapToGrid w:val="0"/>
              <w:spacing w:line="360" w:lineRule="exact"/>
              <w:jc w:val="center"/>
              <w:textAlignment w:val="center"/>
              <w:rPr>
                <w:rFonts w:ascii="宋体"/>
                <w:color w:val="auto"/>
                <w:kern w:val="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947" w:type="dxa"/>
            <w:vMerge w:val="continue"/>
            <w:vAlign w:val="center"/>
          </w:tcPr>
          <w:p>
            <w:pPr>
              <w:widowControl/>
              <w:adjustRightInd w:val="0"/>
              <w:snapToGrid w:val="0"/>
              <w:spacing w:line="360" w:lineRule="exact"/>
              <w:jc w:val="center"/>
              <w:rPr>
                <w:rFonts w:ascii="宋体"/>
                <w:color w:val="auto"/>
                <w:kern w:val="0"/>
                <w:sz w:val="28"/>
                <w:szCs w:val="28"/>
              </w:rPr>
            </w:pPr>
          </w:p>
        </w:tc>
        <w:tc>
          <w:tcPr>
            <w:tcW w:w="2623"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生物质</w:t>
            </w:r>
          </w:p>
        </w:tc>
        <w:tc>
          <w:tcPr>
            <w:tcW w:w="1559"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亿千瓦时</w:t>
            </w:r>
          </w:p>
        </w:tc>
        <w:tc>
          <w:tcPr>
            <w:tcW w:w="1560" w:type="dxa"/>
            <w:vAlign w:val="center"/>
          </w:tcPr>
          <w:p>
            <w:pPr>
              <w:widowControl/>
              <w:adjustRightInd w:val="0"/>
              <w:snapToGrid w:val="0"/>
              <w:spacing w:line="360" w:lineRule="exact"/>
              <w:jc w:val="center"/>
              <w:textAlignment w:val="center"/>
              <w:rPr>
                <w:rFonts w:ascii="宋体"/>
                <w:color w:val="auto"/>
                <w:kern w:val="0"/>
                <w:sz w:val="28"/>
                <w:szCs w:val="28"/>
              </w:rPr>
            </w:pPr>
          </w:p>
        </w:tc>
        <w:tc>
          <w:tcPr>
            <w:tcW w:w="1668" w:type="dxa"/>
            <w:vAlign w:val="center"/>
          </w:tcPr>
          <w:p>
            <w:pPr>
              <w:widowControl/>
              <w:adjustRightInd w:val="0"/>
              <w:snapToGrid w:val="0"/>
              <w:spacing w:line="360" w:lineRule="exact"/>
              <w:jc w:val="center"/>
              <w:textAlignment w:val="center"/>
              <w:rPr>
                <w:rFonts w:ascii="宋体"/>
                <w:color w:val="auto"/>
                <w:kern w:val="0"/>
                <w:sz w:val="28"/>
                <w:szCs w:val="28"/>
              </w:rPr>
            </w:pPr>
          </w:p>
        </w:tc>
      </w:tr>
    </w:tbl>
    <w:p>
      <w:pPr>
        <w:pStyle w:val="2"/>
        <w:rPr>
          <w:rFonts w:cs="Times New Roman"/>
        </w:rPr>
      </w:pPr>
    </w:p>
    <w:p>
      <w:pPr>
        <w:pStyle w:val="5"/>
        <w:spacing w:beforeLines="50" w:afterLines="50" w:line="600" w:lineRule="exact"/>
        <w:ind w:firstLine="643" w:firstLineChars="200"/>
        <w:jc w:val="both"/>
        <w:rPr>
          <w:rFonts w:ascii="楷体" w:hAnsi="楷体" w:eastAsia="楷体"/>
          <w:color w:val="auto"/>
          <w:sz w:val="32"/>
          <w:szCs w:val="32"/>
        </w:rPr>
      </w:pPr>
      <w:r>
        <w:rPr>
          <w:rFonts w:hint="eastAsia" w:ascii="楷体" w:hAnsi="楷体" w:eastAsia="楷体" w:cs="楷体"/>
          <w:color w:val="auto"/>
          <w:sz w:val="32"/>
          <w:szCs w:val="32"/>
        </w:rPr>
        <w:t>（二）产业规模实现新突破</w:t>
      </w:r>
    </w:p>
    <w:p>
      <w:pPr>
        <w:adjustRightInd w:val="0"/>
        <w:snapToGrid w:val="0"/>
        <w:spacing w:line="550" w:lineRule="exact"/>
        <w:ind w:firstLine="640" w:firstLineChars="200"/>
        <w:textAlignment w:val="center"/>
        <w:rPr>
          <w:rFonts w:eastAsia="仿宋_GB2312"/>
          <w:sz w:val="32"/>
          <w:szCs w:val="32"/>
        </w:rPr>
      </w:pPr>
      <w:r>
        <w:rPr>
          <w:rFonts w:hint="eastAsia" w:eastAsia="仿宋_GB2312" w:cs="仿宋_GB2312"/>
          <w:sz w:val="32"/>
          <w:szCs w:val="32"/>
        </w:rPr>
        <w:t>到</w:t>
      </w:r>
      <w:r>
        <w:rPr>
          <w:rFonts w:eastAsia="仿宋_GB2312"/>
          <w:sz w:val="32"/>
          <w:szCs w:val="32"/>
        </w:rPr>
        <w:t xml:space="preserve"> 2025 </w:t>
      </w:r>
      <w:r>
        <w:rPr>
          <w:rFonts w:hint="eastAsia" w:eastAsia="仿宋_GB2312" w:cs="仿宋_GB2312"/>
          <w:sz w:val="32"/>
          <w:szCs w:val="32"/>
        </w:rPr>
        <w:t>年，新型清洁能源产业规模快速增长，成为我市支柱产业之一。新型清洁能源产业产值力争达到</w:t>
      </w:r>
      <w:r>
        <w:rPr>
          <w:rFonts w:eastAsia="仿宋_GB2312"/>
          <w:color w:val="auto"/>
          <w:sz w:val="32"/>
          <w:szCs w:val="32"/>
        </w:rPr>
        <w:t>125</w:t>
      </w:r>
      <w:r>
        <w:rPr>
          <w:rFonts w:hint="eastAsia" w:eastAsia="仿宋_GB2312" w:cs="仿宋_GB2312"/>
          <w:sz w:val="32"/>
          <w:szCs w:val="32"/>
        </w:rPr>
        <w:t>亿元。</w:t>
      </w:r>
    </w:p>
    <w:p>
      <w:pPr>
        <w:pStyle w:val="5"/>
        <w:spacing w:beforeLines="50" w:afterLines="50" w:line="600" w:lineRule="exact"/>
        <w:ind w:firstLine="643" w:firstLineChars="200"/>
        <w:jc w:val="both"/>
        <w:rPr>
          <w:rFonts w:ascii="楷体" w:hAnsi="楷体" w:eastAsia="楷体"/>
          <w:color w:val="auto"/>
          <w:sz w:val="32"/>
          <w:szCs w:val="32"/>
        </w:rPr>
      </w:pPr>
      <w:r>
        <w:rPr>
          <w:rFonts w:hint="eastAsia" w:ascii="楷体" w:hAnsi="楷体" w:eastAsia="楷体" w:cs="楷体"/>
          <w:color w:val="auto"/>
          <w:sz w:val="32"/>
          <w:szCs w:val="32"/>
        </w:rPr>
        <w:t>（三）产业集聚形成新生态</w:t>
      </w:r>
    </w:p>
    <w:p>
      <w:pPr>
        <w:adjustRightInd w:val="0"/>
        <w:snapToGrid w:val="0"/>
        <w:spacing w:line="550" w:lineRule="exact"/>
        <w:ind w:firstLine="640" w:firstLineChars="200"/>
        <w:textAlignment w:val="center"/>
        <w:rPr>
          <w:rFonts w:eastAsia="仿宋_GB2312"/>
          <w:sz w:val="32"/>
          <w:szCs w:val="32"/>
        </w:rPr>
      </w:pPr>
      <w:r>
        <w:rPr>
          <w:rFonts w:hint="eastAsia" w:eastAsia="仿宋_GB2312" w:cs="仿宋_GB2312"/>
          <w:sz w:val="32"/>
          <w:szCs w:val="32"/>
        </w:rPr>
        <w:t>到</w:t>
      </w:r>
      <w:r>
        <w:rPr>
          <w:rFonts w:eastAsia="仿宋_GB2312"/>
          <w:sz w:val="32"/>
          <w:szCs w:val="32"/>
        </w:rPr>
        <w:t>2025</w:t>
      </w:r>
      <w:r>
        <w:rPr>
          <w:rFonts w:hint="eastAsia" w:eastAsia="仿宋_GB2312" w:cs="仿宋_GB2312"/>
          <w:sz w:val="32"/>
          <w:szCs w:val="32"/>
        </w:rPr>
        <w:t>年，新型清洁能源产业布局更趋完善，建成具有较高集聚性、根植性、先进性和具有较强协同创新力、智造发展力和品牌影响力的产业集群。形成以清原抽水蓄能电站、西露天矿抽水蓄能电站及西舍场光电产业园等三大园区为主要载体的抽水蓄能和光伏产业集群。</w:t>
      </w:r>
    </w:p>
    <w:p>
      <w:pPr>
        <w:pStyle w:val="5"/>
        <w:spacing w:beforeLines="50" w:afterLines="50" w:line="600" w:lineRule="exact"/>
        <w:ind w:firstLine="643" w:firstLineChars="200"/>
        <w:jc w:val="both"/>
        <w:rPr>
          <w:rFonts w:ascii="楷体" w:hAnsi="楷体" w:eastAsia="楷体"/>
          <w:color w:val="auto"/>
          <w:sz w:val="32"/>
          <w:szCs w:val="32"/>
        </w:rPr>
      </w:pPr>
      <w:r>
        <w:rPr>
          <w:rFonts w:hint="eastAsia" w:ascii="楷体" w:hAnsi="楷体" w:eastAsia="楷体" w:cs="楷体"/>
          <w:color w:val="auto"/>
          <w:sz w:val="32"/>
          <w:szCs w:val="32"/>
        </w:rPr>
        <w:t>（四）创新能力实现新提升</w:t>
      </w:r>
    </w:p>
    <w:p>
      <w:pPr>
        <w:adjustRightInd w:val="0"/>
        <w:snapToGrid w:val="0"/>
        <w:spacing w:line="550" w:lineRule="exact"/>
        <w:ind w:firstLine="640" w:firstLineChars="200"/>
        <w:textAlignment w:val="center"/>
        <w:rPr>
          <w:rFonts w:eastAsia="仿宋_GB2312"/>
          <w:sz w:val="32"/>
          <w:szCs w:val="32"/>
        </w:rPr>
      </w:pPr>
      <w:r>
        <w:rPr>
          <w:rFonts w:hint="eastAsia" w:eastAsia="仿宋_GB2312" w:cs="仿宋_GB2312"/>
          <w:sz w:val="32"/>
          <w:szCs w:val="32"/>
        </w:rPr>
        <w:t>到</w:t>
      </w:r>
      <w:r>
        <w:rPr>
          <w:rFonts w:eastAsia="仿宋_GB2312"/>
          <w:sz w:val="32"/>
          <w:szCs w:val="32"/>
        </w:rPr>
        <w:t xml:space="preserve"> 2025 </w:t>
      </w:r>
      <w:r>
        <w:rPr>
          <w:rFonts w:hint="eastAsia" w:eastAsia="仿宋_GB2312" w:cs="仿宋_GB2312"/>
          <w:sz w:val="32"/>
          <w:szCs w:val="32"/>
        </w:rPr>
        <w:t>年，新型清洁能源产业自主创新能力不断增强。探索建设低风速地区风电研究与试验基地等一批创新平台，打造新型清洁能源产业专业孵化器，成立新型清洁能源产业技术创新联盟，创建绿色低碳能源产业示范园。</w:t>
      </w:r>
    </w:p>
    <w:p>
      <w:pPr>
        <w:widowControl/>
        <w:jc w:val="left"/>
        <w:rPr>
          <w:rFonts w:eastAsia="仿宋_GB2312"/>
          <w:sz w:val="32"/>
          <w:szCs w:val="32"/>
        </w:rPr>
      </w:pPr>
      <w:r>
        <w:rPr>
          <w:rFonts w:eastAsia="仿宋_GB2312"/>
          <w:sz w:val="32"/>
          <w:szCs w:val="32"/>
        </w:rPr>
        <w:br w:type="page"/>
      </w:r>
    </w:p>
    <w:p>
      <w:pPr>
        <w:autoSpaceDE w:val="0"/>
        <w:autoSpaceDN w:val="0"/>
        <w:adjustRightInd w:val="0"/>
        <w:snapToGrid w:val="0"/>
        <w:spacing w:beforeLines="100" w:afterLines="100" w:line="360" w:lineRule="auto"/>
        <w:jc w:val="center"/>
        <w:outlineLvl w:val="0"/>
        <w:rPr>
          <w:rFonts w:ascii="黑体" w:hAnsi="黑体" w:eastAsia="黑体"/>
          <w:color w:val="auto"/>
          <w:sz w:val="32"/>
          <w:szCs w:val="32"/>
        </w:rPr>
      </w:pPr>
      <w:bookmarkStart w:id="25" w:name="_Toc86233324"/>
      <w:r>
        <w:rPr>
          <w:rFonts w:hint="eastAsia" w:ascii="黑体" w:hAnsi="黑体" w:eastAsia="黑体" w:cs="黑体"/>
          <w:color w:val="auto"/>
          <w:sz w:val="32"/>
          <w:szCs w:val="32"/>
        </w:rPr>
        <w:t>第三章</w:t>
      </w:r>
      <w:bookmarkEnd w:id="8"/>
      <w:r>
        <w:rPr>
          <w:rFonts w:ascii="黑体" w:hAnsi="黑体" w:eastAsia="黑体" w:cs="黑体"/>
          <w:color w:val="auto"/>
          <w:sz w:val="32"/>
          <w:szCs w:val="32"/>
        </w:rPr>
        <w:t xml:space="preserve"> </w:t>
      </w:r>
      <w:r>
        <w:rPr>
          <w:rFonts w:hint="eastAsia" w:ascii="黑体" w:hAnsi="黑体" w:eastAsia="黑体" w:cs="黑体"/>
          <w:color w:val="auto"/>
          <w:sz w:val="32"/>
          <w:szCs w:val="32"/>
        </w:rPr>
        <w:t>重点任务</w:t>
      </w:r>
      <w:bookmarkEnd w:id="25"/>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26" w:name="_Toc86233325"/>
      <w:r>
        <w:rPr>
          <w:rFonts w:hint="eastAsia" w:ascii="黑体" w:hAnsi="黑体" w:eastAsia="黑体" w:cs="黑体"/>
          <w:color w:val="auto"/>
          <w:sz w:val="32"/>
          <w:szCs w:val="32"/>
        </w:rPr>
        <w:t>一、做强做大抽水蓄能产业</w:t>
      </w:r>
      <w:bookmarkEnd w:id="26"/>
    </w:p>
    <w:p>
      <w:pPr>
        <w:spacing w:line="600" w:lineRule="exact"/>
        <w:ind w:firstLine="640" w:firstLineChars="200"/>
        <w:rPr>
          <w:rFonts w:eastAsia="仿宋_GB2312"/>
          <w:color w:val="auto"/>
          <w:kern w:val="0"/>
          <w:sz w:val="32"/>
          <w:szCs w:val="32"/>
        </w:rPr>
      </w:pPr>
      <w:r>
        <w:rPr>
          <w:rFonts w:hint="eastAsia" w:eastAsia="仿宋_GB2312" w:cs="仿宋_GB2312"/>
          <w:color w:val="auto"/>
          <w:kern w:val="0"/>
          <w:sz w:val="32"/>
          <w:szCs w:val="32"/>
        </w:rPr>
        <w:t>坚持“统筹规划、合理布局”的原则，充分发挥抽水蓄能电站启停迅速、运行灵活、调峰调频等优点，根据辽宁省新型清洁能源开发、区域间电力输送情况及电网安全稳定运行要求，综合考虑地形地质、水文气象等条件以及电力系统负荷分布等情况，统筹抽水蓄能发展与电源建设，加快抽水蓄能电站建设，改善电网调峰压力，推动储能系统，确保电网安全稳定运行。</w:t>
      </w:r>
    </w:p>
    <w:p>
      <w:pPr>
        <w:spacing w:line="600" w:lineRule="atLeast"/>
        <w:ind w:firstLine="640" w:firstLineChars="200"/>
        <w:rPr>
          <w:rFonts w:ascii="仿宋_GB2312" w:eastAsia="仿宋_GB2312"/>
          <w:color w:val="auto"/>
          <w:sz w:val="32"/>
          <w:szCs w:val="32"/>
        </w:rPr>
      </w:pPr>
      <w:r>
        <w:rPr>
          <w:rFonts w:hint="eastAsia" w:eastAsia="仿宋_GB2312" w:cs="仿宋_GB2312"/>
          <w:color w:val="auto"/>
          <w:kern w:val="0"/>
          <w:sz w:val="32"/>
          <w:szCs w:val="32"/>
        </w:rPr>
        <w:t>积极推进清原抽水蓄能电站一期项目建设，</w:t>
      </w:r>
      <w:r>
        <w:rPr>
          <w:rFonts w:hint="eastAsia" w:ascii="仿宋_GB2312" w:eastAsia="仿宋_GB2312" w:cs="仿宋_GB2312"/>
          <w:color w:val="auto"/>
          <w:sz w:val="32"/>
          <w:szCs w:val="32"/>
        </w:rPr>
        <w:t>力争“十四五”期间</w:t>
      </w:r>
      <w:r>
        <w:rPr>
          <w:rFonts w:ascii="仿宋_GB2312" w:eastAsia="仿宋_GB2312" w:cs="仿宋_GB2312"/>
          <w:color w:val="auto"/>
          <w:sz w:val="32"/>
          <w:szCs w:val="32"/>
        </w:rPr>
        <w:t>6</w:t>
      </w:r>
      <w:r>
        <w:rPr>
          <w:rFonts w:hint="eastAsia" w:ascii="仿宋_GB2312" w:eastAsia="仿宋_GB2312" w:cs="仿宋_GB2312"/>
          <w:color w:val="auto"/>
          <w:sz w:val="32"/>
          <w:szCs w:val="32"/>
        </w:rPr>
        <w:t>台单机</w:t>
      </w:r>
      <w:r>
        <w:rPr>
          <w:rFonts w:ascii="仿宋_GB2312" w:eastAsia="仿宋_GB2312" w:cs="仿宋_GB2312"/>
          <w:color w:val="auto"/>
          <w:sz w:val="32"/>
          <w:szCs w:val="32"/>
        </w:rPr>
        <w:t>30</w:t>
      </w:r>
      <w:r>
        <w:rPr>
          <w:rFonts w:hint="eastAsia" w:ascii="仿宋_GB2312" w:eastAsia="仿宋_GB2312" w:cs="仿宋_GB2312"/>
          <w:color w:val="auto"/>
          <w:sz w:val="32"/>
          <w:szCs w:val="32"/>
        </w:rPr>
        <w:t>万千瓦机组全部并网发电</w:t>
      </w:r>
      <w:r>
        <w:rPr>
          <w:rFonts w:hint="eastAsia" w:eastAsia="仿宋_GB2312" w:cs="仿宋_GB2312"/>
          <w:color w:val="auto"/>
          <w:kern w:val="0"/>
          <w:sz w:val="32"/>
          <w:szCs w:val="32"/>
        </w:rPr>
        <w:t>，同时</w:t>
      </w:r>
      <w:r>
        <w:rPr>
          <w:rFonts w:hint="eastAsia" w:ascii="仿宋_GB2312" w:eastAsia="仿宋_GB2312" w:cs="仿宋_GB2312"/>
          <w:color w:val="auto"/>
          <w:sz w:val="32"/>
          <w:szCs w:val="32"/>
        </w:rPr>
        <w:t>结合一期电站项目，探索建立电站</w:t>
      </w:r>
      <w:r>
        <w:rPr>
          <w:rFonts w:ascii="仿宋_GB2312" w:eastAsia="仿宋_GB2312" w:cs="仿宋_GB2312"/>
          <w:color w:val="auto"/>
          <w:sz w:val="32"/>
          <w:szCs w:val="32"/>
        </w:rPr>
        <w:t>+</w:t>
      </w:r>
      <w:r>
        <w:rPr>
          <w:rFonts w:hint="eastAsia" w:ascii="仿宋_GB2312" w:eastAsia="仿宋_GB2312" w:cs="仿宋_GB2312"/>
          <w:color w:val="auto"/>
          <w:sz w:val="32"/>
          <w:szCs w:val="32"/>
        </w:rPr>
        <w:t>储能、电站</w:t>
      </w:r>
      <w:r>
        <w:rPr>
          <w:rFonts w:ascii="仿宋_GB2312" w:eastAsia="仿宋_GB2312" w:cs="仿宋_GB2312"/>
          <w:color w:val="auto"/>
          <w:sz w:val="32"/>
          <w:szCs w:val="32"/>
        </w:rPr>
        <w:t>+</w:t>
      </w:r>
      <w:r>
        <w:rPr>
          <w:rFonts w:hint="eastAsia" w:ascii="仿宋_GB2312" w:eastAsia="仿宋_GB2312" w:cs="仿宋_GB2312"/>
          <w:color w:val="auto"/>
          <w:sz w:val="32"/>
          <w:szCs w:val="32"/>
        </w:rPr>
        <w:t>生态旅游的产业模式，确保实现“建设一座电站，带动一方经济，保护一片环境，致富一方百姓”；</w:t>
      </w:r>
      <w:r>
        <w:rPr>
          <w:rFonts w:hint="eastAsia" w:eastAsia="仿宋_GB2312" w:cs="仿宋_GB2312"/>
          <w:color w:val="auto"/>
          <w:kern w:val="0"/>
          <w:sz w:val="32"/>
          <w:szCs w:val="32"/>
        </w:rPr>
        <w:t>大力推进清原抽水蓄能电站二期装机规模</w:t>
      </w:r>
      <w:r>
        <w:rPr>
          <w:rFonts w:eastAsia="仿宋_GB2312"/>
          <w:color w:val="auto"/>
          <w:kern w:val="0"/>
          <w:sz w:val="32"/>
          <w:szCs w:val="32"/>
        </w:rPr>
        <w:t>120</w:t>
      </w:r>
      <w:r>
        <w:rPr>
          <w:rFonts w:hint="eastAsia" w:eastAsia="仿宋_GB2312" w:cs="仿宋_GB2312"/>
          <w:color w:val="auto"/>
          <w:kern w:val="0"/>
          <w:sz w:val="32"/>
          <w:szCs w:val="32"/>
        </w:rPr>
        <w:t>万千瓦项目的前期工作；探索利用矿坑治理建设抽蓄电站，加快推动西露天矿抽水蓄能电站</w:t>
      </w:r>
      <w:r>
        <w:rPr>
          <w:rFonts w:eastAsia="仿宋_GB2312"/>
          <w:color w:val="auto"/>
          <w:kern w:val="0"/>
          <w:sz w:val="32"/>
          <w:szCs w:val="32"/>
        </w:rPr>
        <w:t>100</w:t>
      </w:r>
      <w:r>
        <w:rPr>
          <w:rFonts w:hint="eastAsia" w:eastAsia="仿宋_GB2312" w:cs="仿宋_GB2312"/>
          <w:color w:val="auto"/>
          <w:kern w:val="0"/>
          <w:sz w:val="32"/>
          <w:szCs w:val="32"/>
        </w:rPr>
        <w:t>万千瓦项目前期研究，</w:t>
      </w:r>
      <w:r>
        <w:rPr>
          <w:rFonts w:eastAsia="仿宋_GB2312"/>
          <w:color w:val="auto"/>
          <w:kern w:val="0"/>
          <w:sz w:val="32"/>
          <w:szCs w:val="32"/>
        </w:rPr>
        <w:t>2023</w:t>
      </w:r>
      <w:r>
        <w:rPr>
          <w:rFonts w:hint="eastAsia" w:eastAsia="仿宋_GB2312" w:cs="仿宋_GB2312"/>
          <w:color w:val="auto"/>
          <w:kern w:val="0"/>
          <w:sz w:val="32"/>
          <w:szCs w:val="32"/>
        </w:rPr>
        <w:t>年启动开工建设。目前，这两项抽水蓄能电站项目已纳入国家《抽水蓄能中长期发展规划》，力争</w:t>
      </w:r>
      <w:r>
        <w:rPr>
          <w:rFonts w:eastAsia="仿宋_GB2312"/>
          <w:color w:val="auto"/>
          <w:kern w:val="0"/>
          <w:sz w:val="32"/>
          <w:szCs w:val="32"/>
        </w:rPr>
        <w:t>“</w:t>
      </w:r>
      <w:r>
        <w:rPr>
          <w:rFonts w:hint="eastAsia" w:eastAsia="仿宋_GB2312" w:cs="仿宋_GB2312"/>
          <w:color w:val="auto"/>
          <w:kern w:val="0"/>
          <w:sz w:val="32"/>
          <w:szCs w:val="32"/>
        </w:rPr>
        <w:t>十四五</w:t>
      </w:r>
      <w:r>
        <w:rPr>
          <w:rFonts w:eastAsia="仿宋_GB2312"/>
          <w:color w:val="auto"/>
          <w:kern w:val="0"/>
          <w:sz w:val="32"/>
          <w:szCs w:val="32"/>
        </w:rPr>
        <w:t>”</w:t>
      </w:r>
      <w:r>
        <w:rPr>
          <w:rFonts w:hint="eastAsia" w:eastAsia="仿宋_GB2312" w:cs="仿宋_GB2312"/>
          <w:color w:val="auto"/>
          <w:kern w:val="0"/>
          <w:sz w:val="32"/>
          <w:szCs w:val="32"/>
        </w:rPr>
        <w:t>期间全部开工建设，力争</w:t>
      </w:r>
      <w:r>
        <w:rPr>
          <w:rFonts w:hint="eastAsia" w:ascii="仿宋_GB2312" w:eastAsia="仿宋_GB2312" w:cs="仿宋_GB2312"/>
          <w:color w:val="auto"/>
          <w:sz w:val="32"/>
          <w:szCs w:val="32"/>
        </w:rPr>
        <w:t>到</w:t>
      </w:r>
      <w:r>
        <w:rPr>
          <w:rFonts w:ascii="仿宋_GB2312" w:eastAsia="仿宋_GB2312" w:cs="仿宋_GB2312"/>
          <w:color w:val="auto"/>
          <w:sz w:val="32"/>
          <w:szCs w:val="32"/>
        </w:rPr>
        <w:t>2025</w:t>
      </w:r>
      <w:r>
        <w:rPr>
          <w:rFonts w:hint="eastAsia" w:ascii="仿宋_GB2312" w:eastAsia="仿宋_GB2312" w:cs="仿宋_GB2312"/>
          <w:color w:val="auto"/>
          <w:sz w:val="32"/>
          <w:szCs w:val="32"/>
        </w:rPr>
        <w:t>年底，</w:t>
      </w:r>
      <w:r>
        <w:rPr>
          <w:rFonts w:hint="eastAsia" w:eastAsia="仿宋_GB2312" w:cs="仿宋_GB2312"/>
          <w:color w:val="auto"/>
          <w:kern w:val="0"/>
          <w:sz w:val="32"/>
          <w:szCs w:val="32"/>
        </w:rPr>
        <w:t>新增抽水蓄能装机容量</w:t>
      </w:r>
      <w:r>
        <w:rPr>
          <w:rFonts w:ascii="仿宋_GB2312" w:eastAsia="仿宋_GB2312" w:cs="仿宋_GB2312"/>
          <w:color w:val="auto"/>
          <w:sz w:val="32"/>
          <w:szCs w:val="32"/>
        </w:rPr>
        <w:t>220</w:t>
      </w:r>
      <w:r>
        <w:rPr>
          <w:rFonts w:hint="eastAsia" w:eastAsia="仿宋_GB2312" w:cs="仿宋_GB2312"/>
          <w:color w:val="auto"/>
          <w:kern w:val="0"/>
          <w:sz w:val="32"/>
          <w:szCs w:val="32"/>
        </w:rPr>
        <w:t>万千瓦，</w:t>
      </w:r>
      <w:r>
        <w:rPr>
          <w:rFonts w:hint="eastAsia" w:ascii="仿宋_GB2312" w:eastAsia="仿宋_GB2312" w:cs="仿宋_GB2312"/>
          <w:color w:val="auto"/>
          <w:sz w:val="32"/>
          <w:szCs w:val="32"/>
        </w:rPr>
        <w:t>“十四五”期末</w:t>
      </w:r>
      <w:r>
        <w:rPr>
          <w:rFonts w:hint="eastAsia" w:eastAsia="仿宋_GB2312" w:cs="仿宋_GB2312"/>
          <w:color w:val="auto"/>
          <w:kern w:val="0"/>
          <w:sz w:val="32"/>
          <w:szCs w:val="32"/>
        </w:rPr>
        <w:t>装机</w:t>
      </w:r>
      <w:r>
        <w:rPr>
          <w:rFonts w:hint="eastAsia" w:ascii="仿宋_GB2312" w:eastAsia="仿宋_GB2312" w:cs="仿宋_GB2312"/>
          <w:color w:val="auto"/>
          <w:sz w:val="32"/>
          <w:szCs w:val="32"/>
        </w:rPr>
        <w:t>规模达</w:t>
      </w:r>
      <w:r>
        <w:rPr>
          <w:rFonts w:ascii="仿宋_GB2312" w:eastAsia="仿宋_GB2312" w:cs="仿宋_GB2312"/>
          <w:color w:val="auto"/>
          <w:sz w:val="32"/>
          <w:szCs w:val="32"/>
        </w:rPr>
        <w:t>400</w:t>
      </w:r>
      <w:r>
        <w:rPr>
          <w:rFonts w:hint="eastAsia" w:ascii="仿宋_GB2312" w:eastAsia="仿宋_GB2312" w:cs="仿宋_GB2312"/>
          <w:color w:val="auto"/>
          <w:sz w:val="32"/>
          <w:szCs w:val="32"/>
        </w:rPr>
        <w:t>万千瓦。</w:t>
      </w:r>
    </w:p>
    <w:p>
      <w:pPr>
        <w:spacing w:line="600" w:lineRule="exact"/>
        <w:ind w:firstLine="640" w:firstLineChars="200"/>
        <w:rPr>
          <w:rFonts w:eastAsia="仿宋_GB2312"/>
          <w:color w:val="auto"/>
          <w:kern w:val="0"/>
          <w:sz w:val="32"/>
          <w:szCs w:val="32"/>
        </w:rPr>
      </w:pPr>
    </w:p>
    <w:tbl>
      <w:tblPr>
        <w:tblStyle w:val="52"/>
        <w:tblW w:w="8296" w:type="dxa"/>
        <w:jc w:val="center"/>
        <w:tblLayout w:type="fixed"/>
        <w:tblCellMar>
          <w:top w:w="0" w:type="dxa"/>
          <w:left w:w="108" w:type="dxa"/>
          <w:bottom w:w="0" w:type="dxa"/>
          <w:right w:w="108" w:type="dxa"/>
        </w:tblCellMar>
      </w:tblPr>
      <w:tblGrid>
        <w:gridCol w:w="8296"/>
      </w:tblGrid>
      <w:tr>
        <w:trPr>
          <w:trHeight w:val="642"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keepNext/>
              <w:keepLines/>
              <w:widowControl/>
              <w:spacing w:before="100" w:beforeAutospacing="1" w:after="100" w:afterAutospacing="1" w:line="600" w:lineRule="exact"/>
              <w:ind w:firstLine="562" w:firstLineChars="200"/>
              <w:jc w:val="center"/>
              <w:rPr>
                <w:rFonts w:ascii="宋体"/>
                <w:b/>
                <w:bCs/>
                <w:color w:val="auto"/>
                <w:kern w:val="0"/>
                <w:sz w:val="28"/>
                <w:szCs w:val="28"/>
              </w:rPr>
            </w:pPr>
            <w:r>
              <w:rPr>
                <w:rFonts w:hint="eastAsia" w:ascii="宋体" w:hAnsi="宋体" w:cs="宋体"/>
                <w:b/>
                <w:bCs/>
                <w:color w:val="auto"/>
                <w:sz w:val="28"/>
                <w:szCs w:val="28"/>
              </w:rPr>
              <w:t>专栏二“十四五”抽水蓄能项目</w:t>
            </w:r>
          </w:p>
        </w:tc>
      </w:tr>
      <w:tr>
        <w:tblPrEx>
          <w:tblCellMar>
            <w:top w:w="0" w:type="dxa"/>
            <w:left w:w="108" w:type="dxa"/>
            <w:bottom w:w="0" w:type="dxa"/>
            <w:right w:w="108" w:type="dxa"/>
          </w:tblCellMar>
        </w:tblPrEx>
        <w:trPr>
          <w:trHeight w:val="544"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keepNext/>
              <w:keepLines/>
              <w:spacing w:line="600" w:lineRule="exact"/>
              <w:ind w:firstLine="562" w:firstLineChars="200"/>
              <w:rPr>
                <w:rFonts w:ascii="宋体"/>
                <w:color w:val="auto"/>
                <w:sz w:val="28"/>
                <w:szCs w:val="28"/>
              </w:rPr>
            </w:pPr>
            <w:r>
              <w:rPr>
                <w:rFonts w:hint="eastAsia" w:ascii="宋体" w:hAnsi="宋体" w:cs="宋体"/>
                <w:b/>
                <w:bCs/>
                <w:color w:val="auto"/>
                <w:sz w:val="28"/>
                <w:szCs w:val="28"/>
              </w:rPr>
              <w:t>清原抽水蓄能电站一期项目。</w:t>
            </w:r>
            <w:r>
              <w:rPr>
                <w:rFonts w:hint="eastAsia" w:ascii="宋体" w:hAnsi="宋体" w:cs="宋体"/>
                <w:color w:val="auto"/>
                <w:sz w:val="28"/>
                <w:szCs w:val="28"/>
              </w:rPr>
              <w:t>总投资</w:t>
            </w:r>
            <w:r>
              <w:rPr>
                <w:rFonts w:ascii="宋体" w:hAnsi="宋体" w:cs="宋体"/>
                <w:color w:val="auto"/>
                <w:sz w:val="28"/>
                <w:szCs w:val="28"/>
              </w:rPr>
              <w:t>109</w:t>
            </w:r>
            <w:r>
              <w:rPr>
                <w:rFonts w:hint="eastAsia" w:ascii="宋体" w:hAnsi="宋体" w:cs="宋体"/>
                <w:color w:val="auto"/>
                <w:sz w:val="28"/>
                <w:szCs w:val="28"/>
              </w:rPr>
              <w:t>亿元，总装机规模</w:t>
            </w:r>
            <w:r>
              <w:rPr>
                <w:rFonts w:ascii="宋体" w:hAnsi="宋体" w:cs="宋体"/>
                <w:color w:val="auto"/>
                <w:sz w:val="28"/>
                <w:szCs w:val="28"/>
              </w:rPr>
              <w:t>180</w:t>
            </w:r>
            <w:r>
              <w:rPr>
                <w:rFonts w:hint="eastAsia" w:ascii="宋体" w:hAnsi="宋体" w:cs="宋体"/>
                <w:color w:val="auto"/>
                <w:sz w:val="28"/>
                <w:szCs w:val="28"/>
              </w:rPr>
              <w:t>万千瓦，于</w:t>
            </w:r>
            <w:r>
              <w:rPr>
                <w:rFonts w:ascii="宋体" w:hAnsi="宋体" w:cs="宋体"/>
                <w:color w:val="auto"/>
                <w:sz w:val="28"/>
                <w:szCs w:val="28"/>
              </w:rPr>
              <w:t>2017</w:t>
            </w:r>
            <w:r>
              <w:rPr>
                <w:rFonts w:hint="eastAsia" w:ascii="宋体" w:hAnsi="宋体" w:cs="宋体"/>
                <w:color w:val="auto"/>
                <w:sz w:val="28"/>
                <w:szCs w:val="28"/>
              </w:rPr>
              <w:t>年开工建设，预计</w:t>
            </w:r>
            <w:r>
              <w:rPr>
                <w:rFonts w:ascii="宋体" w:hAnsi="宋体" w:cs="宋体"/>
                <w:color w:val="auto"/>
                <w:sz w:val="28"/>
                <w:szCs w:val="28"/>
              </w:rPr>
              <w:t>2023</w:t>
            </w:r>
            <w:r>
              <w:rPr>
                <w:rFonts w:hint="eastAsia" w:ascii="宋体" w:hAnsi="宋体" w:cs="宋体"/>
                <w:color w:val="auto"/>
                <w:sz w:val="28"/>
                <w:szCs w:val="28"/>
              </w:rPr>
              <w:t>年底首台机组建成投运，</w:t>
            </w:r>
            <w:r>
              <w:rPr>
                <w:rFonts w:ascii="宋体" w:hAnsi="宋体" w:cs="宋体"/>
                <w:color w:val="auto"/>
                <w:sz w:val="28"/>
                <w:szCs w:val="28"/>
              </w:rPr>
              <w:t>2025</w:t>
            </w:r>
            <w:r>
              <w:rPr>
                <w:rFonts w:hint="eastAsia" w:ascii="宋体" w:hAnsi="宋体" w:cs="宋体"/>
                <w:color w:val="auto"/>
                <w:sz w:val="28"/>
                <w:szCs w:val="28"/>
              </w:rPr>
              <w:t>年底前六台机组全部并网发电。</w:t>
            </w:r>
          </w:p>
          <w:p>
            <w:pPr>
              <w:keepNext/>
              <w:keepLines/>
              <w:spacing w:line="600" w:lineRule="exact"/>
              <w:ind w:firstLine="562" w:firstLineChars="200"/>
              <w:rPr>
                <w:rFonts w:ascii="宋体"/>
                <w:color w:val="auto"/>
                <w:sz w:val="28"/>
                <w:szCs w:val="28"/>
              </w:rPr>
            </w:pPr>
            <w:r>
              <w:rPr>
                <w:rFonts w:hint="eastAsia" w:ascii="宋体" w:hAnsi="宋体" w:cs="宋体"/>
                <w:b/>
                <w:bCs/>
                <w:color w:val="auto"/>
                <w:sz w:val="28"/>
                <w:szCs w:val="28"/>
              </w:rPr>
              <w:t>清原抽水蓄能电站二期项目。</w:t>
            </w:r>
            <w:r>
              <w:rPr>
                <w:rFonts w:hint="eastAsia" w:ascii="宋体" w:hAnsi="宋体" w:cs="宋体"/>
                <w:color w:val="auto"/>
                <w:sz w:val="28"/>
                <w:szCs w:val="28"/>
              </w:rPr>
              <w:t>总投资</w:t>
            </w:r>
            <w:r>
              <w:rPr>
                <w:rFonts w:ascii="宋体" w:hAnsi="宋体" w:cs="宋体"/>
                <w:color w:val="auto"/>
                <w:sz w:val="28"/>
                <w:szCs w:val="28"/>
              </w:rPr>
              <w:t>71</w:t>
            </w:r>
            <w:r>
              <w:rPr>
                <w:rFonts w:hint="eastAsia" w:ascii="宋体" w:hAnsi="宋体" w:cs="宋体"/>
                <w:color w:val="auto"/>
                <w:sz w:val="28"/>
                <w:szCs w:val="28"/>
              </w:rPr>
              <w:t>亿元，总装机规模</w:t>
            </w:r>
            <w:r>
              <w:rPr>
                <w:rFonts w:ascii="宋体" w:hAnsi="宋体" w:cs="宋体"/>
                <w:color w:val="auto"/>
                <w:sz w:val="28"/>
                <w:szCs w:val="28"/>
              </w:rPr>
              <w:t>120</w:t>
            </w:r>
            <w:r>
              <w:rPr>
                <w:rFonts w:hint="eastAsia" w:ascii="宋体" w:hAnsi="宋体" w:cs="宋体"/>
                <w:color w:val="auto"/>
                <w:sz w:val="28"/>
                <w:szCs w:val="28"/>
              </w:rPr>
              <w:t>万千瓦，预计</w:t>
            </w:r>
            <w:r>
              <w:rPr>
                <w:rFonts w:ascii="宋体" w:hAnsi="宋体" w:cs="宋体"/>
                <w:color w:val="auto"/>
                <w:sz w:val="28"/>
                <w:szCs w:val="28"/>
              </w:rPr>
              <w:t>2024</w:t>
            </w:r>
            <w:r>
              <w:rPr>
                <w:rFonts w:hint="eastAsia" w:ascii="宋体" w:hAnsi="宋体" w:cs="宋体"/>
                <w:color w:val="auto"/>
                <w:sz w:val="28"/>
                <w:szCs w:val="28"/>
              </w:rPr>
              <w:t>年底前完成选点规划调整、项目预可研、可研等前期工作，力争“十四五”期间开工建设。</w:t>
            </w:r>
          </w:p>
          <w:p>
            <w:pPr>
              <w:keepNext/>
              <w:keepLines/>
              <w:spacing w:line="600" w:lineRule="exact"/>
              <w:ind w:firstLine="562" w:firstLineChars="200"/>
              <w:rPr>
                <w:rFonts w:ascii="宋体"/>
                <w:color w:val="auto"/>
                <w:sz w:val="28"/>
                <w:szCs w:val="28"/>
              </w:rPr>
            </w:pPr>
            <w:r>
              <w:rPr>
                <w:rFonts w:hint="eastAsia" w:ascii="宋体" w:hAnsi="宋体" w:cs="宋体"/>
                <w:b/>
                <w:bCs/>
                <w:color w:val="auto"/>
                <w:sz w:val="28"/>
                <w:szCs w:val="28"/>
              </w:rPr>
              <w:t>西露天矿抽水蓄能电站项目</w:t>
            </w:r>
            <w:r>
              <w:rPr>
                <w:rFonts w:hint="eastAsia" w:ascii="宋体" w:hAnsi="宋体" w:cs="宋体"/>
                <w:color w:val="auto"/>
                <w:sz w:val="28"/>
                <w:szCs w:val="28"/>
              </w:rPr>
              <w:t>。总投资</w:t>
            </w:r>
            <w:r>
              <w:rPr>
                <w:rFonts w:ascii="宋体" w:hAnsi="宋体" w:cs="宋体"/>
                <w:color w:val="auto"/>
                <w:sz w:val="28"/>
                <w:szCs w:val="28"/>
              </w:rPr>
              <w:t>75</w:t>
            </w:r>
            <w:r>
              <w:rPr>
                <w:rFonts w:hint="eastAsia" w:ascii="宋体" w:hAnsi="宋体" w:cs="宋体"/>
                <w:color w:val="auto"/>
                <w:sz w:val="28"/>
                <w:szCs w:val="28"/>
              </w:rPr>
              <w:t>亿元，总装机规模</w:t>
            </w:r>
            <w:r>
              <w:rPr>
                <w:rFonts w:ascii="宋体" w:hAnsi="宋体" w:cs="宋体"/>
                <w:color w:val="auto"/>
                <w:sz w:val="28"/>
                <w:szCs w:val="28"/>
              </w:rPr>
              <w:t>1</w:t>
            </w:r>
            <w:r>
              <w:rPr>
                <w:rFonts w:ascii="宋体" w:cs="宋体"/>
                <w:color w:val="auto"/>
                <w:sz w:val="28"/>
                <w:szCs w:val="28"/>
              </w:rPr>
              <w:t>00</w:t>
            </w:r>
            <w:r>
              <w:rPr>
                <w:rFonts w:hint="eastAsia" w:ascii="宋体" w:hAnsi="宋体" w:cs="宋体"/>
                <w:color w:val="auto"/>
                <w:sz w:val="28"/>
                <w:szCs w:val="28"/>
              </w:rPr>
              <w:t>万千瓦，预计</w:t>
            </w:r>
            <w:r>
              <w:rPr>
                <w:rFonts w:ascii="宋体" w:hAnsi="宋体" w:cs="宋体"/>
                <w:color w:val="auto"/>
                <w:sz w:val="28"/>
                <w:szCs w:val="28"/>
              </w:rPr>
              <w:t>2022</w:t>
            </w:r>
            <w:r>
              <w:rPr>
                <w:rFonts w:hint="eastAsia" w:ascii="宋体" w:hAnsi="宋体" w:cs="宋体"/>
                <w:color w:val="auto"/>
                <w:sz w:val="28"/>
                <w:szCs w:val="28"/>
              </w:rPr>
              <w:t>年底前完成选点规划调整、项目预可研、可研等前期工作，力争</w:t>
            </w:r>
            <w:r>
              <w:rPr>
                <w:rFonts w:ascii="宋体" w:hAnsi="宋体" w:cs="宋体"/>
                <w:color w:val="auto"/>
                <w:sz w:val="28"/>
                <w:szCs w:val="28"/>
              </w:rPr>
              <w:t>2023</w:t>
            </w:r>
            <w:r>
              <w:rPr>
                <w:rFonts w:hint="eastAsia" w:ascii="宋体" w:hAnsi="宋体" w:cs="宋体"/>
                <w:color w:val="auto"/>
                <w:sz w:val="28"/>
                <w:szCs w:val="28"/>
              </w:rPr>
              <w:t>年开工建设，“十四五”期间完成规模投资。</w:t>
            </w:r>
          </w:p>
        </w:tc>
      </w:tr>
    </w:tbl>
    <w:p>
      <w:pPr>
        <w:pStyle w:val="2"/>
        <w:rPr>
          <w:rFonts w:cs="Times New Roman"/>
        </w:rPr>
      </w:pP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27" w:name="_Toc86233326"/>
      <w:r>
        <w:rPr>
          <w:rFonts w:hint="eastAsia" w:ascii="黑体" w:hAnsi="黑体" w:eastAsia="黑体" w:cs="黑体"/>
          <w:color w:val="auto"/>
          <w:sz w:val="32"/>
          <w:szCs w:val="32"/>
        </w:rPr>
        <w:t>二、多元化推动太阳能利用</w:t>
      </w:r>
      <w:bookmarkEnd w:id="27"/>
    </w:p>
    <w:p>
      <w:pPr>
        <w:spacing w:line="600" w:lineRule="atLeast"/>
        <w:ind w:firstLine="640" w:firstLineChars="200"/>
        <w:rPr>
          <w:rFonts w:ascii="仿宋_GB2312" w:eastAsia="仿宋_GB2312"/>
          <w:color w:val="auto"/>
          <w:sz w:val="32"/>
          <w:szCs w:val="32"/>
        </w:rPr>
      </w:pPr>
      <w:r>
        <w:rPr>
          <w:rFonts w:hint="eastAsia" w:eastAsia="仿宋_GB2312" w:cs="仿宋_GB2312"/>
          <w:color w:val="auto"/>
          <w:kern w:val="0"/>
          <w:sz w:val="32"/>
          <w:szCs w:val="32"/>
        </w:rPr>
        <w:t>充分发挥太阳能资源丰富、分布广泛的特点以及我市开发利用基础较好的优势，以提供绿色电力等为重点，坚持集中式与分布式光伏发电并举，加快建设新能源发电和装备制造基地。注重因地制宜，优先推动光伏发电就近开发利用，积极推动光伏发电与常规能源体系相融合，创新“光伏</w:t>
      </w:r>
      <w:r>
        <w:rPr>
          <w:rFonts w:eastAsia="仿宋_GB2312"/>
          <w:color w:val="auto"/>
          <w:kern w:val="0"/>
          <w:sz w:val="32"/>
          <w:szCs w:val="32"/>
        </w:rPr>
        <w:t>+</w:t>
      </w:r>
      <w:r>
        <w:rPr>
          <w:rFonts w:hint="eastAsia" w:eastAsia="仿宋_GB2312" w:cs="仿宋_GB2312"/>
          <w:color w:val="auto"/>
          <w:kern w:val="0"/>
          <w:sz w:val="32"/>
          <w:szCs w:val="32"/>
        </w:rPr>
        <w:t>”模式，稳步推进太阳能多元化、广范围、高效率利用。力争</w:t>
      </w:r>
      <w:r>
        <w:rPr>
          <w:rFonts w:hint="eastAsia" w:ascii="仿宋_GB2312" w:eastAsia="仿宋_GB2312" w:cs="仿宋_GB2312"/>
          <w:color w:val="auto"/>
          <w:sz w:val="32"/>
          <w:szCs w:val="32"/>
        </w:rPr>
        <w:t>到</w:t>
      </w:r>
      <w:r>
        <w:rPr>
          <w:rFonts w:ascii="仿宋_GB2312" w:eastAsia="仿宋_GB2312" w:cs="仿宋_GB2312"/>
          <w:color w:val="auto"/>
          <w:sz w:val="32"/>
          <w:szCs w:val="32"/>
        </w:rPr>
        <w:t>2025</w:t>
      </w:r>
      <w:r>
        <w:rPr>
          <w:rFonts w:hint="eastAsia" w:ascii="仿宋_GB2312" w:eastAsia="仿宋_GB2312" w:cs="仿宋_GB2312"/>
          <w:color w:val="auto"/>
          <w:sz w:val="32"/>
          <w:szCs w:val="32"/>
        </w:rPr>
        <w:t>年底，</w:t>
      </w:r>
      <w:r>
        <w:rPr>
          <w:rFonts w:hint="eastAsia" w:eastAsia="仿宋_GB2312" w:cs="仿宋_GB2312"/>
          <w:color w:val="auto"/>
          <w:kern w:val="0"/>
          <w:sz w:val="32"/>
          <w:szCs w:val="32"/>
        </w:rPr>
        <w:t>新增光伏发电装机容量</w:t>
      </w:r>
      <w:r>
        <w:rPr>
          <w:rFonts w:ascii="仿宋_GB2312" w:eastAsia="仿宋_GB2312" w:cs="仿宋_GB2312"/>
          <w:color w:val="auto"/>
          <w:sz w:val="32"/>
          <w:szCs w:val="32"/>
        </w:rPr>
        <w:t>178.2</w:t>
      </w:r>
      <w:r>
        <w:rPr>
          <w:rFonts w:hint="eastAsia" w:eastAsia="仿宋_GB2312" w:cs="仿宋_GB2312"/>
          <w:color w:val="auto"/>
          <w:kern w:val="0"/>
          <w:sz w:val="32"/>
          <w:szCs w:val="32"/>
        </w:rPr>
        <w:t>万千瓦，</w:t>
      </w:r>
      <w:r>
        <w:rPr>
          <w:rFonts w:hint="eastAsia" w:ascii="仿宋_GB2312" w:eastAsia="仿宋_GB2312" w:cs="仿宋_GB2312"/>
          <w:color w:val="auto"/>
          <w:sz w:val="32"/>
          <w:szCs w:val="32"/>
        </w:rPr>
        <w:t>“十四五”期末光伏发电规模达</w:t>
      </w:r>
      <w:r>
        <w:rPr>
          <w:rFonts w:ascii="仿宋_GB2312" w:eastAsia="仿宋_GB2312" w:cs="仿宋_GB2312"/>
          <w:color w:val="auto"/>
          <w:sz w:val="32"/>
          <w:szCs w:val="32"/>
        </w:rPr>
        <w:t>185.38</w:t>
      </w:r>
      <w:r>
        <w:rPr>
          <w:rFonts w:hint="eastAsia" w:ascii="仿宋_GB2312" w:eastAsia="仿宋_GB2312" w:cs="仿宋_GB2312"/>
          <w:color w:val="auto"/>
          <w:sz w:val="32"/>
          <w:szCs w:val="32"/>
        </w:rPr>
        <w:t>万千瓦。</w:t>
      </w:r>
    </w:p>
    <w:p>
      <w:pPr>
        <w:spacing w:line="600" w:lineRule="atLeast"/>
        <w:ind w:firstLine="643" w:firstLineChars="200"/>
        <w:rPr>
          <w:rFonts w:ascii="楷体" w:hAnsi="楷体" w:eastAsia="楷体"/>
          <w:b/>
          <w:bCs/>
          <w:sz w:val="32"/>
          <w:szCs w:val="32"/>
        </w:rPr>
      </w:pPr>
      <w:r>
        <w:rPr>
          <w:rFonts w:hint="eastAsia" w:ascii="楷体" w:hAnsi="楷体" w:eastAsia="楷体" w:cs="楷体"/>
          <w:b/>
          <w:bCs/>
          <w:sz w:val="32"/>
          <w:szCs w:val="32"/>
        </w:rPr>
        <w:t>（一）加快推动集中式光伏电站建设</w:t>
      </w:r>
    </w:p>
    <w:p>
      <w:pPr>
        <w:spacing w:line="600" w:lineRule="atLeast"/>
        <w:ind w:firstLine="640" w:firstLineChars="200"/>
        <w:rPr>
          <w:rFonts w:ascii="仿宋_GB2312" w:eastAsia="仿宋_GB2312"/>
          <w:color w:val="auto"/>
          <w:sz w:val="32"/>
          <w:szCs w:val="32"/>
        </w:rPr>
      </w:pPr>
      <w:r>
        <w:rPr>
          <w:rFonts w:hint="eastAsia" w:eastAsia="仿宋_GB2312" w:cs="仿宋_GB2312"/>
          <w:color w:val="auto"/>
          <w:kern w:val="0"/>
          <w:sz w:val="32"/>
          <w:szCs w:val="32"/>
        </w:rPr>
        <w:t>重点支持利用采煤沉陷区、废弃矿区闲置土地，</w:t>
      </w:r>
      <w:r>
        <w:rPr>
          <w:rFonts w:hint="eastAsia" w:ascii="仿宋_GB2312" w:eastAsia="仿宋_GB2312" w:cs="仿宋_GB2312"/>
          <w:color w:val="auto"/>
          <w:sz w:val="32"/>
          <w:szCs w:val="32"/>
        </w:rPr>
        <w:t>结合土地复垦整理</w:t>
      </w:r>
      <w:r>
        <w:rPr>
          <w:rFonts w:hint="eastAsia" w:eastAsia="仿宋_GB2312" w:cs="仿宋_GB2312"/>
          <w:color w:val="auto"/>
          <w:kern w:val="0"/>
          <w:sz w:val="32"/>
          <w:szCs w:val="32"/>
        </w:rPr>
        <w:t>等发展光伏；支持利用荒山荒坡、坑塘水面、排泥区等未利用地及一般农用地建设农光互补项目；</w:t>
      </w:r>
      <w:r>
        <w:rPr>
          <w:rFonts w:hint="eastAsia" w:ascii="仿宋_GB2312" w:eastAsia="仿宋_GB2312" w:cs="仿宋_GB2312"/>
          <w:color w:val="auto"/>
          <w:sz w:val="32"/>
          <w:szCs w:val="32"/>
        </w:rPr>
        <w:t>探索利用</w:t>
      </w:r>
      <w:r>
        <w:rPr>
          <w:rFonts w:hint="eastAsia" w:eastAsia="仿宋_GB2312" w:cs="仿宋_GB2312"/>
          <w:color w:val="auto"/>
          <w:kern w:val="0"/>
          <w:sz w:val="32"/>
          <w:szCs w:val="32"/>
        </w:rPr>
        <w:t>大伙房水源地准保护区</w:t>
      </w:r>
      <w:r>
        <w:rPr>
          <w:rFonts w:hint="eastAsia" w:ascii="仿宋_GB2312" w:eastAsia="仿宋_GB2312" w:cs="仿宋_GB2312"/>
          <w:color w:val="auto"/>
          <w:sz w:val="32"/>
          <w:szCs w:val="32"/>
        </w:rPr>
        <w:t>农用地建设光伏项目。支持建设一批农光互补、风光互补以及渔光互补等“光伏</w:t>
      </w:r>
      <w:r>
        <w:rPr>
          <w:rFonts w:ascii="仿宋_GB2312" w:eastAsia="仿宋_GB2312" w:cs="仿宋_GB2312"/>
          <w:color w:val="auto"/>
          <w:sz w:val="32"/>
          <w:szCs w:val="32"/>
        </w:rPr>
        <w:t>+</w:t>
      </w:r>
      <w:r>
        <w:rPr>
          <w:rFonts w:hint="eastAsia" w:ascii="仿宋_GB2312" w:eastAsia="仿宋_GB2312" w:cs="仿宋_GB2312"/>
          <w:color w:val="auto"/>
          <w:sz w:val="32"/>
          <w:szCs w:val="32"/>
        </w:rPr>
        <w:t>”综合利用平价基地，鼓励推广“光伏</w:t>
      </w:r>
      <w:r>
        <w:rPr>
          <w:rFonts w:ascii="仿宋_GB2312" w:eastAsia="仿宋_GB2312" w:cs="仿宋_GB2312"/>
          <w:color w:val="auto"/>
          <w:sz w:val="32"/>
          <w:szCs w:val="32"/>
        </w:rPr>
        <w:t>+</w:t>
      </w:r>
      <w:r>
        <w:rPr>
          <w:rFonts w:hint="eastAsia" w:ascii="仿宋_GB2312" w:eastAsia="仿宋_GB2312" w:cs="仿宋_GB2312"/>
          <w:color w:val="auto"/>
          <w:sz w:val="32"/>
          <w:szCs w:val="32"/>
        </w:rPr>
        <w:t>”生态旅游示范、光伏特色小镇等，促进光伏与农业、渔业等其它产业有机融合。“十四五”期末集中式光伏发电规模达</w:t>
      </w:r>
      <w:r>
        <w:rPr>
          <w:rFonts w:ascii="仿宋_GB2312" w:eastAsia="仿宋_GB2312" w:cs="仿宋_GB2312"/>
          <w:color w:val="auto"/>
          <w:sz w:val="32"/>
          <w:szCs w:val="32"/>
        </w:rPr>
        <w:t>180</w:t>
      </w:r>
      <w:r>
        <w:rPr>
          <w:rFonts w:hint="eastAsia" w:ascii="仿宋_GB2312" w:eastAsia="仿宋_GB2312" w:cs="仿宋_GB2312"/>
          <w:color w:val="auto"/>
          <w:sz w:val="32"/>
          <w:szCs w:val="32"/>
        </w:rPr>
        <w:t>万千瓦，其中新增装机容量</w:t>
      </w:r>
      <w:r>
        <w:rPr>
          <w:rFonts w:ascii="仿宋_GB2312" w:eastAsia="仿宋_GB2312" w:cs="仿宋_GB2312"/>
          <w:color w:val="auto"/>
          <w:sz w:val="32"/>
          <w:szCs w:val="32"/>
        </w:rPr>
        <w:t>174</w:t>
      </w:r>
      <w:r>
        <w:rPr>
          <w:rFonts w:hint="eastAsia" w:ascii="仿宋_GB2312" w:eastAsia="仿宋_GB2312" w:cs="仿宋_GB2312"/>
          <w:color w:val="auto"/>
          <w:sz w:val="32"/>
          <w:szCs w:val="32"/>
        </w:rPr>
        <w:t>万千瓦。</w:t>
      </w:r>
    </w:p>
    <w:p>
      <w:pPr>
        <w:spacing w:line="600" w:lineRule="atLeast"/>
        <w:ind w:firstLine="643" w:firstLineChars="200"/>
        <w:rPr>
          <w:rFonts w:ascii="楷体" w:hAnsi="楷体" w:eastAsia="楷体"/>
          <w:b/>
          <w:bCs/>
          <w:sz w:val="32"/>
          <w:szCs w:val="32"/>
        </w:rPr>
      </w:pPr>
      <w:r>
        <w:rPr>
          <w:rFonts w:hint="eastAsia" w:ascii="楷体" w:hAnsi="楷体" w:eastAsia="楷体" w:cs="楷体"/>
          <w:b/>
          <w:bCs/>
          <w:sz w:val="32"/>
          <w:szCs w:val="32"/>
        </w:rPr>
        <w:t>（二）积极创建分布式光伏发电示范市</w:t>
      </w:r>
    </w:p>
    <w:p>
      <w:pPr>
        <w:spacing w:line="600" w:lineRule="atLeast"/>
        <w:ind w:firstLine="640" w:firstLineChars="200"/>
        <w:rPr>
          <w:rFonts w:eastAsia="仿宋_GB2312"/>
          <w:color w:val="auto"/>
          <w:kern w:val="0"/>
          <w:sz w:val="32"/>
          <w:szCs w:val="32"/>
        </w:rPr>
      </w:pPr>
      <w:r>
        <w:rPr>
          <w:rFonts w:hint="eastAsia" w:eastAsia="仿宋_GB2312" w:cs="仿宋_GB2312"/>
          <w:color w:val="auto"/>
          <w:kern w:val="0"/>
          <w:sz w:val="32"/>
          <w:szCs w:val="32"/>
        </w:rPr>
        <w:t>重点在工业园区、经济开发区、公共建筑以及集中居住村屯等，可利用屋顶面积充裕、电网接入条件较好、电力负荷较大的区域，发展“自用为主、余电上网”的分布式光伏发电。新建工业园区、新建重大项目原则上具备发展分布式光伏系统的荷载能力和配网结构。积极推动分布式光伏与储能、微电网等融合发展，加快分布式光伏发电的推广和利用。鼓励居民社区、家庭和个人发展户用光伏系统，推动光伏发电入社区、进家庭，实现分布式新型清洁能源的就地消纳和有效利用。支持在</w:t>
      </w:r>
      <w:r>
        <w:rPr>
          <w:rFonts w:hint="eastAsia" w:ascii="仿宋_GB2312" w:eastAsia="仿宋_GB2312" w:cs="仿宋_GB2312"/>
          <w:color w:val="auto"/>
          <w:sz w:val="32"/>
          <w:szCs w:val="32"/>
        </w:rPr>
        <w:t>贫困乡村</w:t>
      </w:r>
      <w:r>
        <w:rPr>
          <w:rFonts w:hint="eastAsia" w:eastAsia="仿宋_GB2312" w:cs="仿宋_GB2312"/>
          <w:color w:val="auto"/>
          <w:kern w:val="0"/>
          <w:sz w:val="32"/>
          <w:szCs w:val="32"/>
        </w:rPr>
        <w:t>发展平价式光伏电源，</w:t>
      </w:r>
      <w:r>
        <w:rPr>
          <w:rFonts w:hint="eastAsia" w:ascii="仿宋_GB2312" w:eastAsia="仿宋_GB2312" w:cs="仿宋_GB2312"/>
          <w:color w:val="auto"/>
          <w:sz w:val="32"/>
          <w:szCs w:val="32"/>
        </w:rPr>
        <w:t>积极推进在屋顶、畜牧养殖、水产养殖、农产品加工等领域推广分布式光伏项目建设，促进贫困人口增收，发挥太阳能利用对扶贫开发的带动作用</w:t>
      </w:r>
      <w:r>
        <w:rPr>
          <w:rFonts w:hint="eastAsia" w:eastAsia="仿宋_GB2312" w:cs="仿宋_GB2312"/>
          <w:color w:val="auto"/>
          <w:kern w:val="0"/>
          <w:sz w:val="32"/>
          <w:szCs w:val="32"/>
        </w:rPr>
        <w:t>鼓励建设和发展与建筑一体化的分布式光伏发电系统。</w:t>
      </w:r>
      <w:r>
        <w:rPr>
          <w:rFonts w:hint="eastAsia" w:ascii="仿宋_GB2312" w:eastAsia="仿宋_GB2312" w:cs="仿宋_GB2312"/>
          <w:color w:val="auto"/>
          <w:sz w:val="32"/>
          <w:szCs w:val="32"/>
        </w:rPr>
        <w:t>“十四五”期末分布式光伏发电规模达</w:t>
      </w:r>
      <w:r>
        <w:rPr>
          <w:rFonts w:ascii="仿宋_GB2312" w:eastAsia="仿宋_GB2312" w:cs="仿宋_GB2312"/>
          <w:color w:val="auto"/>
          <w:sz w:val="32"/>
          <w:szCs w:val="32"/>
        </w:rPr>
        <w:t>5.38</w:t>
      </w:r>
      <w:r>
        <w:rPr>
          <w:rFonts w:hint="eastAsia" w:ascii="仿宋_GB2312" w:eastAsia="仿宋_GB2312" w:cs="仿宋_GB2312"/>
          <w:color w:val="auto"/>
          <w:sz w:val="32"/>
          <w:szCs w:val="32"/>
        </w:rPr>
        <w:t>万千瓦，其中新增装机容量</w:t>
      </w:r>
      <w:r>
        <w:rPr>
          <w:rFonts w:ascii="仿宋_GB2312" w:eastAsia="仿宋_GB2312" w:cs="仿宋_GB2312"/>
          <w:color w:val="auto"/>
          <w:sz w:val="32"/>
          <w:szCs w:val="32"/>
        </w:rPr>
        <w:t>4.2</w:t>
      </w:r>
      <w:r>
        <w:rPr>
          <w:rFonts w:hint="eastAsia" w:ascii="仿宋_GB2312" w:eastAsia="仿宋_GB2312" w:cs="仿宋_GB2312"/>
          <w:color w:val="auto"/>
          <w:sz w:val="32"/>
          <w:szCs w:val="32"/>
        </w:rPr>
        <w:t>万千瓦。</w:t>
      </w:r>
    </w:p>
    <w:tbl>
      <w:tblPr>
        <w:tblStyle w:val="52"/>
        <w:tblW w:w="8296" w:type="dxa"/>
        <w:jc w:val="center"/>
        <w:tblLayout w:type="fixed"/>
        <w:tblCellMar>
          <w:top w:w="0" w:type="dxa"/>
          <w:left w:w="108" w:type="dxa"/>
          <w:bottom w:w="0" w:type="dxa"/>
          <w:right w:w="108" w:type="dxa"/>
        </w:tblCellMar>
      </w:tblPr>
      <w:tblGrid>
        <w:gridCol w:w="8296"/>
      </w:tblGrid>
      <w:tr>
        <w:trPr>
          <w:trHeight w:val="644"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widowControl/>
              <w:spacing w:line="600" w:lineRule="exact"/>
              <w:ind w:firstLine="562" w:firstLineChars="200"/>
              <w:jc w:val="center"/>
              <w:rPr>
                <w:rFonts w:ascii="宋体"/>
                <w:b/>
                <w:bCs/>
                <w:color w:val="auto"/>
                <w:kern w:val="0"/>
                <w:sz w:val="28"/>
                <w:szCs w:val="28"/>
              </w:rPr>
            </w:pPr>
            <w:r>
              <w:rPr>
                <w:rFonts w:hint="eastAsia" w:ascii="宋体" w:hAnsi="宋体" w:cs="宋体"/>
                <w:b/>
                <w:bCs/>
                <w:color w:val="auto"/>
                <w:sz w:val="28"/>
                <w:szCs w:val="28"/>
              </w:rPr>
              <w:t>专栏三</w:t>
            </w:r>
            <w:r>
              <w:rPr>
                <w:rFonts w:ascii="宋体" w:hAnsi="宋体" w:cs="宋体"/>
                <w:b/>
                <w:bCs/>
                <w:color w:val="auto"/>
                <w:sz w:val="28"/>
                <w:szCs w:val="28"/>
              </w:rPr>
              <w:t xml:space="preserve"> </w:t>
            </w:r>
            <w:r>
              <w:rPr>
                <w:rFonts w:hint="eastAsia" w:ascii="宋体" w:hAnsi="宋体" w:cs="宋体"/>
                <w:b/>
                <w:bCs/>
                <w:color w:val="auto"/>
                <w:sz w:val="28"/>
                <w:szCs w:val="28"/>
              </w:rPr>
              <w:t>“十四五”光伏重点和包装策划项目</w:t>
            </w:r>
          </w:p>
        </w:tc>
      </w:tr>
      <w:tr>
        <w:tblPrEx>
          <w:tblCellMar>
            <w:top w:w="0" w:type="dxa"/>
            <w:left w:w="108" w:type="dxa"/>
            <w:bottom w:w="0" w:type="dxa"/>
            <w:right w:w="108" w:type="dxa"/>
          </w:tblCellMar>
        </w:tblPrEx>
        <w:trPr>
          <w:trHeight w:val="544"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spacing w:line="276" w:lineRule="auto"/>
              <w:ind w:firstLine="562" w:firstLineChars="200"/>
              <w:rPr>
                <w:rFonts w:ascii="宋体"/>
                <w:b/>
                <w:bCs/>
                <w:color w:val="auto"/>
                <w:sz w:val="28"/>
                <w:szCs w:val="28"/>
              </w:rPr>
            </w:pPr>
            <w:r>
              <w:rPr>
                <w:rFonts w:hint="eastAsia" w:ascii="宋体" w:hAnsi="宋体" w:cs="宋体"/>
                <w:b/>
                <w:bCs/>
                <w:color w:val="auto"/>
                <w:sz w:val="28"/>
                <w:szCs w:val="28"/>
              </w:rPr>
              <w:t>重点项目（</w:t>
            </w:r>
            <w:r>
              <w:rPr>
                <w:rFonts w:ascii="宋体" w:hAnsi="宋体" w:cs="宋体"/>
                <w:b/>
                <w:bCs/>
                <w:color w:val="auto"/>
                <w:sz w:val="28"/>
                <w:szCs w:val="28"/>
              </w:rPr>
              <w:t>2021</w:t>
            </w:r>
            <w:r>
              <w:rPr>
                <w:rFonts w:ascii="宋体" w:cs="宋体"/>
                <w:b/>
                <w:bCs/>
                <w:color w:val="auto"/>
                <w:sz w:val="28"/>
                <w:szCs w:val="28"/>
              </w:rPr>
              <w:t>-</w:t>
            </w:r>
            <w:r>
              <w:rPr>
                <w:rFonts w:ascii="宋体" w:hAnsi="宋体" w:cs="宋体"/>
                <w:b/>
                <w:bCs/>
                <w:color w:val="auto"/>
                <w:sz w:val="28"/>
                <w:szCs w:val="28"/>
              </w:rPr>
              <w:t>2022</w:t>
            </w:r>
            <w:r>
              <w:rPr>
                <w:rFonts w:hint="eastAsia" w:ascii="宋体" w:hAnsi="宋体" w:cs="宋体"/>
                <w:b/>
                <w:bCs/>
                <w:color w:val="auto"/>
                <w:sz w:val="28"/>
                <w:szCs w:val="28"/>
              </w:rPr>
              <w:t>年新开工建设项目）：</w:t>
            </w:r>
          </w:p>
          <w:p>
            <w:pPr>
              <w:spacing w:line="600" w:lineRule="exact"/>
              <w:ind w:firstLine="562" w:firstLineChars="200"/>
              <w:rPr>
                <w:rFonts w:ascii="??" w:hAnsi="??" w:cs="??"/>
                <w:b/>
                <w:bCs/>
                <w:sz w:val="28"/>
                <w:szCs w:val="28"/>
              </w:rPr>
            </w:pPr>
            <w:r>
              <w:rPr>
                <w:rFonts w:ascii="??" w:hAnsi="??" w:cs="??"/>
                <w:b/>
                <w:bCs/>
                <w:sz w:val="28"/>
                <w:szCs w:val="28"/>
              </w:rPr>
              <w:t>1</w:t>
            </w:r>
            <w:r>
              <w:rPr>
                <w:rFonts w:hint="eastAsia" w:ascii="??" w:hAnsi="??" w:cs="宋体"/>
                <w:b/>
                <w:bCs/>
                <w:sz w:val="28"/>
                <w:szCs w:val="28"/>
              </w:rPr>
              <w:t>、抚矿集团</w:t>
            </w:r>
            <w:r>
              <w:rPr>
                <w:rFonts w:ascii="??" w:hAnsi="??" w:cs="??"/>
                <w:b/>
                <w:bCs/>
                <w:sz w:val="28"/>
                <w:szCs w:val="28"/>
              </w:rPr>
              <w:t>10</w:t>
            </w:r>
            <w:r>
              <w:rPr>
                <w:rFonts w:hint="eastAsia" w:ascii="??" w:hAnsi="??" w:cs="宋体"/>
                <w:b/>
                <w:bCs/>
                <w:sz w:val="28"/>
                <w:szCs w:val="28"/>
              </w:rPr>
              <w:t>万千瓦光伏发电项目</w:t>
            </w:r>
          </w:p>
          <w:p>
            <w:pPr>
              <w:spacing w:line="600" w:lineRule="exact"/>
              <w:ind w:firstLine="560" w:firstLineChars="200"/>
              <w:rPr>
                <w:rFonts w:ascii="??" w:hAnsi="??" w:cs="??"/>
                <w:sz w:val="28"/>
                <w:szCs w:val="28"/>
              </w:rPr>
            </w:pPr>
            <w:r>
              <w:rPr>
                <w:rFonts w:hint="eastAsia" w:ascii="??" w:hAnsi="??" w:cs="宋体"/>
                <w:sz w:val="28"/>
                <w:szCs w:val="28"/>
              </w:rPr>
              <w:t>总投资</w:t>
            </w:r>
            <w:r>
              <w:rPr>
                <w:rFonts w:ascii="??" w:hAnsi="??" w:cs="??"/>
                <w:sz w:val="28"/>
                <w:szCs w:val="28"/>
              </w:rPr>
              <w:t>4.05</w:t>
            </w:r>
            <w:r>
              <w:rPr>
                <w:rFonts w:hint="eastAsia" w:ascii="??" w:hAnsi="??" w:cs="宋体"/>
                <w:sz w:val="28"/>
                <w:szCs w:val="28"/>
              </w:rPr>
              <w:t>亿元，预计</w:t>
            </w:r>
            <w:r>
              <w:rPr>
                <w:rFonts w:ascii="??" w:hAnsi="??" w:cs="??"/>
                <w:sz w:val="28"/>
                <w:szCs w:val="28"/>
              </w:rPr>
              <w:t>2021</w:t>
            </w:r>
            <w:r>
              <w:rPr>
                <w:rFonts w:hint="eastAsia" w:ascii="??" w:hAnsi="??" w:cs="宋体"/>
                <w:sz w:val="28"/>
                <w:szCs w:val="28"/>
              </w:rPr>
              <w:t>年底前建成投运。</w:t>
            </w:r>
          </w:p>
          <w:p>
            <w:pPr>
              <w:spacing w:line="600" w:lineRule="exact"/>
              <w:ind w:firstLine="562" w:firstLineChars="200"/>
              <w:rPr>
                <w:rFonts w:ascii="??" w:hAnsi="??" w:cs="??"/>
                <w:b/>
                <w:bCs/>
                <w:sz w:val="28"/>
                <w:szCs w:val="28"/>
              </w:rPr>
            </w:pPr>
            <w:r>
              <w:rPr>
                <w:rFonts w:ascii="??" w:hAnsi="??" w:cs="??"/>
                <w:b/>
                <w:bCs/>
                <w:sz w:val="28"/>
                <w:szCs w:val="28"/>
              </w:rPr>
              <w:t>2</w:t>
            </w:r>
            <w:r>
              <w:rPr>
                <w:rFonts w:hint="eastAsia" w:ascii="??" w:hAnsi="??" w:cs="宋体"/>
                <w:b/>
                <w:bCs/>
                <w:sz w:val="28"/>
                <w:szCs w:val="28"/>
              </w:rPr>
              <w:t>、晶科电力</w:t>
            </w:r>
            <w:r>
              <w:rPr>
                <w:rFonts w:ascii="??" w:hAnsi="??" w:cs="??"/>
                <w:b/>
                <w:bCs/>
                <w:sz w:val="28"/>
                <w:szCs w:val="28"/>
              </w:rPr>
              <w:t>10</w:t>
            </w:r>
            <w:r>
              <w:rPr>
                <w:rFonts w:hint="eastAsia" w:ascii="??" w:hAnsi="??" w:cs="宋体"/>
                <w:b/>
                <w:bCs/>
                <w:sz w:val="28"/>
                <w:szCs w:val="28"/>
              </w:rPr>
              <w:t>万千瓦光伏发电项目</w:t>
            </w:r>
          </w:p>
          <w:p>
            <w:pPr>
              <w:spacing w:line="600" w:lineRule="exact"/>
              <w:ind w:firstLine="560" w:firstLineChars="200"/>
              <w:rPr>
                <w:rFonts w:ascii="??" w:hAnsi="??" w:cs="??"/>
                <w:sz w:val="28"/>
                <w:szCs w:val="28"/>
              </w:rPr>
            </w:pPr>
            <w:r>
              <w:rPr>
                <w:rFonts w:hint="eastAsia" w:ascii="??" w:hAnsi="??" w:cs="宋体"/>
                <w:sz w:val="28"/>
                <w:szCs w:val="28"/>
              </w:rPr>
              <w:t>总投资</w:t>
            </w:r>
            <w:r>
              <w:rPr>
                <w:rFonts w:ascii="??" w:hAnsi="??" w:cs="??"/>
                <w:sz w:val="28"/>
                <w:szCs w:val="28"/>
              </w:rPr>
              <w:t>4</w:t>
            </w:r>
            <w:r>
              <w:rPr>
                <w:rFonts w:hint="eastAsia" w:ascii="??" w:hAnsi="??" w:cs="宋体"/>
                <w:sz w:val="28"/>
                <w:szCs w:val="28"/>
              </w:rPr>
              <w:t>亿元，预计</w:t>
            </w:r>
            <w:r>
              <w:rPr>
                <w:rFonts w:ascii="??" w:hAnsi="??" w:cs="??"/>
                <w:sz w:val="28"/>
                <w:szCs w:val="28"/>
              </w:rPr>
              <w:t>2021</w:t>
            </w:r>
            <w:r>
              <w:rPr>
                <w:rFonts w:hint="eastAsia" w:ascii="??" w:hAnsi="??" w:cs="宋体"/>
                <w:sz w:val="28"/>
                <w:szCs w:val="28"/>
              </w:rPr>
              <w:t>年底前建成投运。</w:t>
            </w:r>
          </w:p>
          <w:p>
            <w:pPr>
              <w:spacing w:line="600" w:lineRule="exact"/>
              <w:ind w:firstLine="562" w:firstLineChars="200"/>
              <w:rPr>
                <w:rFonts w:ascii="??" w:hAnsi="??" w:cs="??"/>
                <w:b/>
                <w:bCs/>
                <w:sz w:val="28"/>
                <w:szCs w:val="28"/>
              </w:rPr>
            </w:pPr>
            <w:r>
              <w:rPr>
                <w:rFonts w:ascii="??" w:hAnsi="??" w:cs="??"/>
                <w:b/>
                <w:bCs/>
                <w:sz w:val="28"/>
                <w:szCs w:val="28"/>
              </w:rPr>
              <w:t>3</w:t>
            </w:r>
            <w:r>
              <w:rPr>
                <w:rFonts w:hint="eastAsia" w:ascii="??" w:hAnsi="??" w:cs="宋体"/>
                <w:b/>
                <w:bCs/>
                <w:sz w:val="28"/>
                <w:szCs w:val="28"/>
              </w:rPr>
              <w:t>、抚矿集团西舍场另外</w:t>
            </w:r>
            <w:r>
              <w:rPr>
                <w:rFonts w:ascii="??" w:hAnsi="??" w:cs="??"/>
                <w:b/>
                <w:bCs/>
                <w:sz w:val="28"/>
                <w:szCs w:val="28"/>
              </w:rPr>
              <w:t>10</w:t>
            </w:r>
            <w:r>
              <w:rPr>
                <w:rFonts w:hint="eastAsia" w:ascii="??" w:hAnsi="??" w:cs="宋体"/>
                <w:b/>
                <w:bCs/>
                <w:sz w:val="28"/>
                <w:szCs w:val="28"/>
              </w:rPr>
              <w:t>万千瓦光伏项目</w:t>
            </w:r>
          </w:p>
          <w:p>
            <w:pPr>
              <w:spacing w:line="600" w:lineRule="exact"/>
              <w:ind w:firstLine="560" w:firstLineChars="200"/>
              <w:rPr>
                <w:rFonts w:ascii="??" w:hAnsi="??" w:cs="??"/>
                <w:sz w:val="28"/>
                <w:szCs w:val="28"/>
              </w:rPr>
            </w:pPr>
            <w:r>
              <w:rPr>
                <w:rFonts w:hint="eastAsia" w:ascii="??" w:hAnsi="??" w:cs="宋体"/>
                <w:sz w:val="28"/>
                <w:szCs w:val="28"/>
              </w:rPr>
              <w:t>总投资</w:t>
            </w:r>
            <w:r>
              <w:rPr>
                <w:rFonts w:ascii="??" w:hAnsi="??" w:cs="??"/>
                <w:sz w:val="28"/>
                <w:szCs w:val="28"/>
              </w:rPr>
              <w:t>4</w:t>
            </w:r>
            <w:r>
              <w:rPr>
                <w:rFonts w:hint="eastAsia" w:ascii="??" w:hAnsi="??" w:cs="宋体"/>
                <w:sz w:val="28"/>
                <w:szCs w:val="28"/>
              </w:rPr>
              <w:t>亿元，预计</w:t>
            </w:r>
            <w:r>
              <w:rPr>
                <w:rFonts w:ascii="??" w:hAnsi="??" w:cs="??"/>
                <w:sz w:val="28"/>
                <w:szCs w:val="28"/>
              </w:rPr>
              <w:t>2022</w:t>
            </w:r>
            <w:r>
              <w:rPr>
                <w:rFonts w:hint="eastAsia" w:ascii="??" w:hAnsi="??" w:cs="宋体"/>
                <w:sz w:val="28"/>
                <w:szCs w:val="28"/>
              </w:rPr>
              <w:t>年底前建成投运。</w:t>
            </w:r>
          </w:p>
          <w:p>
            <w:pPr>
              <w:spacing w:line="600" w:lineRule="exact"/>
              <w:ind w:firstLine="562" w:firstLineChars="200"/>
              <w:rPr>
                <w:rFonts w:ascii="??" w:hAnsi="??" w:cs="??"/>
                <w:b/>
                <w:bCs/>
                <w:sz w:val="28"/>
                <w:szCs w:val="28"/>
              </w:rPr>
            </w:pPr>
            <w:r>
              <w:rPr>
                <w:rFonts w:ascii="??" w:hAnsi="??" w:cs="??"/>
                <w:b/>
                <w:bCs/>
                <w:sz w:val="28"/>
                <w:szCs w:val="28"/>
              </w:rPr>
              <w:t>4</w:t>
            </w:r>
            <w:r>
              <w:rPr>
                <w:rFonts w:hint="eastAsia" w:ascii="??" w:hAnsi="??" w:cs="宋体"/>
                <w:b/>
                <w:bCs/>
                <w:sz w:val="28"/>
                <w:szCs w:val="28"/>
              </w:rPr>
              <w:t>、西舍场外新选址</w:t>
            </w:r>
            <w:r>
              <w:rPr>
                <w:rFonts w:ascii="??" w:hAnsi="??" w:cs="??"/>
                <w:b/>
                <w:bCs/>
                <w:sz w:val="28"/>
                <w:szCs w:val="28"/>
              </w:rPr>
              <w:t>10</w:t>
            </w:r>
            <w:r>
              <w:rPr>
                <w:rFonts w:hint="eastAsia" w:ascii="??" w:hAnsi="??" w:cs="宋体"/>
                <w:b/>
                <w:bCs/>
                <w:sz w:val="28"/>
                <w:szCs w:val="28"/>
              </w:rPr>
              <w:t>万千瓦光伏项目</w:t>
            </w:r>
          </w:p>
          <w:p>
            <w:pPr>
              <w:spacing w:line="600" w:lineRule="exact"/>
              <w:ind w:firstLine="560" w:firstLineChars="200"/>
              <w:rPr>
                <w:rFonts w:ascii="??" w:hAnsi="??" w:cs="??"/>
                <w:sz w:val="28"/>
                <w:szCs w:val="28"/>
              </w:rPr>
            </w:pPr>
            <w:r>
              <w:rPr>
                <w:rFonts w:hint="eastAsia" w:ascii="??" w:hAnsi="??" w:cs="宋体"/>
                <w:sz w:val="28"/>
                <w:szCs w:val="28"/>
              </w:rPr>
              <w:t>总投资</w:t>
            </w:r>
            <w:r>
              <w:rPr>
                <w:rFonts w:ascii="??" w:hAnsi="??" w:cs="??"/>
                <w:sz w:val="28"/>
                <w:szCs w:val="28"/>
              </w:rPr>
              <w:t>4</w:t>
            </w:r>
            <w:r>
              <w:rPr>
                <w:rFonts w:hint="eastAsia" w:ascii="??" w:hAnsi="??" w:cs="宋体"/>
                <w:sz w:val="28"/>
                <w:szCs w:val="28"/>
              </w:rPr>
              <w:t>亿元，预计</w:t>
            </w:r>
            <w:r>
              <w:rPr>
                <w:rFonts w:ascii="??" w:hAnsi="??" w:cs="??"/>
                <w:sz w:val="28"/>
                <w:szCs w:val="28"/>
              </w:rPr>
              <w:t>2022</w:t>
            </w:r>
            <w:r>
              <w:rPr>
                <w:rFonts w:hint="eastAsia" w:ascii="??" w:hAnsi="??" w:cs="宋体"/>
                <w:sz w:val="28"/>
                <w:szCs w:val="28"/>
              </w:rPr>
              <w:t>年底前建成投运。</w:t>
            </w:r>
          </w:p>
          <w:p>
            <w:pPr>
              <w:spacing w:line="600" w:lineRule="exact"/>
              <w:ind w:firstLine="562" w:firstLineChars="200"/>
              <w:rPr>
                <w:rFonts w:ascii="??" w:hAnsi="??" w:cs="??"/>
                <w:b/>
                <w:bCs/>
                <w:sz w:val="28"/>
                <w:szCs w:val="28"/>
              </w:rPr>
            </w:pPr>
            <w:r>
              <w:rPr>
                <w:rFonts w:ascii="??" w:hAnsi="??" w:cs="??"/>
                <w:b/>
                <w:bCs/>
                <w:sz w:val="28"/>
                <w:szCs w:val="28"/>
              </w:rPr>
              <w:t>5</w:t>
            </w:r>
            <w:r>
              <w:rPr>
                <w:rFonts w:hint="eastAsia" w:ascii="??" w:hAnsi="??" w:cs="宋体"/>
                <w:b/>
                <w:bCs/>
                <w:sz w:val="28"/>
                <w:szCs w:val="28"/>
              </w:rPr>
              <w:t>、平价光伏发电项目</w:t>
            </w:r>
          </w:p>
          <w:p>
            <w:pPr>
              <w:spacing w:line="600" w:lineRule="exact"/>
              <w:ind w:firstLine="560" w:firstLineChars="200"/>
              <w:rPr>
                <w:rFonts w:ascii="??" w:hAnsi="??" w:cs="??"/>
                <w:sz w:val="28"/>
                <w:szCs w:val="28"/>
              </w:rPr>
            </w:pPr>
            <w:r>
              <w:rPr>
                <w:rFonts w:hint="eastAsia" w:ascii="??" w:hAnsi="??" w:cs="宋体"/>
                <w:sz w:val="28"/>
                <w:szCs w:val="28"/>
              </w:rPr>
              <w:t>包括抚矿南舍场二期、清原东仪</w:t>
            </w:r>
            <w:r>
              <w:rPr>
                <w:rFonts w:ascii="??" w:hAnsi="??" w:cs="??"/>
                <w:sz w:val="28"/>
                <w:szCs w:val="28"/>
              </w:rPr>
              <w:t>2</w:t>
            </w:r>
            <w:r>
              <w:rPr>
                <w:rFonts w:hint="eastAsia" w:ascii="??" w:hAnsi="??" w:cs="宋体"/>
                <w:sz w:val="28"/>
                <w:szCs w:val="28"/>
              </w:rPr>
              <w:t>个项目，总投资</w:t>
            </w:r>
            <w:r>
              <w:rPr>
                <w:rFonts w:ascii="??" w:hAnsi="??" w:cs="??"/>
                <w:sz w:val="28"/>
                <w:szCs w:val="28"/>
              </w:rPr>
              <w:t>1.55</w:t>
            </w:r>
            <w:r>
              <w:rPr>
                <w:rFonts w:hint="eastAsia" w:ascii="??" w:hAnsi="??" w:cs="宋体"/>
                <w:sz w:val="28"/>
                <w:szCs w:val="28"/>
              </w:rPr>
              <w:t>亿元，总装机规模</w:t>
            </w:r>
            <w:r>
              <w:rPr>
                <w:rFonts w:ascii="??" w:hAnsi="??" w:cs="??"/>
                <w:sz w:val="28"/>
                <w:szCs w:val="28"/>
              </w:rPr>
              <w:t>4</w:t>
            </w:r>
            <w:r>
              <w:rPr>
                <w:rFonts w:hint="eastAsia" w:ascii="??" w:hAnsi="??" w:cs="宋体"/>
                <w:sz w:val="28"/>
                <w:szCs w:val="28"/>
              </w:rPr>
              <w:t>万千瓦，预计</w:t>
            </w:r>
            <w:r>
              <w:rPr>
                <w:rFonts w:ascii="??" w:hAnsi="??" w:cs="??"/>
                <w:sz w:val="28"/>
                <w:szCs w:val="28"/>
              </w:rPr>
              <w:t>2021</w:t>
            </w:r>
            <w:r>
              <w:rPr>
                <w:rFonts w:hint="eastAsia" w:ascii="??" w:hAnsi="??" w:cs="宋体"/>
                <w:sz w:val="28"/>
                <w:szCs w:val="28"/>
              </w:rPr>
              <w:t>年底前建成投运。</w:t>
            </w:r>
          </w:p>
          <w:p>
            <w:pPr>
              <w:spacing w:line="600" w:lineRule="exact"/>
              <w:ind w:firstLine="562" w:firstLineChars="200"/>
              <w:rPr>
                <w:rFonts w:ascii="??" w:hAnsi="??" w:cs="??"/>
                <w:sz w:val="28"/>
                <w:szCs w:val="28"/>
              </w:rPr>
            </w:pPr>
            <w:r>
              <w:rPr>
                <w:rFonts w:hint="eastAsia" w:ascii="??" w:hAnsi="??" w:cs="宋体"/>
                <w:b/>
                <w:bCs/>
                <w:sz w:val="28"/>
                <w:szCs w:val="28"/>
              </w:rPr>
              <w:t>包装策划项目：</w:t>
            </w:r>
            <w:r>
              <w:rPr>
                <w:rFonts w:hint="eastAsia" w:ascii="??" w:hAnsi="??" w:cs="宋体"/>
                <w:sz w:val="28"/>
                <w:szCs w:val="28"/>
              </w:rPr>
              <w:t>项目初步选址在新宾县、清原县部分乡镇和顺城区、东洲区、新抚区，完成项目用地条件论证，明确地块坐标范围，共计</w:t>
            </w:r>
            <w:r>
              <w:rPr>
                <w:rFonts w:ascii="??" w:hAnsi="??" w:cs="??"/>
                <w:sz w:val="28"/>
                <w:szCs w:val="28"/>
              </w:rPr>
              <w:t>10</w:t>
            </w:r>
            <w:r>
              <w:rPr>
                <w:rFonts w:hint="eastAsia" w:ascii="??" w:hAnsi="??" w:cs="宋体"/>
                <w:sz w:val="28"/>
                <w:szCs w:val="28"/>
              </w:rPr>
              <w:t>个，总投资</w:t>
            </w:r>
            <w:r>
              <w:rPr>
                <w:rFonts w:ascii="??" w:hAnsi="??" w:cs="??"/>
                <w:sz w:val="28"/>
                <w:szCs w:val="28"/>
              </w:rPr>
              <w:t>55.17</w:t>
            </w:r>
            <w:r>
              <w:rPr>
                <w:rFonts w:hint="eastAsia" w:ascii="??" w:hAnsi="??" w:cs="宋体"/>
                <w:sz w:val="28"/>
                <w:szCs w:val="28"/>
              </w:rPr>
              <w:t>亿元，总装机规模</w:t>
            </w:r>
            <w:r>
              <w:rPr>
                <w:rFonts w:ascii="??" w:hAnsi="??" w:cs="??"/>
                <w:sz w:val="28"/>
                <w:szCs w:val="28"/>
              </w:rPr>
              <w:t>134.2</w:t>
            </w:r>
            <w:r>
              <w:rPr>
                <w:rFonts w:hint="eastAsia" w:ascii="??" w:hAnsi="??" w:cs="宋体"/>
                <w:sz w:val="28"/>
                <w:szCs w:val="28"/>
              </w:rPr>
              <w:t>万千瓦，包括：</w:t>
            </w:r>
          </w:p>
          <w:p>
            <w:pPr>
              <w:spacing w:line="600" w:lineRule="exact"/>
              <w:ind w:firstLine="560" w:firstLineChars="200"/>
              <w:rPr>
                <w:rFonts w:ascii="??" w:hAnsi="??" w:cs="??"/>
                <w:sz w:val="28"/>
                <w:szCs w:val="28"/>
              </w:rPr>
            </w:pPr>
            <w:r>
              <w:rPr>
                <w:rFonts w:ascii="??" w:hAnsi="??" w:cs="??"/>
                <w:sz w:val="28"/>
                <w:szCs w:val="28"/>
              </w:rPr>
              <w:t>1</w:t>
            </w:r>
            <w:r>
              <w:rPr>
                <w:rFonts w:hint="eastAsia" w:ascii="??" w:hAnsi="??" w:cs="宋体"/>
                <w:sz w:val="28"/>
                <w:szCs w:val="28"/>
              </w:rPr>
              <w:t>、抚顺市采煤沉陷区生态综合治理</w:t>
            </w:r>
            <w:r>
              <w:rPr>
                <w:rFonts w:ascii="??" w:hAnsi="??" w:cs="??"/>
                <w:sz w:val="28"/>
                <w:szCs w:val="28"/>
              </w:rPr>
              <w:t>20</w:t>
            </w:r>
            <w:r>
              <w:rPr>
                <w:rFonts w:hint="eastAsia" w:ascii="??" w:hAnsi="??" w:cs="宋体"/>
                <w:sz w:val="28"/>
                <w:szCs w:val="28"/>
              </w:rPr>
              <w:t>万千瓦光伏发电项目</w:t>
            </w:r>
          </w:p>
          <w:p>
            <w:pPr>
              <w:spacing w:line="600" w:lineRule="exact"/>
              <w:ind w:firstLine="560" w:firstLineChars="200"/>
              <w:rPr>
                <w:rFonts w:ascii="??" w:hAnsi="??" w:cs="??"/>
                <w:sz w:val="28"/>
                <w:szCs w:val="28"/>
              </w:rPr>
            </w:pPr>
            <w:r>
              <w:rPr>
                <w:rFonts w:ascii="??" w:hAnsi="??" w:cs="??"/>
                <w:sz w:val="28"/>
                <w:szCs w:val="28"/>
              </w:rPr>
              <w:t>2</w:t>
            </w:r>
            <w:r>
              <w:rPr>
                <w:rFonts w:hint="eastAsia" w:ascii="??" w:hAnsi="??" w:cs="宋体"/>
                <w:sz w:val="28"/>
                <w:szCs w:val="28"/>
              </w:rPr>
              <w:t>、辽宁大唐清原县红透山镇</w:t>
            </w:r>
            <w:r>
              <w:rPr>
                <w:rFonts w:ascii="??" w:hAnsi="??" w:cs="??"/>
                <w:sz w:val="28"/>
                <w:szCs w:val="28"/>
              </w:rPr>
              <w:t>20</w:t>
            </w:r>
            <w:r>
              <w:rPr>
                <w:rFonts w:hint="eastAsia" w:ascii="??" w:hAnsi="??" w:cs="宋体"/>
                <w:sz w:val="28"/>
                <w:szCs w:val="28"/>
              </w:rPr>
              <w:t>万千瓦农光互补光伏发电项目</w:t>
            </w:r>
          </w:p>
          <w:p>
            <w:pPr>
              <w:spacing w:line="600" w:lineRule="exact"/>
              <w:ind w:firstLine="560" w:firstLineChars="200"/>
              <w:rPr>
                <w:rFonts w:ascii="??" w:hAnsi="??" w:cs="??"/>
                <w:sz w:val="28"/>
                <w:szCs w:val="28"/>
              </w:rPr>
            </w:pPr>
            <w:r>
              <w:rPr>
                <w:rFonts w:ascii="??" w:hAnsi="??" w:cs="??"/>
                <w:sz w:val="28"/>
                <w:szCs w:val="28"/>
              </w:rPr>
              <w:t>3</w:t>
            </w:r>
            <w:r>
              <w:rPr>
                <w:rFonts w:hint="eastAsia" w:ascii="??" w:hAnsi="??" w:cs="宋体"/>
                <w:sz w:val="28"/>
                <w:szCs w:val="28"/>
              </w:rPr>
              <w:t>、中能建投红透山</w:t>
            </w:r>
            <w:r>
              <w:rPr>
                <w:rFonts w:ascii="??" w:hAnsi="??" w:cs="??"/>
                <w:sz w:val="28"/>
                <w:szCs w:val="28"/>
              </w:rPr>
              <w:t>10</w:t>
            </w:r>
            <w:r>
              <w:rPr>
                <w:rFonts w:hint="eastAsia" w:ascii="??" w:hAnsi="??" w:cs="宋体"/>
                <w:sz w:val="28"/>
                <w:szCs w:val="28"/>
              </w:rPr>
              <w:t>万千瓦综合治理光伏发电项目</w:t>
            </w:r>
          </w:p>
          <w:p>
            <w:pPr>
              <w:spacing w:line="600" w:lineRule="exact"/>
              <w:ind w:firstLine="560" w:firstLineChars="200"/>
              <w:rPr>
                <w:rFonts w:ascii="??" w:hAnsi="??" w:cs="??"/>
                <w:sz w:val="28"/>
                <w:szCs w:val="28"/>
              </w:rPr>
            </w:pPr>
            <w:r>
              <w:rPr>
                <w:rFonts w:ascii="??" w:hAnsi="??" w:cs="??"/>
                <w:sz w:val="28"/>
                <w:szCs w:val="28"/>
              </w:rPr>
              <w:t>4</w:t>
            </w:r>
            <w:r>
              <w:rPr>
                <w:rFonts w:hint="eastAsia" w:ascii="??" w:hAnsi="??" w:cs="宋体"/>
                <w:sz w:val="28"/>
                <w:szCs w:val="28"/>
              </w:rPr>
              <w:t>、抚顺市新宾县旺清门镇</w:t>
            </w:r>
            <w:r>
              <w:rPr>
                <w:rFonts w:ascii="??" w:hAnsi="??" w:cs="??"/>
                <w:sz w:val="28"/>
                <w:szCs w:val="28"/>
              </w:rPr>
              <w:t>10</w:t>
            </w:r>
            <w:r>
              <w:rPr>
                <w:rFonts w:hint="eastAsia" w:ascii="??" w:hAnsi="??" w:cs="宋体"/>
                <w:sz w:val="28"/>
                <w:szCs w:val="28"/>
              </w:rPr>
              <w:t>万光伏发电项目</w:t>
            </w:r>
          </w:p>
          <w:p>
            <w:pPr>
              <w:spacing w:line="600" w:lineRule="exact"/>
              <w:ind w:firstLine="560" w:firstLineChars="200"/>
              <w:rPr>
                <w:rFonts w:ascii="??" w:hAnsi="??" w:cs="??"/>
                <w:sz w:val="28"/>
                <w:szCs w:val="28"/>
              </w:rPr>
            </w:pPr>
            <w:r>
              <w:rPr>
                <w:rFonts w:ascii="??" w:hAnsi="??" w:cs="??"/>
                <w:sz w:val="28"/>
                <w:szCs w:val="28"/>
              </w:rPr>
              <w:t>5</w:t>
            </w:r>
            <w:r>
              <w:rPr>
                <w:rFonts w:hint="eastAsia" w:ascii="??" w:hAnsi="??" w:cs="宋体"/>
                <w:sz w:val="28"/>
                <w:szCs w:val="28"/>
              </w:rPr>
              <w:t>、抚顺市新宾县刘家村</w:t>
            </w:r>
            <w:r>
              <w:rPr>
                <w:rFonts w:ascii="??" w:hAnsi="??" w:cs="??"/>
                <w:sz w:val="28"/>
                <w:szCs w:val="28"/>
              </w:rPr>
              <w:t>20</w:t>
            </w:r>
            <w:r>
              <w:rPr>
                <w:rFonts w:hint="eastAsia" w:ascii="??" w:hAnsi="??" w:cs="宋体"/>
                <w:sz w:val="28"/>
                <w:szCs w:val="28"/>
              </w:rPr>
              <w:t>万千瓦光伏发电项目</w:t>
            </w:r>
          </w:p>
          <w:p>
            <w:pPr>
              <w:spacing w:line="600" w:lineRule="exact"/>
              <w:ind w:firstLine="560" w:firstLineChars="200"/>
              <w:rPr>
                <w:rFonts w:ascii="??" w:hAnsi="??" w:cs="??"/>
                <w:sz w:val="28"/>
                <w:szCs w:val="28"/>
              </w:rPr>
            </w:pPr>
            <w:r>
              <w:rPr>
                <w:rFonts w:ascii="??" w:hAnsi="??" w:cs="??"/>
                <w:sz w:val="28"/>
                <w:szCs w:val="28"/>
              </w:rPr>
              <w:t>6</w:t>
            </w:r>
            <w:r>
              <w:rPr>
                <w:rFonts w:hint="eastAsia" w:ascii="??" w:hAnsi="??" w:cs="宋体"/>
                <w:sz w:val="28"/>
                <w:szCs w:val="28"/>
              </w:rPr>
              <w:t>、抚顺市新宾县下夹河乡</w:t>
            </w:r>
            <w:r>
              <w:rPr>
                <w:rFonts w:ascii="??" w:hAnsi="??" w:cs="??"/>
                <w:sz w:val="28"/>
                <w:szCs w:val="28"/>
              </w:rPr>
              <w:t>10</w:t>
            </w:r>
            <w:r>
              <w:rPr>
                <w:rFonts w:hint="eastAsia" w:ascii="??" w:hAnsi="??" w:cs="宋体"/>
                <w:sz w:val="28"/>
                <w:szCs w:val="28"/>
              </w:rPr>
              <w:t>万千瓦光伏发电项目</w:t>
            </w:r>
          </w:p>
          <w:p>
            <w:pPr>
              <w:spacing w:line="600" w:lineRule="exact"/>
              <w:ind w:firstLine="560" w:firstLineChars="200"/>
              <w:rPr>
                <w:rFonts w:ascii="??" w:hAnsi="??" w:cs="??"/>
                <w:sz w:val="28"/>
                <w:szCs w:val="28"/>
              </w:rPr>
            </w:pPr>
            <w:r>
              <w:rPr>
                <w:rFonts w:ascii="??" w:hAnsi="??" w:cs="??"/>
                <w:sz w:val="28"/>
                <w:szCs w:val="28"/>
              </w:rPr>
              <w:t>7</w:t>
            </w:r>
            <w:r>
              <w:rPr>
                <w:rFonts w:hint="eastAsia" w:ascii="??" w:hAnsi="??" w:cs="宋体"/>
                <w:sz w:val="28"/>
                <w:szCs w:val="28"/>
              </w:rPr>
              <w:t>、抚顺市新宾县永陵镇</w:t>
            </w:r>
            <w:r>
              <w:rPr>
                <w:rFonts w:ascii="??" w:hAnsi="??" w:cs="??"/>
                <w:sz w:val="28"/>
                <w:szCs w:val="28"/>
              </w:rPr>
              <w:t>20</w:t>
            </w:r>
            <w:r>
              <w:rPr>
                <w:rFonts w:hint="eastAsia" w:ascii="??" w:hAnsi="??" w:cs="宋体"/>
                <w:sz w:val="28"/>
                <w:szCs w:val="28"/>
              </w:rPr>
              <w:t>万千瓦农光互补光伏发电项目</w:t>
            </w:r>
          </w:p>
          <w:p>
            <w:pPr>
              <w:pStyle w:val="2"/>
              <w:ind w:firstLine="560" w:firstLineChars="200"/>
              <w:rPr>
                <w:rFonts w:ascii="??" w:hAnsi="??" w:eastAsia="宋体" w:cs="Times New Roman"/>
                <w:kern w:val="2"/>
                <w:sz w:val="28"/>
                <w:szCs w:val="28"/>
              </w:rPr>
            </w:pPr>
            <w:r>
              <w:rPr>
                <w:rFonts w:ascii="??" w:hAnsi="??" w:eastAsia="宋体" w:cs="??"/>
                <w:kern w:val="2"/>
                <w:sz w:val="28"/>
                <w:szCs w:val="28"/>
              </w:rPr>
              <w:t>8</w:t>
            </w:r>
            <w:r>
              <w:rPr>
                <w:rFonts w:hint="eastAsia" w:ascii="??" w:hAnsi="??" w:eastAsia="宋体" w:cs="宋体"/>
                <w:kern w:val="2"/>
                <w:sz w:val="28"/>
                <w:szCs w:val="28"/>
              </w:rPr>
              <w:t>、抚顺市新宾县苇子峪镇</w:t>
            </w:r>
            <w:r>
              <w:rPr>
                <w:rFonts w:ascii="??" w:hAnsi="??" w:eastAsia="宋体" w:cs="??"/>
                <w:kern w:val="2"/>
                <w:sz w:val="28"/>
                <w:szCs w:val="28"/>
              </w:rPr>
              <w:t>20</w:t>
            </w:r>
            <w:r>
              <w:rPr>
                <w:rFonts w:hint="eastAsia" w:ascii="??" w:hAnsi="??" w:eastAsia="宋体" w:cs="宋体"/>
                <w:kern w:val="2"/>
                <w:sz w:val="28"/>
                <w:szCs w:val="28"/>
              </w:rPr>
              <w:t>万千瓦光伏发电项目</w:t>
            </w:r>
          </w:p>
          <w:p>
            <w:pPr>
              <w:pStyle w:val="2"/>
              <w:ind w:firstLine="560" w:firstLineChars="200"/>
              <w:rPr>
                <w:rFonts w:ascii="??" w:hAnsi="??" w:eastAsia="宋体" w:cs="Times New Roman"/>
                <w:kern w:val="2"/>
                <w:sz w:val="28"/>
                <w:szCs w:val="28"/>
              </w:rPr>
            </w:pPr>
            <w:r>
              <w:rPr>
                <w:rFonts w:ascii="??" w:hAnsi="??" w:eastAsia="宋体" w:cs="??"/>
                <w:kern w:val="2"/>
                <w:sz w:val="28"/>
                <w:szCs w:val="28"/>
              </w:rPr>
              <w:t>9</w:t>
            </w:r>
            <w:r>
              <w:rPr>
                <w:rFonts w:hint="eastAsia" w:ascii="??" w:hAnsi="??" w:eastAsia="宋体" w:cs="宋体"/>
                <w:kern w:val="2"/>
                <w:sz w:val="28"/>
                <w:szCs w:val="28"/>
              </w:rPr>
              <w:t>、屋顶分布式光伏试点项目</w:t>
            </w:r>
          </w:p>
          <w:p>
            <w:pPr>
              <w:pStyle w:val="2"/>
              <w:ind w:firstLine="560" w:firstLineChars="200"/>
              <w:rPr>
                <w:rFonts w:cs="Times New Roman"/>
                <w:kern w:val="2"/>
              </w:rPr>
            </w:pPr>
            <w:r>
              <w:rPr>
                <w:rFonts w:ascii="??" w:hAnsi="??" w:eastAsia="宋体" w:cs="??"/>
                <w:kern w:val="2"/>
                <w:sz w:val="28"/>
                <w:szCs w:val="28"/>
              </w:rPr>
              <w:t>10</w:t>
            </w:r>
            <w:r>
              <w:rPr>
                <w:rFonts w:hint="eastAsia" w:ascii="??" w:hAnsi="??" w:eastAsia="宋体" w:cs="宋体"/>
                <w:kern w:val="2"/>
                <w:sz w:val="28"/>
                <w:szCs w:val="28"/>
              </w:rPr>
              <w:t>、顺城区屋顶分布式光伏项目</w:t>
            </w:r>
          </w:p>
        </w:tc>
      </w:tr>
    </w:tbl>
    <w:p>
      <w:pPr>
        <w:pStyle w:val="2"/>
        <w:rPr>
          <w:rFonts w:cs="Times New Roman"/>
        </w:rPr>
      </w:pPr>
    </w:p>
    <w:p>
      <w:pPr>
        <w:pStyle w:val="2"/>
        <w:ind w:firstLine="643" w:firstLineChars="200"/>
        <w:rPr>
          <w:rFonts w:ascii="楷体" w:hAnsi="楷体" w:eastAsia="楷体" w:cs="Times New Roman"/>
          <w:b/>
          <w:bCs/>
          <w:sz w:val="32"/>
          <w:szCs w:val="32"/>
        </w:rPr>
      </w:pPr>
      <w:r>
        <w:rPr>
          <w:rFonts w:hint="eastAsia" w:ascii="楷体" w:hAnsi="楷体" w:eastAsia="楷体" w:cs="楷体"/>
          <w:b/>
          <w:bCs/>
          <w:sz w:val="32"/>
          <w:szCs w:val="32"/>
        </w:rPr>
        <w:t>（三）加快推动太阳能替代散煤取暖工程</w:t>
      </w:r>
    </w:p>
    <w:p>
      <w:pPr>
        <w:pStyle w:val="2"/>
        <w:ind w:firstLine="640" w:firstLineChars="200"/>
        <w:rPr>
          <w:rFonts w:cs="Times New Roman"/>
          <w:color w:val="auto"/>
          <w:sz w:val="32"/>
          <w:szCs w:val="32"/>
        </w:rPr>
      </w:pPr>
      <w:r>
        <w:rPr>
          <w:rFonts w:hint="eastAsia"/>
          <w:color w:val="auto"/>
          <w:sz w:val="32"/>
          <w:szCs w:val="32"/>
        </w:rPr>
        <w:t>重点支持利用城中村和城市近郊村利用“太阳能</w:t>
      </w:r>
      <w:r>
        <w:rPr>
          <w:color w:val="auto"/>
          <w:sz w:val="32"/>
          <w:szCs w:val="32"/>
        </w:rPr>
        <w:t>+</w:t>
      </w:r>
      <w:r>
        <w:rPr>
          <w:rFonts w:hint="eastAsia"/>
          <w:color w:val="auto"/>
          <w:sz w:val="32"/>
          <w:szCs w:val="32"/>
        </w:rPr>
        <w:t>电”、“太阳能</w:t>
      </w:r>
      <w:r>
        <w:rPr>
          <w:color w:val="auto"/>
          <w:sz w:val="32"/>
          <w:szCs w:val="32"/>
        </w:rPr>
        <w:t>+</w:t>
      </w:r>
      <w:r>
        <w:rPr>
          <w:rFonts w:hint="eastAsia"/>
          <w:color w:val="auto"/>
          <w:sz w:val="32"/>
          <w:szCs w:val="32"/>
        </w:rPr>
        <w:t>天然气”取暖，并逐步向全市乡镇和农村拓展。</w:t>
      </w:r>
    </w:p>
    <w:tbl>
      <w:tblPr>
        <w:tblStyle w:val="52"/>
        <w:tblW w:w="8296" w:type="dxa"/>
        <w:jc w:val="center"/>
        <w:tblLayout w:type="fixed"/>
        <w:tblCellMar>
          <w:top w:w="0" w:type="dxa"/>
          <w:left w:w="108" w:type="dxa"/>
          <w:bottom w:w="0" w:type="dxa"/>
          <w:right w:w="108" w:type="dxa"/>
        </w:tblCellMar>
      </w:tblPr>
      <w:tblGrid>
        <w:gridCol w:w="8296"/>
      </w:tblGrid>
      <w:tr>
        <w:tblPrEx>
          <w:tblCellMar>
            <w:top w:w="0" w:type="dxa"/>
            <w:left w:w="108" w:type="dxa"/>
            <w:bottom w:w="0" w:type="dxa"/>
            <w:right w:w="108" w:type="dxa"/>
          </w:tblCellMar>
        </w:tblPrEx>
        <w:trPr>
          <w:trHeight w:val="642"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keepNext/>
              <w:keepLines/>
              <w:widowControl/>
              <w:spacing w:before="100" w:beforeAutospacing="1" w:after="100" w:afterAutospacing="1" w:line="600" w:lineRule="exact"/>
              <w:jc w:val="center"/>
              <w:rPr>
                <w:rFonts w:ascii="宋体"/>
                <w:b/>
                <w:bCs/>
                <w:color w:val="auto"/>
                <w:kern w:val="0"/>
                <w:sz w:val="28"/>
                <w:szCs w:val="28"/>
              </w:rPr>
            </w:pPr>
            <w:r>
              <w:rPr>
                <w:rFonts w:hint="eastAsia" w:ascii="宋体" w:hAnsi="宋体" w:cs="宋体"/>
                <w:b/>
                <w:bCs/>
                <w:color w:val="auto"/>
                <w:sz w:val="28"/>
                <w:szCs w:val="28"/>
              </w:rPr>
              <w:t>专栏四</w:t>
            </w:r>
            <w:r>
              <w:rPr>
                <w:rFonts w:ascii="宋体" w:hAnsi="宋体" w:cs="宋体"/>
                <w:b/>
                <w:bCs/>
                <w:color w:val="auto"/>
                <w:sz w:val="28"/>
                <w:szCs w:val="28"/>
              </w:rPr>
              <w:t xml:space="preserve"> </w:t>
            </w:r>
            <w:r>
              <w:rPr>
                <w:rFonts w:hint="eastAsia" w:ascii="宋体" w:hAnsi="宋体" w:cs="宋体"/>
                <w:b/>
                <w:bCs/>
                <w:color w:val="auto"/>
                <w:sz w:val="28"/>
                <w:szCs w:val="28"/>
              </w:rPr>
              <w:t>“十四五”太阳能替代散煤取暖重点项目</w:t>
            </w:r>
          </w:p>
        </w:tc>
      </w:tr>
      <w:tr>
        <w:tblPrEx>
          <w:tblCellMar>
            <w:top w:w="0" w:type="dxa"/>
            <w:left w:w="108" w:type="dxa"/>
            <w:bottom w:w="0" w:type="dxa"/>
            <w:right w:w="108" w:type="dxa"/>
          </w:tblCellMar>
        </w:tblPrEx>
        <w:trPr>
          <w:trHeight w:val="544"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keepNext/>
              <w:keepLines/>
              <w:spacing w:line="600" w:lineRule="exact"/>
              <w:ind w:firstLine="562" w:firstLineChars="200"/>
              <w:rPr>
                <w:rFonts w:ascii="仿宋_GB2312" w:hAnsi="仿宋_GB2312" w:eastAsia="仿宋_GB2312"/>
                <w:sz w:val="32"/>
                <w:szCs w:val="32"/>
                <w:shd w:val="clear" w:color="auto" w:fill="FFFFFF"/>
              </w:rPr>
            </w:pPr>
            <w:r>
              <w:rPr>
                <w:rFonts w:hint="eastAsia" w:ascii="宋体" w:hAnsi="宋体" w:cs="宋体"/>
                <w:b/>
                <w:bCs/>
                <w:color w:val="auto"/>
                <w:sz w:val="28"/>
                <w:szCs w:val="28"/>
              </w:rPr>
              <w:t>太阳能替代散煤取暖一期工程项目。</w:t>
            </w:r>
            <w:r>
              <w:rPr>
                <w:rFonts w:hint="eastAsia" w:ascii="??" w:hAnsi="??" w:cs="宋体"/>
                <w:sz w:val="28"/>
                <w:szCs w:val="28"/>
              </w:rPr>
              <w:t>工程涉及</w:t>
            </w:r>
            <w:r>
              <w:rPr>
                <w:rFonts w:ascii="??" w:hAnsi="??" w:cs="??"/>
                <w:sz w:val="28"/>
                <w:szCs w:val="28"/>
              </w:rPr>
              <w:t>8832</w:t>
            </w:r>
            <w:r>
              <w:rPr>
                <w:rFonts w:hint="eastAsia" w:ascii="??" w:hAnsi="??" w:cs="宋体"/>
                <w:sz w:val="28"/>
                <w:szCs w:val="28"/>
              </w:rPr>
              <w:t>户散煤户，替代方式为“光热</w:t>
            </w:r>
            <w:r>
              <w:rPr>
                <w:rFonts w:ascii="??" w:hAnsi="??" w:cs="??"/>
                <w:sz w:val="28"/>
                <w:szCs w:val="28"/>
              </w:rPr>
              <w:t>+</w:t>
            </w:r>
            <w:r>
              <w:rPr>
                <w:rFonts w:hint="eastAsia" w:ascii="??" w:hAnsi="??" w:cs="宋体"/>
                <w:sz w:val="28"/>
                <w:szCs w:val="28"/>
              </w:rPr>
              <w:t>电”</w:t>
            </w:r>
            <w:r>
              <w:rPr>
                <w:rFonts w:ascii="??" w:hAnsi="??" w:cs="??"/>
                <w:sz w:val="28"/>
                <w:szCs w:val="28"/>
              </w:rPr>
              <w:t>3533</w:t>
            </w:r>
            <w:r>
              <w:rPr>
                <w:rFonts w:hint="eastAsia" w:ascii="??" w:hAnsi="??" w:cs="宋体"/>
                <w:sz w:val="28"/>
                <w:szCs w:val="28"/>
              </w:rPr>
              <w:t>户（占比</w:t>
            </w:r>
            <w:r>
              <w:rPr>
                <w:rFonts w:ascii="??" w:hAnsi="??" w:cs="??"/>
                <w:sz w:val="28"/>
                <w:szCs w:val="28"/>
              </w:rPr>
              <w:t>40%</w:t>
            </w:r>
            <w:r>
              <w:rPr>
                <w:rFonts w:hint="eastAsia" w:ascii="??" w:hAnsi="??" w:cs="宋体"/>
                <w:sz w:val="28"/>
                <w:szCs w:val="28"/>
              </w:rPr>
              <w:t>）、“光热</w:t>
            </w:r>
            <w:r>
              <w:rPr>
                <w:rFonts w:ascii="??" w:hAnsi="??" w:cs="??"/>
                <w:sz w:val="28"/>
                <w:szCs w:val="28"/>
              </w:rPr>
              <w:t>+</w:t>
            </w:r>
            <w:r>
              <w:rPr>
                <w:rFonts w:hint="eastAsia" w:ascii="??" w:hAnsi="??" w:cs="宋体"/>
                <w:sz w:val="28"/>
                <w:szCs w:val="28"/>
              </w:rPr>
              <w:t>天然气”</w:t>
            </w:r>
            <w:r>
              <w:rPr>
                <w:rFonts w:ascii="??" w:hAnsi="??" w:cs="??"/>
                <w:sz w:val="28"/>
                <w:szCs w:val="28"/>
              </w:rPr>
              <w:t>4415</w:t>
            </w:r>
            <w:r>
              <w:rPr>
                <w:rFonts w:hint="eastAsia" w:ascii="??" w:hAnsi="??" w:cs="宋体"/>
                <w:sz w:val="28"/>
                <w:szCs w:val="28"/>
              </w:rPr>
              <w:t>户（占比</w:t>
            </w:r>
            <w:r>
              <w:rPr>
                <w:rFonts w:ascii="??" w:hAnsi="??" w:cs="??"/>
                <w:sz w:val="28"/>
                <w:szCs w:val="28"/>
              </w:rPr>
              <w:t>50%</w:t>
            </w:r>
            <w:r>
              <w:rPr>
                <w:rFonts w:hint="eastAsia" w:ascii="??" w:hAnsi="??" w:cs="宋体"/>
                <w:sz w:val="28"/>
                <w:szCs w:val="28"/>
              </w:rPr>
              <w:t>）、“煤改气”</w:t>
            </w:r>
            <w:r>
              <w:rPr>
                <w:rFonts w:ascii="??" w:hAnsi="??" w:cs="??"/>
                <w:sz w:val="28"/>
                <w:szCs w:val="28"/>
              </w:rPr>
              <w:t>442</w:t>
            </w:r>
            <w:r>
              <w:rPr>
                <w:rFonts w:hint="eastAsia" w:ascii="??" w:hAnsi="??" w:cs="宋体"/>
                <w:sz w:val="28"/>
                <w:szCs w:val="28"/>
              </w:rPr>
              <w:t>户（占比</w:t>
            </w:r>
            <w:r>
              <w:rPr>
                <w:rFonts w:ascii="??" w:hAnsi="??" w:cs="??"/>
                <w:sz w:val="28"/>
                <w:szCs w:val="28"/>
              </w:rPr>
              <w:t>5%</w:t>
            </w:r>
            <w:r>
              <w:rPr>
                <w:rFonts w:hint="eastAsia" w:ascii="??" w:hAnsi="??" w:cs="宋体"/>
                <w:sz w:val="28"/>
                <w:szCs w:val="28"/>
              </w:rPr>
              <w:t>）、“煤改电”</w:t>
            </w:r>
            <w:r>
              <w:rPr>
                <w:rFonts w:ascii="??" w:hAnsi="??" w:cs="??"/>
                <w:sz w:val="28"/>
                <w:szCs w:val="28"/>
              </w:rPr>
              <w:t>442</w:t>
            </w:r>
            <w:r>
              <w:rPr>
                <w:rFonts w:hint="eastAsia" w:ascii="??" w:hAnsi="??" w:cs="宋体"/>
                <w:sz w:val="28"/>
                <w:szCs w:val="28"/>
              </w:rPr>
              <w:t>户（占比</w:t>
            </w:r>
            <w:r>
              <w:rPr>
                <w:rFonts w:ascii="??" w:hAnsi="??" w:cs="??"/>
                <w:sz w:val="28"/>
                <w:szCs w:val="28"/>
              </w:rPr>
              <w:t>5%</w:t>
            </w:r>
            <w:r>
              <w:rPr>
                <w:rFonts w:hint="eastAsia" w:ascii="??" w:hAnsi="??" w:cs="宋体"/>
                <w:sz w:val="28"/>
                <w:szCs w:val="28"/>
              </w:rPr>
              <w:t>）四种方式。项目总投资</w:t>
            </w:r>
            <w:r>
              <w:rPr>
                <w:rFonts w:ascii="??" w:hAnsi="??" w:cs="??"/>
                <w:sz w:val="28"/>
                <w:szCs w:val="28"/>
              </w:rPr>
              <w:t>3.25</w:t>
            </w:r>
            <w:r>
              <w:rPr>
                <w:rFonts w:hint="eastAsia" w:ascii="??" w:hAnsi="??" w:cs="宋体"/>
                <w:sz w:val="28"/>
                <w:szCs w:val="28"/>
              </w:rPr>
              <w:t>亿元。</w:t>
            </w:r>
          </w:p>
          <w:p>
            <w:pPr>
              <w:keepNext/>
              <w:keepLines/>
              <w:spacing w:line="600" w:lineRule="exact"/>
              <w:ind w:firstLine="562" w:firstLineChars="200"/>
              <w:rPr>
                <w:rFonts w:ascii="宋体"/>
                <w:color w:val="auto"/>
                <w:sz w:val="28"/>
                <w:szCs w:val="28"/>
              </w:rPr>
            </w:pPr>
            <w:r>
              <w:rPr>
                <w:rFonts w:hint="eastAsia" w:ascii="宋体" w:hAnsi="宋体" w:cs="宋体"/>
                <w:b/>
                <w:bCs/>
                <w:color w:val="auto"/>
                <w:sz w:val="28"/>
                <w:szCs w:val="28"/>
              </w:rPr>
              <w:t>太阳能替代散煤二期工程项目。</w:t>
            </w:r>
            <w:r>
              <w:rPr>
                <w:rFonts w:hint="eastAsia" w:ascii="??" w:hAnsi="??" w:cs="宋体"/>
                <w:sz w:val="28"/>
                <w:szCs w:val="28"/>
              </w:rPr>
              <w:t>工程涉及</w:t>
            </w:r>
            <w:r>
              <w:rPr>
                <w:rFonts w:ascii="??" w:hAnsi="??" w:cs="??"/>
                <w:sz w:val="28"/>
                <w:szCs w:val="28"/>
              </w:rPr>
              <w:t>2500</w:t>
            </w:r>
            <w:r>
              <w:rPr>
                <w:rFonts w:hint="eastAsia" w:ascii="??" w:hAnsi="??" w:cs="宋体"/>
                <w:sz w:val="28"/>
                <w:szCs w:val="28"/>
              </w:rPr>
              <w:t>户散煤户，替代方式为“光热</w:t>
            </w:r>
            <w:r>
              <w:rPr>
                <w:rFonts w:ascii="??" w:hAnsi="??" w:cs="??"/>
                <w:sz w:val="28"/>
                <w:szCs w:val="28"/>
              </w:rPr>
              <w:t>+</w:t>
            </w:r>
            <w:r>
              <w:rPr>
                <w:rFonts w:hint="eastAsia" w:ascii="??" w:hAnsi="??" w:cs="宋体"/>
                <w:sz w:val="28"/>
                <w:szCs w:val="28"/>
              </w:rPr>
              <w:t>电”</w:t>
            </w:r>
            <w:r>
              <w:rPr>
                <w:rFonts w:ascii="??" w:hAnsi="??" w:cs="??"/>
                <w:sz w:val="28"/>
                <w:szCs w:val="28"/>
              </w:rPr>
              <w:t>175</w:t>
            </w:r>
            <w:r>
              <w:rPr>
                <w:rFonts w:hint="eastAsia" w:ascii="??" w:hAnsi="??" w:cs="宋体"/>
                <w:sz w:val="28"/>
                <w:szCs w:val="28"/>
              </w:rPr>
              <w:t>户（占比</w:t>
            </w:r>
            <w:r>
              <w:rPr>
                <w:rFonts w:ascii="??" w:hAnsi="??" w:cs="??"/>
                <w:sz w:val="28"/>
                <w:szCs w:val="28"/>
              </w:rPr>
              <w:t>7%</w:t>
            </w:r>
            <w:r>
              <w:rPr>
                <w:rFonts w:hint="eastAsia" w:ascii="??" w:hAnsi="??" w:cs="宋体"/>
                <w:sz w:val="28"/>
                <w:szCs w:val="28"/>
              </w:rPr>
              <w:t>）、“光热</w:t>
            </w:r>
            <w:r>
              <w:rPr>
                <w:rFonts w:ascii="??" w:hAnsi="??" w:cs="??"/>
                <w:sz w:val="28"/>
                <w:szCs w:val="28"/>
              </w:rPr>
              <w:t>+</w:t>
            </w:r>
            <w:r>
              <w:rPr>
                <w:rFonts w:hint="eastAsia" w:ascii="??" w:hAnsi="??" w:cs="宋体"/>
                <w:sz w:val="28"/>
                <w:szCs w:val="28"/>
              </w:rPr>
              <w:t>天然气”</w:t>
            </w:r>
            <w:r>
              <w:rPr>
                <w:rFonts w:ascii="??" w:hAnsi="??" w:cs="??"/>
                <w:sz w:val="28"/>
                <w:szCs w:val="28"/>
              </w:rPr>
              <w:t>2250</w:t>
            </w:r>
            <w:r>
              <w:rPr>
                <w:rFonts w:hint="eastAsia" w:ascii="??" w:hAnsi="??" w:cs="宋体"/>
                <w:sz w:val="28"/>
                <w:szCs w:val="28"/>
              </w:rPr>
              <w:t>户（占比</w:t>
            </w:r>
            <w:r>
              <w:rPr>
                <w:rFonts w:ascii="??" w:hAnsi="??" w:cs="??"/>
                <w:sz w:val="28"/>
                <w:szCs w:val="28"/>
              </w:rPr>
              <w:t>90%</w:t>
            </w:r>
            <w:r>
              <w:rPr>
                <w:rFonts w:hint="eastAsia" w:ascii="??" w:hAnsi="??" w:cs="宋体"/>
                <w:sz w:val="28"/>
                <w:szCs w:val="28"/>
              </w:rPr>
              <w:t>）、“煤改气”、</w:t>
            </w:r>
            <w:r>
              <w:rPr>
                <w:rFonts w:ascii="??" w:hAnsi="??" w:cs="??"/>
                <w:sz w:val="28"/>
                <w:szCs w:val="28"/>
              </w:rPr>
              <w:t>50</w:t>
            </w:r>
            <w:r>
              <w:rPr>
                <w:rFonts w:hint="eastAsia" w:ascii="??" w:hAnsi="??" w:cs="宋体"/>
                <w:sz w:val="28"/>
                <w:szCs w:val="28"/>
              </w:rPr>
              <w:t>户（占比</w:t>
            </w:r>
            <w:r>
              <w:rPr>
                <w:rFonts w:ascii="??" w:hAnsi="??" w:cs="??"/>
                <w:sz w:val="28"/>
                <w:szCs w:val="28"/>
              </w:rPr>
              <w:t>2%</w:t>
            </w:r>
            <w:r>
              <w:rPr>
                <w:rFonts w:hint="eastAsia" w:ascii="??" w:hAnsi="??" w:cs="宋体"/>
                <w:sz w:val="28"/>
                <w:szCs w:val="28"/>
              </w:rPr>
              <w:t>）、“煤改电”</w:t>
            </w:r>
            <w:r>
              <w:rPr>
                <w:rFonts w:ascii="??" w:hAnsi="??" w:cs="??"/>
                <w:sz w:val="28"/>
                <w:szCs w:val="28"/>
              </w:rPr>
              <w:t>25</w:t>
            </w:r>
            <w:r>
              <w:rPr>
                <w:rFonts w:hint="eastAsia" w:ascii="??" w:hAnsi="??" w:cs="宋体"/>
                <w:sz w:val="28"/>
                <w:szCs w:val="28"/>
              </w:rPr>
              <w:t>户（占比</w:t>
            </w:r>
            <w:r>
              <w:rPr>
                <w:rFonts w:ascii="??" w:hAnsi="??" w:cs="??"/>
                <w:sz w:val="28"/>
                <w:szCs w:val="28"/>
              </w:rPr>
              <w:t>1%</w:t>
            </w:r>
            <w:r>
              <w:rPr>
                <w:rFonts w:hint="eastAsia" w:ascii="??" w:hAnsi="??" w:cs="宋体"/>
                <w:sz w:val="28"/>
                <w:szCs w:val="28"/>
              </w:rPr>
              <w:t>）四种方式。项目总投资</w:t>
            </w:r>
            <w:r>
              <w:rPr>
                <w:rFonts w:ascii="??" w:hAnsi="??" w:cs="??"/>
                <w:sz w:val="28"/>
                <w:szCs w:val="28"/>
              </w:rPr>
              <w:t>0.74</w:t>
            </w:r>
            <w:r>
              <w:rPr>
                <w:rFonts w:hint="eastAsia" w:ascii="??" w:hAnsi="??" w:cs="宋体"/>
                <w:sz w:val="28"/>
                <w:szCs w:val="28"/>
              </w:rPr>
              <w:t>亿元。</w:t>
            </w:r>
          </w:p>
        </w:tc>
      </w:tr>
    </w:tbl>
    <w:p>
      <w:pPr>
        <w:pStyle w:val="2"/>
        <w:rPr>
          <w:rFonts w:ascii="黑体" w:hAnsi="黑体" w:eastAsia="黑体" w:cs="Times New Roman"/>
          <w:color w:val="auto"/>
          <w:sz w:val="32"/>
          <w:szCs w:val="32"/>
        </w:rPr>
      </w:pP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28" w:name="_Toc86233327"/>
      <w:r>
        <w:rPr>
          <w:rFonts w:hint="eastAsia" w:ascii="黑体" w:hAnsi="黑体" w:eastAsia="黑体" w:cs="黑体"/>
          <w:color w:val="auto"/>
          <w:sz w:val="32"/>
          <w:szCs w:val="32"/>
        </w:rPr>
        <w:t>三、推进生物质能源化利用</w:t>
      </w:r>
      <w:bookmarkEnd w:id="28"/>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按照“因地制宜、统筹兼顾、多元发展、综合利用、提高效率”的发展思路，以生物质能资源的能源化循环利用和清洁利用为重点，有序推进农林生物质热电联产项目建设。依据畜禽养殖场、城市生活污水处理厂以及造纸、印染等企业工业有机废水规模，鼓励建设沼气发电示范工程。推广农村沼气工程、秸秆气化和生物质热电气三联产技术；加快发展技术成熟的生物质成型燃料项目；推动大型先进低排放生物质成型燃料锅炉发电供热的应用，污染物排放达到天然气锅炉排放水平。形成一批生物质清洁供热占优势比重的乡镇区域。加快地热资源勘察，统筹规划和有序开展地热直接利用，加快浅层和中深层地热能资源开发，开展地热能供暖制冷，提高地热的工、农业循环利用，加强地热旅游建设，完善地热开发管理监测体系建设。加快推进城市生活垃圾焚烧发电、农林生物质直燃发电、沼气直接利用、生物天然气等多种形式的综合应用，形成适应不同条件和不同需要的生物质能利用体系。到</w:t>
      </w:r>
      <w:r>
        <w:rPr>
          <w:rFonts w:ascii="仿宋_GB2312" w:eastAsia="仿宋_GB2312" w:cs="仿宋_GB2312"/>
          <w:color w:val="auto"/>
          <w:sz w:val="32"/>
          <w:szCs w:val="32"/>
        </w:rPr>
        <w:t>2025</w:t>
      </w:r>
      <w:r>
        <w:rPr>
          <w:rFonts w:hint="eastAsia" w:ascii="仿宋_GB2312" w:eastAsia="仿宋_GB2312" w:cs="仿宋_GB2312"/>
          <w:color w:val="auto"/>
          <w:sz w:val="32"/>
          <w:szCs w:val="32"/>
        </w:rPr>
        <w:t>年底，力争新增生物质发电装机</w:t>
      </w:r>
      <w:r>
        <w:rPr>
          <w:rFonts w:ascii="仿宋_GB2312" w:eastAsia="仿宋_GB2312" w:cs="仿宋_GB2312"/>
          <w:color w:val="auto"/>
          <w:sz w:val="32"/>
          <w:szCs w:val="32"/>
        </w:rPr>
        <w:t>8.8</w:t>
      </w:r>
      <w:r>
        <w:rPr>
          <w:rFonts w:hint="eastAsia" w:ascii="仿宋_GB2312" w:eastAsia="仿宋_GB2312" w:cs="仿宋_GB2312"/>
          <w:color w:val="auto"/>
          <w:sz w:val="32"/>
          <w:szCs w:val="32"/>
        </w:rPr>
        <w:t>万千瓦。</w:t>
      </w:r>
    </w:p>
    <w:tbl>
      <w:tblPr>
        <w:tblStyle w:val="52"/>
        <w:tblW w:w="8296" w:type="dxa"/>
        <w:jc w:val="center"/>
        <w:tblLayout w:type="fixed"/>
        <w:tblCellMar>
          <w:top w:w="0" w:type="dxa"/>
          <w:left w:w="108" w:type="dxa"/>
          <w:bottom w:w="0" w:type="dxa"/>
          <w:right w:w="108" w:type="dxa"/>
        </w:tblCellMar>
      </w:tblPr>
      <w:tblGrid>
        <w:gridCol w:w="8296"/>
      </w:tblGrid>
      <w:tr>
        <w:tblPrEx>
          <w:tblCellMar>
            <w:top w:w="0" w:type="dxa"/>
            <w:left w:w="108" w:type="dxa"/>
            <w:bottom w:w="0" w:type="dxa"/>
            <w:right w:w="108" w:type="dxa"/>
          </w:tblCellMar>
        </w:tblPrEx>
        <w:trPr>
          <w:trHeight w:val="644"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widowControl/>
              <w:spacing w:line="600" w:lineRule="exact"/>
              <w:ind w:firstLine="562" w:firstLineChars="200"/>
              <w:jc w:val="center"/>
              <w:rPr>
                <w:rFonts w:ascii="宋体"/>
                <w:b/>
                <w:bCs/>
                <w:color w:val="auto"/>
                <w:kern w:val="0"/>
                <w:sz w:val="28"/>
                <w:szCs w:val="28"/>
              </w:rPr>
            </w:pPr>
            <w:r>
              <w:rPr>
                <w:rFonts w:hint="eastAsia" w:ascii="宋体" w:hAnsi="宋体" w:cs="宋体"/>
                <w:b/>
                <w:bCs/>
                <w:color w:val="auto"/>
                <w:sz w:val="28"/>
                <w:szCs w:val="28"/>
              </w:rPr>
              <w:t>专栏五“十四五”生物质重点项目</w:t>
            </w:r>
          </w:p>
        </w:tc>
      </w:tr>
      <w:tr>
        <w:tblPrEx>
          <w:tblCellMar>
            <w:top w:w="0" w:type="dxa"/>
            <w:left w:w="108" w:type="dxa"/>
            <w:bottom w:w="0" w:type="dxa"/>
            <w:right w:w="108" w:type="dxa"/>
          </w:tblCellMar>
        </w:tblPrEx>
        <w:trPr>
          <w:trHeight w:val="544"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spacing w:line="600" w:lineRule="exact"/>
              <w:ind w:firstLine="560" w:firstLineChars="200"/>
              <w:rPr>
                <w:rFonts w:ascii="宋体"/>
                <w:color w:val="auto"/>
                <w:sz w:val="28"/>
                <w:szCs w:val="28"/>
              </w:rPr>
            </w:pPr>
            <w:r>
              <w:rPr>
                <w:rFonts w:ascii="宋体" w:hAnsi="宋体" w:cs="宋体"/>
                <w:color w:val="auto"/>
                <w:sz w:val="28"/>
                <w:szCs w:val="28"/>
              </w:rPr>
              <w:t>1</w:t>
            </w:r>
            <w:r>
              <w:rPr>
                <w:rFonts w:hint="eastAsia" w:ascii="宋体" w:hAnsi="宋体" w:cs="宋体"/>
                <w:color w:val="auto"/>
                <w:sz w:val="28"/>
                <w:szCs w:val="28"/>
              </w:rPr>
              <w:t>、抚顺清原草市镇</w:t>
            </w:r>
            <w:r>
              <w:rPr>
                <w:rFonts w:ascii="宋体" w:hAnsi="宋体" w:cs="宋体"/>
                <w:color w:val="auto"/>
                <w:sz w:val="28"/>
                <w:szCs w:val="28"/>
              </w:rPr>
              <w:t>0.3</w:t>
            </w:r>
            <w:r>
              <w:rPr>
                <w:rFonts w:hint="eastAsia" w:ascii="宋体" w:hAnsi="宋体" w:cs="宋体"/>
                <w:color w:val="auto"/>
                <w:sz w:val="28"/>
                <w:szCs w:val="28"/>
              </w:rPr>
              <w:t>万千瓦生物质热电联产项目，总投资</w:t>
            </w:r>
            <w:r>
              <w:rPr>
                <w:rFonts w:ascii="宋体" w:hAnsi="宋体" w:cs="宋体"/>
                <w:color w:val="auto"/>
                <w:sz w:val="28"/>
                <w:szCs w:val="28"/>
              </w:rPr>
              <w:t>0.4</w:t>
            </w:r>
            <w:r>
              <w:rPr>
                <w:rFonts w:hint="eastAsia" w:ascii="宋体" w:hAnsi="宋体" w:cs="宋体"/>
                <w:color w:val="auto"/>
                <w:sz w:val="28"/>
                <w:szCs w:val="28"/>
              </w:rPr>
              <w:t>亿元。</w:t>
            </w:r>
          </w:p>
          <w:p>
            <w:pPr>
              <w:spacing w:line="600" w:lineRule="exact"/>
              <w:ind w:firstLine="560" w:firstLineChars="200"/>
              <w:rPr>
                <w:rFonts w:ascii="宋体"/>
                <w:color w:val="auto"/>
                <w:sz w:val="28"/>
                <w:szCs w:val="28"/>
              </w:rPr>
            </w:pPr>
            <w:r>
              <w:rPr>
                <w:rFonts w:ascii="宋体" w:hAnsi="宋体" w:cs="宋体"/>
                <w:color w:val="auto"/>
                <w:sz w:val="28"/>
                <w:szCs w:val="28"/>
              </w:rPr>
              <w:t>2</w:t>
            </w:r>
            <w:r>
              <w:rPr>
                <w:rFonts w:hint="eastAsia" w:ascii="宋体" w:hAnsi="宋体" w:cs="宋体"/>
                <w:color w:val="auto"/>
                <w:sz w:val="28"/>
                <w:szCs w:val="28"/>
              </w:rPr>
              <w:t>、抚顺清原夏家堡镇</w:t>
            </w:r>
            <w:r>
              <w:rPr>
                <w:rFonts w:ascii="宋体" w:hAnsi="宋体" w:cs="宋体"/>
                <w:color w:val="auto"/>
                <w:sz w:val="28"/>
                <w:szCs w:val="28"/>
              </w:rPr>
              <w:t>1</w:t>
            </w:r>
            <w:r>
              <w:rPr>
                <w:rFonts w:hint="eastAsia" w:ascii="宋体" w:hAnsi="宋体" w:cs="宋体"/>
                <w:color w:val="auto"/>
                <w:sz w:val="28"/>
                <w:szCs w:val="28"/>
              </w:rPr>
              <w:t>万千瓦生物质热电联产项目，总投资</w:t>
            </w:r>
            <w:r>
              <w:rPr>
                <w:rFonts w:ascii="宋体" w:hAnsi="宋体" w:cs="宋体"/>
                <w:color w:val="auto"/>
                <w:sz w:val="28"/>
                <w:szCs w:val="28"/>
              </w:rPr>
              <w:t>1</w:t>
            </w:r>
            <w:r>
              <w:rPr>
                <w:rFonts w:hint="eastAsia" w:ascii="宋体" w:hAnsi="宋体" w:cs="宋体"/>
                <w:color w:val="auto"/>
                <w:sz w:val="28"/>
                <w:szCs w:val="28"/>
              </w:rPr>
              <w:t>亿元。</w:t>
            </w:r>
          </w:p>
          <w:p>
            <w:pPr>
              <w:spacing w:line="600" w:lineRule="exact"/>
              <w:ind w:firstLine="560" w:firstLineChars="200"/>
              <w:rPr>
                <w:rFonts w:ascii="宋体"/>
                <w:color w:val="auto"/>
                <w:sz w:val="28"/>
                <w:szCs w:val="28"/>
              </w:rPr>
            </w:pPr>
            <w:r>
              <w:rPr>
                <w:rFonts w:ascii="宋体" w:hAnsi="宋体" w:cs="宋体"/>
                <w:color w:val="auto"/>
                <w:sz w:val="28"/>
                <w:szCs w:val="28"/>
              </w:rPr>
              <w:t>3</w:t>
            </w:r>
            <w:r>
              <w:rPr>
                <w:rFonts w:hint="eastAsia" w:ascii="宋体" w:hAnsi="宋体" w:cs="宋体"/>
                <w:color w:val="auto"/>
                <w:sz w:val="28"/>
                <w:szCs w:val="28"/>
              </w:rPr>
              <w:t>、抚顺清原湾甸子镇</w:t>
            </w:r>
            <w:r>
              <w:rPr>
                <w:rFonts w:ascii="宋体" w:hAnsi="宋体" w:cs="宋体"/>
                <w:color w:val="auto"/>
                <w:sz w:val="28"/>
                <w:szCs w:val="28"/>
              </w:rPr>
              <w:t>1</w:t>
            </w:r>
            <w:r>
              <w:rPr>
                <w:rFonts w:hint="eastAsia" w:ascii="宋体" w:hAnsi="宋体" w:cs="宋体"/>
                <w:color w:val="auto"/>
                <w:sz w:val="28"/>
                <w:szCs w:val="28"/>
              </w:rPr>
              <w:t>万千瓦生物质热电联产项目，总投资</w:t>
            </w:r>
            <w:r>
              <w:rPr>
                <w:rFonts w:ascii="宋体" w:hAnsi="宋体" w:cs="宋体"/>
                <w:color w:val="auto"/>
                <w:sz w:val="28"/>
                <w:szCs w:val="28"/>
              </w:rPr>
              <w:t>1</w:t>
            </w:r>
            <w:r>
              <w:rPr>
                <w:rFonts w:hint="eastAsia" w:ascii="宋体" w:hAnsi="宋体" w:cs="宋体"/>
                <w:color w:val="auto"/>
                <w:sz w:val="28"/>
                <w:szCs w:val="28"/>
              </w:rPr>
              <w:t>亿元。</w:t>
            </w:r>
          </w:p>
          <w:p>
            <w:pPr>
              <w:spacing w:line="600" w:lineRule="exact"/>
              <w:ind w:firstLine="560" w:firstLineChars="200"/>
              <w:rPr>
                <w:rFonts w:ascii="宋体"/>
                <w:color w:val="auto"/>
                <w:sz w:val="28"/>
                <w:szCs w:val="28"/>
              </w:rPr>
            </w:pPr>
            <w:r>
              <w:rPr>
                <w:rFonts w:ascii="宋体" w:hAnsi="宋体" w:cs="宋体"/>
                <w:color w:val="auto"/>
                <w:sz w:val="28"/>
                <w:szCs w:val="28"/>
              </w:rPr>
              <w:t>4</w:t>
            </w:r>
            <w:r>
              <w:rPr>
                <w:rFonts w:hint="eastAsia" w:ascii="宋体" w:hAnsi="宋体" w:cs="宋体"/>
                <w:color w:val="auto"/>
                <w:sz w:val="28"/>
                <w:szCs w:val="28"/>
              </w:rPr>
              <w:t>、抚顺县救兵</w:t>
            </w:r>
            <w:r>
              <w:rPr>
                <w:rFonts w:ascii="宋体" w:hAnsi="宋体" w:cs="宋体"/>
                <w:color w:val="auto"/>
                <w:sz w:val="28"/>
                <w:szCs w:val="28"/>
              </w:rPr>
              <w:t>3</w:t>
            </w:r>
            <w:r>
              <w:rPr>
                <w:rFonts w:hint="eastAsia" w:ascii="宋体" w:hAnsi="宋体" w:cs="宋体"/>
                <w:color w:val="auto"/>
                <w:sz w:val="28"/>
                <w:szCs w:val="28"/>
              </w:rPr>
              <w:t>万千瓦生物质热电联产项目，总投资</w:t>
            </w:r>
            <w:r>
              <w:rPr>
                <w:rFonts w:ascii="宋体" w:hAnsi="宋体" w:cs="宋体"/>
                <w:color w:val="auto"/>
                <w:sz w:val="28"/>
                <w:szCs w:val="28"/>
              </w:rPr>
              <w:t>3</w:t>
            </w:r>
            <w:r>
              <w:rPr>
                <w:rFonts w:hint="eastAsia" w:ascii="宋体" w:hAnsi="宋体" w:cs="宋体"/>
                <w:color w:val="auto"/>
                <w:sz w:val="28"/>
                <w:szCs w:val="28"/>
              </w:rPr>
              <w:t>亿元。</w:t>
            </w:r>
          </w:p>
          <w:p>
            <w:pPr>
              <w:pStyle w:val="2"/>
              <w:rPr>
                <w:rFonts w:cs="Times New Roman"/>
                <w:kern w:val="2"/>
              </w:rPr>
            </w:pPr>
            <w:r>
              <w:rPr>
                <w:kern w:val="2"/>
              </w:rPr>
              <w:t xml:space="preserve">     </w:t>
            </w:r>
            <w:r>
              <w:rPr>
                <w:rFonts w:ascii="宋体" w:hAnsi="宋体" w:eastAsia="宋体" w:cs="宋体"/>
                <w:color w:val="auto"/>
                <w:kern w:val="2"/>
                <w:sz w:val="28"/>
                <w:szCs w:val="28"/>
              </w:rPr>
              <w:t>5</w:t>
            </w:r>
            <w:r>
              <w:rPr>
                <w:rFonts w:hint="eastAsia" w:ascii="宋体" w:hAnsi="宋体" w:eastAsia="宋体" w:cs="宋体"/>
                <w:color w:val="auto"/>
                <w:kern w:val="2"/>
                <w:sz w:val="28"/>
                <w:szCs w:val="28"/>
              </w:rPr>
              <w:t>、东洲高新技术园区</w:t>
            </w:r>
            <w:r>
              <w:rPr>
                <w:rFonts w:ascii="宋体" w:hAnsi="宋体" w:eastAsia="宋体" w:cs="宋体"/>
                <w:color w:val="auto"/>
                <w:kern w:val="2"/>
                <w:sz w:val="28"/>
                <w:szCs w:val="28"/>
              </w:rPr>
              <w:t>3.5</w:t>
            </w:r>
            <w:r>
              <w:rPr>
                <w:rFonts w:hint="eastAsia" w:ascii="宋体" w:hAnsi="宋体" w:eastAsia="宋体" w:cs="宋体"/>
                <w:color w:val="auto"/>
                <w:kern w:val="2"/>
                <w:sz w:val="28"/>
                <w:szCs w:val="28"/>
              </w:rPr>
              <w:t>万千瓦生物质热电联产项目，总投资</w:t>
            </w:r>
            <w:r>
              <w:rPr>
                <w:rFonts w:ascii="宋体" w:hAnsi="宋体" w:eastAsia="宋体" w:cs="宋体"/>
                <w:color w:val="auto"/>
                <w:kern w:val="2"/>
                <w:sz w:val="28"/>
                <w:szCs w:val="28"/>
              </w:rPr>
              <w:t>8</w:t>
            </w:r>
            <w:r>
              <w:rPr>
                <w:rFonts w:hint="eastAsia" w:ascii="宋体" w:hAnsi="宋体" w:eastAsia="宋体" w:cs="宋体"/>
                <w:color w:val="auto"/>
                <w:kern w:val="2"/>
                <w:sz w:val="28"/>
                <w:szCs w:val="28"/>
              </w:rPr>
              <w:t>亿元。</w:t>
            </w:r>
          </w:p>
        </w:tc>
      </w:tr>
    </w:tbl>
    <w:p>
      <w:pPr>
        <w:pStyle w:val="2"/>
        <w:rPr>
          <w:rFonts w:cs="Times New Roman"/>
        </w:rPr>
      </w:pP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29" w:name="_Toc86233328"/>
      <w:r>
        <w:rPr>
          <w:rFonts w:hint="eastAsia" w:ascii="黑体" w:hAnsi="黑体" w:eastAsia="黑体" w:cs="黑体"/>
          <w:color w:val="auto"/>
          <w:sz w:val="32"/>
          <w:szCs w:val="32"/>
        </w:rPr>
        <w:t>四、稳妥有序推进风电发展</w:t>
      </w:r>
      <w:bookmarkEnd w:id="29"/>
    </w:p>
    <w:p>
      <w:pPr>
        <w:spacing w:line="600" w:lineRule="exact"/>
        <w:ind w:firstLine="640" w:firstLineChars="200"/>
        <w:rPr>
          <w:rFonts w:eastAsia="仿宋_GB2312"/>
          <w:color w:val="auto"/>
          <w:kern w:val="0"/>
          <w:sz w:val="32"/>
          <w:szCs w:val="32"/>
        </w:rPr>
      </w:pPr>
      <w:r>
        <w:rPr>
          <w:rFonts w:hint="eastAsia" w:eastAsia="仿宋_GB2312" w:cs="仿宋_GB2312"/>
          <w:color w:val="auto"/>
          <w:kern w:val="0"/>
          <w:sz w:val="32"/>
          <w:szCs w:val="32"/>
        </w:rPr>
        <w:t>按照“统筹规划、有效利用”的原则布局新增风电，</w:t>
      </w:r>
      <w:r>
        <w:rPr>
          <w:rFonts w:hint="eastAsia" w:ascii="仿宋_GB2312" w:eastAsia="仿宋_GB2312" w:cs="仿宋_GB2312"/>
          <w:color w:val="auto"/>
          <w:sz w:val="32"/>
          <w:szCs w:val="32"/>
        </w:rPr>
        <w:t>积极争取上级政府指标支持，努力填补抚顺市风电项目空白。统筹考虑开发规模与电网消纳、发展布局与环境保护、技术进步与风能利用等方面因素，坚持集中连片、规模化开发与分散式、小型风电开发建设并举，科学有序建设环境友好型分散式风电，鼓励因地制宜建设中小型风电项目，按变电站容量及用电负荷水平就近接入适当容量的风电机组，探索与其它分布式能源相融合的发展方式，实现分散风能的就地利用。在消纳市场、送出条件有保障的前提下，在不突破生态环境保护和土地利用红线的条件下，充分利用东部山区等空间资源，</w:t>
      </w:r>
      <w:r>
        <w:rPr>
          <w:rFonts w:hint="eastAsia" w:eastAsia="仿宋_GB2312" w:cs="仿宋_GB2312"/>
          <w:color w:val="auto"/>
          <w:kern w:val="0"/>
          <w:sz w:val="32"/>
          <w:szCs w:val="32"/>
        </w:rPr>
        <w:t>把握风电开发节奏，协调风电发展与储能系统建设，将弃风率控制在合理水平，积极推进抚顺县西部乡镇、新抚区千金乡和东洲区兰山乡风电场建设，</w:t>
      </w:r>
      <w:r>
        <w:rPr>
          <w:rFonts w:hint="eastAsia" w:ascii="仿宋_GB2312" w:eastAsia="仿宋_GB2312" w:cs="仿宋_GB2312"/>
          <w:color w:val="auto"/>
          <w:sz w:val="32"/>
          <w:szCs w:val="32"/>
        </w:rPr>
        <w:t>推动低风速风电形成规模，</w:t>
      </w:r>
      <w:r>
        <w:rPr>
          <w:rFonts w:hint="eastAsia" w:eastAsia="仿宋_GB2312" w:cs="仿宋_GB2312"/>
          <w:color w:val="auto"/>
          <w:kern w:val="0"/>
          <w:sz w:val="32"/>
          <w:szCs w:val="32"/>
        </w:rPr>
        <w:t>力争</w:t>
      </w:r>
      <w:r>
        <w:rPr>
          <w:rFonts w:hint="eastAsia" w:ascii="仿宋_GB2312" w:eastAsia="仿宋_GB2312" w:cs="仿宋_GB2312"/>
          <w:color w:val="auto"/>
          <w:sz w:val="32"/>
          <w:szCs w:val="32"/>
        </w:rPr>
        <w:t>到</w:t>
      </w:r>
      <w:r>
        <w:rPr>
          <w:rFonts w:ascii="仿宋_GB2312" w:eastAsia="仿宋_GB2312" w:cs="仿宋_GB2312"/>
          <w:color w:val="auto"/>
          <w:sz w:val="32"/>
          <w:szCs w:val="32"/>
        </w:rPr>
        <w:t>2025</w:t>
      </w:r>
      <w:r>
        <w:rPr>
          <w:rFonts w:hint="eastAsia" w:ascii="仿宋_GB2312" w:eastAsia="仿宋_GB2312" w:cs="仿宋_GB2312"/>
          <w:color w:val="auto"/>
          <w:sz w:val="32"/>
          <w:szCs w:val="32"/>
        </w:rPr>
        <w:t>年底，</w:t>
      </w:r>
      <w:r>
        <w:rPr>
          <w:rFonts w:hint="eastAsia" w:eastAsia="仿宋_GB2312" w:cs="仿宋_GB2312"/>
          <w:color w:val="auto"/>
          <w:kern w:val="0"/>
          <w:sz w:val="32"/>
          <w:szCs w:val="32"/>
        </w:rPr>
        <w:t>新增风电装机容量</w:t>
      </w:r>
      <w:r>
        <w:rPr>
          <w:rFonts w:ascii="仿宋_GB2312" w:eastAsia="仿宋_GB2312" w:cs="仿宋_GB2312"/>
          <w:color w:val="auto"/>
          <w:kern w:val="0"/>
          <w:sz w:val="32"/>
          <w:szCs w:val="32"/>
        </w:rPr>
        <w:t>100</w:t>
      </w:r>
      <w:r>
        <w:rPr>
          <w:rFonts w:hint="eastAsia" w:eastAsia="仿宋_GB2312" w:cs="仿宋_GB2312"/>
          <w:color w:val="auto"/>
          <w:kern w:val="0"/>
          <w:sz w:val="32"/>
          <w:szCs w:val="32"/>
        </w:rPr>
        <w:t>万千瓦。</w:t>
      </w:r>
    </w:p>
    <w:tbl>
      <w:tblPr>
        <w:tblStyle w:val="52"/>
        <w:tblW w:w="8296" w:type="dxa"/>
        <w:jc w:val="center"/>
        <w:tblLayout w:type="fixed"/>
        <w:tblCellMar>
          <w:top w:w="0" w:type="dxa"/>
          <w:left w:w="108" w:type="dxa"/>
          <w:bottom w:w="0" w:type="dxa"/>
          <w:right w:w="108" w:type="dxa"/>
        </w:tblCellMar>
      </w:tblPr>
      <w:tblGrid>
        <w:gridCol w:w="8296"/>
      </w:tblGrid>
      <w:tr>
        <w:tblPrEx>
          <w:tblCellMar>
            <w:top w:w="0" w:type="dxa"/>
            <w:left w:w="108" w:type="dxa"/>
            <w:bottom w:w="0" w:type="dxa"/>
            <w:right w:w="108" w:type="dxa"/>
          </w:tblCellMar>
        </w:tblPrEx>
        <w:trPr>
          <w:trHeight w:val="736"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widowControl/>
              <w:spacing w:line="600" w:lineRule="exact"/>
              <w:ind w:firstLine="562" w:firstLineChars="200"/>
              <w:jc w:val="center"/>
              <w:rPr>
                <w:rFonts w:ascii="宋体"/>
                <w:b/>
                <w:bCs/>
                <w:color w:val="auto"/>
                <w:kern w:val="0"/>
                <w:sz w:val="28"/>
                <w:szCs w:val="28"/>
              </w:rPr>
            </w:pPr>
            <w:r>
              <w:rPr>
                <w:rFonts w:hint="eastAsia" w:ascii="宋体" w:hAnsi="宋体" w:cs="宋体"/>
                <w:b/>
                <w:bCs/>
                <w:color w:val="auto"/>
                <w:sz w:val="28"/>
                <w:szCs w:val="28"/>
              </w:rPr>
              <w:t>专栏六“十四五”风电项目</w:t>
            </w:r>
          </w:p>
        </w:tc>
      </w:tr>
      <w:tr>
        <w:tblPrEx>
          <w:tblCellMar>
            <w:top w:w="0" w:type="dxa"/>
            <w:left w:w="108" w:type="dxa"/>
            <w:bottom w:w="0" w:type="dxa"/>
            <w:right w:w="108" w:type="dxa"/>
          </w:tblCellMar>
        </w:tblPrEx>
        <w:trPr>
          <w:trHeight w:val="544"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spacing w:line="560" w:lineRule="exact"/>
              <w:ind w:firstLine="560" w:firstLineChars="200"/>
              <w:rPr>
                <w:rFonts w:ascii="宋体"/>
                <w:color w:val="auto"/>
                <w:sz w:val="28"/>
                <w:szCs w:val="28"/>
              </w:rPr>
            </w:pPr>
            <w:r>
              <w:rPr>
                <w:rFonts w:hint="eastAsia" w:ascii="宋体" w:hAnsi="宋体" w:cs="宋体"/>
                <w:color w:val="auto"/>
                <w:sz w:val="28"/>
                <w:szCs w:val="28"/>
              </w:rPr>
              <w:t>项目初步选址在抚顺县、新抚区千金乡和东洲区兰山乡，明确地块坐标范围，共计</w:t>
            </w:r>
            <w:r>
              <w:rPr>
                <w:rFonts w:ascii="宋体" w:hAnsi="宋体" w:cs="宋体"/>
                <w:color w:val="auto"/>
                <w:sz w:val="28"/>
                <w:szCs w:val="28"/>
              </w:rPr>
              <w:t>3</w:t>
            </w:r>
            <w:r>
              <w:rPr>
                <w:rFonts w:hint="eastAsia" w:ascii="宋体" w:hAnsi="宋体" w:cs="宋体"/>
                <w:color w:val="auto"/>
                <w:sz w:val="28"/>
                <w:szCs w:val="28"/>
              </w:rPr>
              <w:t>个，总投资</w:t>
            </w:r>
            <w:r>
              <w:rPr>
                <w:rFonts w:ascii="宋体" w:hAnsi="宋体" w:cs="宋体"/>
                <w:color w:val="auto"/>
                <w:sz w:val="28"/>
                <w:szCs w:val="28"/>
              </w:rPr>
              <w:t>70</w:t>
            </w:r>
            <w:r>
              <w:rPr>
                <w:rFonts w:hint="eastAsia" w:ascii="宋体" w:hAnsi="宋体" w:cs="宋体"/>
                <w:color w:val="auto"/>
                <w:sz w:val="28"/>
                <w:szCs w:val="28"/>
              </w:rPr>
              <w:t>亿元，总装机规模</w:t>
            </w:r>
            <w:r>
              <w:rPr>
                <w:rFonts w:ascii="宋体" w:hAnsi="宋体" w:cs="宋体"/>
                <w:color w:val="auto"/>
                <w:sz w:val="28"/>
                <w:szCs w:val="28"/>
              </w:rPr>
              <w:t>100</w:t>
            </w:r>
            <w:r>
              <w:rPr>
                <w:rFonts w:hint="eastAsia" w:ascii="宋体" w:hAnsi="宋体" w:cs="宋体"/>
                <w:color w:val="auto"/>
                <w:sz w:val="28"/>
                <w:szCs w:val="28"/>
              </w:rPr>
              <w:t>万千瓦。包括：</w:t>
            </w:r>
          </w:p>
          <w:p>
            <w:pPr>
              <w:spacing w:line="560" w:lineRule="exact"/>
              <w:ind w:firstLine="560" w:firstLineChars="200"/>
              <w:rPr>
                <w:rFonts w:ascii="宋体"/>
                <w:color w:val="auto"/>
                <w:sz w:val="28"/>
                <w:szCs w:val="28"/>
              </w:rPr>
            </w:pPr>
            <w:r>
              <w:rPr>
                <w:rFonts w:ascii="宋体" w:hAnsi="宋体" w:cs="宋体"/>
                <w:color w:val="auto"/>
                <w:sz w:val="28"/>
                <w:szCs w:val="28"/>
              </w:rPr>
              <w:t>1</w:t>
            </w:r>
            <w:r>
              <w:rPr>
                <w:rFonts w:hint="eastAsia" w:ascii="宋体" w:hAnsi="宋体" w:cs="宋体"/>
                <w:color w:val="auto"/>
                <w:sz w:val="28"/>
                <w:szCs w:val="28"/>
              </w:rPr>
              <w:t>、抚顺县</w:t>
            </w:r>
            <w:r>
              <w:rPr>
                <w:rFonts w:ascii="宋体" w:hAnsi="宋体" w:cs="宋体"/>
                <w:color w:val="auto"/>
                <w:sz w:val="28"/>
                <w:szCs w:val="28"/>
              </w:rPr>
              <w:t>20</w:t>
            </w:r>
            <w:r>
              <w:rPr>
                <w:rFonts w:hint="eastAsia" w:ascii="宋体" w:hAnsi="宋体" w:cs="宋体"/>
                <w:color w:val="auto"/>
                <w:sz w:val="28"/>
                <w:szCs w:val="28"/>
              </w:rPr>
              <w:t>万千瓦平价示范风电项目，投资</w:t>
            </w:r>
            <w:r>
              <w:rPr>
                <w:rFonts w:ascii="宋体" w:hAnsi="宋体" w:cs="宋体"/>
                <w:color w:val="auto"/>
                <w:sz w:val="28"/>
                <w:szCs w:val="28"/>
              </w:rPr>
              <w:t>16</w:t>
            </w:r>
            <w:r>
              <w:rPr>
                <w:rFonts w:hint="eastAsia" w:ascii="宋体" w:hAnsi="宋体" w:cs="宋体"/>
                <w:color w:val="auto"/>
                <w:sz w:val="28"/>
                <w:szCs w:val="28"/>
              </w:rPr>
              <w:t>亿元。</w:t>
            </w:r>
          </w:p>
          <w:p>
            <w:pPr>
              <w:spacing w:line="560" w:lineRule="exact"/>
              <w:ind w:firstLine="560" w:firstLineChars="200"/>
              <w:rPr>
                <w:rFonts w:ascii="宋体"/>
                <w:color w:val="auto"/>
                <w:sz w:val="28"/>
                <w:szCs w:val="28"/>
              </w:rPr>
            </w:pPr>
            <w:r>
              <w:rPr>
                <w:rFonts w:ascii="宋体" w:hAnsi="宋体" w:cs="宋体"/>
                <w:color w:val="auto"/>
                <w:sz w:val="28"/>
                <w:szCs w:val="28"/>
              </w:rPr>
              <w:t>2</w:t>
            </w:r>
            <w:r>
              <w:rPr>
                <w:rFonts w:hint="eastAsia" w:ascii="宋体" w:hAnsi="宋体" w:cs="宋体"/>
                <w:color w:val="auto"/>
                <w:sz w:val="28"/>
                <w:szCs w:val="28"/>
              </w:rPr>
              <w:t>、抚顺市千金乡风力发电项目，投资</w:t>
            </w:r>
            <w:r>
              <w:rPr>
                <w:rFonts w:ascii="宋体" w:hAnsi="宋体" w:cs="宋体"/>
                <w:color w:val="auto"/>
                <w:sz w:val="28"/>
                <w:szCs w:val="28"/>
              </w:rPr>
              <w:t>16</w:t>
            </w:r>
            <w:r>
              <w:rPr>
                <w:rFonts w:hint="eastAsia" w:ascii="宋体" w:hAnsi="宋体" w:cs="宋体"/>
                <w:color w:val="auto"/>
                <w:sz w:val="28"/>
                <w:szCs w:val="28"/>
              </w:rPr>
              <w:t>亿元。</w:t>
            </w:r>
          </w:p>
          <w:p>
            <w:pPr>
              <w:spacing w:line="560" w:lineRule="exact"/>
              <w:ind w:firstLine="560" w:firstLineChars="200"/>
              <w:rPr>
                <w:rFonts w:ascii="宋体"/>
                <w:color w:val="auto"/>
                <w:sz w:val="28"/>
                <w:szCs w:val="28"/>
              </w:rPr>
            </w:pPr>
            <w:r>
              <w:rPr>
                <w:rFonts w:ascii="宋体" w:hAnsi="宋体" w:cs="宋体"/>
                <w:color w:val="auto"/>
                <w:sz w:val="28"/>
                <w:szCs w:val="28"/>
              </w:rPr>
              <w:t>3</w:t>
            </w:r>
            <w:r>
              <w:rPr>
                <w:rFonts w:hint="eastAsia" w:ascii="宋体" w:hAnsi="宋体" w:cs="宋体"/>
                <w:color w:val="auto"/>
                <w:sz w:val="28"/>
                <w:szCs w:val="28"/>
              </w:rPr>
              <w:t>、抚顺上电东洲兰山乡风力发电项目，投资</w:t>
            </w:r>
            <w:r>
              <w:rPr>
                <w:rFonts w:ascii="宋体" w:hAnsi="宋体" w:cs="宋体"/>
                <w:color w:val="auto"/>
                <w:sz w:val="28"/>
                <w:szCs w:val="28"/>
              </w:rPr>
              <w:t>38</w:t>
            </w:r>
            <w:r>
              <w:rPr>
                <w:rFonts w:hint="eastAsia" w:ascii="宋体" w:hAnsi="宋体" w:cs="宋体"/>
                <w:color w:val="auto"/>
                <w:sz w:val="28"/>
                <w:szCs w:val="28"/>
              </w:rPr>
              <w:t>亿元。</w:t>
            </w:r>
          </w:p>
        </w:tc>
      </w:tr>
    </w:tbl>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30" w:name="_Toc86233329"/>
      <w:r>
        <w:rPr>
          <w:rFonts w:hint="eastAsia" w:ascii="黑体" w:hAnsi="黑体" w:eastAsia="黑体" w:cs="黑体"/>
          <w:color w:val="auto"/>
          <w:sz w:val="32"/>
          <w:szCs w:val="32"/>
        </w:rPr>
        <w:t>五、探索发展氢能产业</w:t>
      </w:r>
      <w:bookmarkEnd w:id="30"/>
    </w:p>
    <w:p>
      <w:pPr>
        <w:spacing w:line="600" w:lineRule="exact"/>
        <w:ind w:firstLine="643" w:firstLineChars="200"/>
        <w:rPr>
          <w:rFonts w:ascii="楷体" w:hAnsi="楷体" w:eastAsia="楷体"/>
          <w:b/>
          <w:bCs/>
          <w:color w:val="auto"/>
          <w:sz w:val="32"/>
          <w:szCs w:val="32"/>
        </w:rPr>
      </w:pPr>
      <w:r>
        <w:rPr>
          <w:rFonts w:hint="eastAsia" w:ascii="楷体" w:hAnsi="楷体" w:eastAsia="楷体" w:cs="楷体"/>
          <w:b/>
          <w:bCs/>
          <w:color w:val="auto"/>
          <w:sz w:val="32"/>
          <w:szCs w:val="32"/>
        </w:rPr>
        <w:t>（一）加快构建氢能产业战略布局</w:t>
      </w:r>
    </w:p>
    <w:p>
      <w:pPr>
        <w:spacing w:line="600" w:lineRule="exact"/>
        <w:ind w:firstLine="640" w:firstLineChars="200"/>
        <w:rPr>
          <w:rFonts w:ascii="仿宋_GB2312" w:eastAsia="仿宋_GB2312" w:cs="仿宋_GB2312"/>
          <w:color w:val="auto"/>
          <w:sz w:val="32"/>
          <w:szCs w:val="32"/>
        </w:rPr>
      </w:pPr>
      <w:r>
        <w:rPr>
          <w:rFonts w:hint="eastAsia" w:ascii="仿宋_GB2312" w:eastAsia="仿宋_GB2312" w:cs="仿宋_GB2312"/>
          <w:color w:val="auto"/>
          <w:sz w:val="32"/>
          <w:szCs w:val="32"/>
        </w:rPr>
        <w:t>抢抓氢能产业发展机遇，积极构建以抚顺高新技术产业开发区、胜利经济开发区、望花经济开发区、顺城经济开发区等区域协同发展的氢能产业空间布局。积极引进氢能制备产业项目，提高利用制氢储能的份额。积极引导石化公司、抚矿集团、石油八公司等企业培育氢能产业链，招引氢气制备与提纯设备制造、低温液态及高压气态储氢装备制造、氢燃料电池及关键零部件制造、氢燃料电池动力模块生产及动力系统集成等关键环节重点企业，增强在氢能产业全链条中的生产和竞争力。</w:t>
      </w:r>
      <w:r>
        <w:rPr>
          <w:rFonts w:ascii="仿宋_GB2312" w:eastAsia="仿宋_GB2312" w:cs="仿宋_GB2312"/>
          <w:color w:val="auto"/>
          <w:sz w:val="32"/>
          <w:szCs w:val="32"/>
        </w:rPr>
        <w:t xml:space="preserve"> </w:t>
      </w:r>
    </w:p>
    <w:p>
      <w:pPr>
        <w:spacing w:line="600" w:lineRule="exact"/>
        <w:ind w:firstLine="643" w:firstLineChars="200"/>
        <w:rPr>
          <w:rFonts w:ascii="楷体" w:hAnsi="楷体" w:eastAsia="楷体"/>
          <w:b/>
          <w:bCs/>
          <w:color w:val="auto"/>
          <w:sz w:val="32"/>
          <w:szCs w:val="32"/>
        </w:rPr>
      </w:pPr>
      <w:r>
        <w:rPr>
          <w:rFonts w:hint="eastAsia" w:ascii="楷体" w:hAnsi="楷体" w:eastAsia="楷体" w:cs="楷体"/>
          <w:b/>
          <w:bCs/>
          <w:color w:val="auto"/>
          <w:sz w:val="32"/>
          <w:szCs w:val="32"/>
        </w:rPr>
        <w:t>（二）积极推进氢能示范应用</w:t>
      </w:r>
    </w:p>
    <w:p>
      <w:pPr>
        <w:spacing w:line="600" w:lineRule="exact"/>
        <w:ind w:firstLine="640" w:firstLineChars="200"/>
        <w:rPr>
          <w:rFonts w:ascii="仿宋_GB2312" w:eastAsia="仿宋_GB2312" w:cs="仿宋_GB2312"/>
          <w:color w:val="auto"/>
          <w:sz w:val="32"/>
          <w:szCs w:val="32"/>
        </w:rPr>
      </w:pPr>
      <w:r>
        <w:rPr>
          <w:rFonts w:hint="eastAsia" w:ascii="仿宋_GB2312" w:eastAsia="仿宋_GB2312" w:cs="仿宋_GB2312"/>
          <w:color w:val="auto"/>
          <w:sz w:val="32"/>
          <w:szCs w:val="32"/>
        </w:rPr>
        <w:t>坚持需求导向，按照“合理确定规模、适度超前建设、预留发展空间”的原则，有序推进加氢设施的布局建设，积极支持一定额度的氢气充替民用天然气工程；鼓励利用现有加油（气）站改扩建加氢设施，逐步构建安全、高效的加氢网络，为氢能推广应用创造良好条件。积极推进氢燃料电池公交车应用示范，规划氢能公交示范路线；</w:t>
      </w:r>
      <w:r>
        <w:rPr>
          <w:rFonts w:ascii="仿宋_GB2312" w:eastAsia="仿宋_GB2312" w:cs="仿宋_GB2312"/>
          <w:color w:val="auto"/>
          <w:sz w:val="32"/>
          <w:szCs w:val="32"/>
        </w:rPr>
        <w:t xml:space="preserve"> </w:t>
      </w:r>
      <w:r>
        <w:rPr>
          <w:rFonts w:hint="eastAsia" w:ascii="仿宋_GB2312" w:eastAsia="仿宋_GB2312" w:cs="仿宋_GB2312"/>
          <w:color w:val="auto"/>
          <w:sz w:val="32"/>
          <w:szCs w:val="32"/>
        </w:rPr>
        <w:t>积极推进氢燃料电池物流车应用示范，在工业园区、物流园区等运输量大、行驶线路固定区域，开展氢燃料电池货车示范应用。</w:t>
      </w:r>
      <w:r>
        <w:rPr>
          <w:rFonts w:ascii="仿宋_GB2312" w:eastAsia="仿宋_GB2312" w:cs="仿宋_GB2312"/>
          <w:color w:val="auto"/>
          <w:sz w:val="32"/>
          <w:szCs w:val="32"/>
        </w:rPr>
        <w:t xml:space="preserve"> </w:t>
      </w:r>
    </w:p>
    <w:p>
      <w:pPr>
        <w:spacing w:line="600" w:lineRule="exact"/>
        <w:ind w:firstLine="643" w:firstLineChars="200"/>
        <w:rPr>
          <w:rFonts w:ascii="楷体" w:hAnsi="楷体" w:eastAsia="楷体"/>
          <w:b/>
          <w:bCs/>
          <w:color w:val="auto"/>
          <w:sz w:val="32"/>
          <w:szCs w:val="32"/>
        </w:rPr>
      </w:pPr>
      <w:r>
        <w:rPr>
          <w:rFonts w:hint="eastAsia" w:ascii="楷体" w:hAnsi="楷体" w:eastAsia="楷体" w:cs="楷体"/>
          <w:b/>
          <w:bCs/>
          <w:color w:val="auto"/>
          <w:sz w:val="32"/>
          <w:szCs w:val="32"/>
        </w:rPr>
        <w:t>（三）加强产业自主创新</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支持石化公司、抚矿集团、石油八公司等企业和辽宁石油化工大学，开展氢能产业技术攻关、工程研究和产品开发。重点突破新型清洁能源电解水制氢、氢气提纯、液氢、氢燃料电池系统集成等核</w:t>
      </w:r>
      <w:r>
        <w:rPr>
          <w:rFonts w:ascii="仿宋_GB2312" w:eastAsia="仿宋_GB2312" w:cs="仿宋_GB2312"/>
          <w:color w:val="auto"/>
          <w:sz w:val="32"/>
          <w:szCs w:val="32"/>
        </w:rPr>
        <w:t xml:space="preserve"> </w:t>
      </w:r>
      <w:r>
        <w:rPr>
          <w:rFonts w:hint="eastAsia" w:ascii="仿宋_GB2312" w:eastAsia="仿宋_GB2312" w:cs="仿宋_GB2312"/>
          <w:color w:val="auto"/>
          <w:sz w:val="32"/>
          <w:szCs w:val="32"/>
        </w:rPr>
        <w:t>心技术。支持众创空间、孵化器引进培育氢能产业项目，加大氢能技术成果落地转化扶持力度。</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31" w:name="_Toc86233330"/>
      <w:r>
        <w:rPr>
          <w:rFonts w:hint="eastAsia" w:ascii="黑体" w:hAnsi="黑体" w:eastAsia="黑体" w:cs="黑体"/>
          <w:color w:val="auto"/>
          <w:sz w:val="32"/>
          <w:szCs w:val="32"/>
        </w:rPr>
        <w:t>六、鼓励开展储能示范项目</w:t>
      </w:r>
      <w:bookmarkEnd w:id="31"/>
    </w:p>
    <w:p>
      <w:pPr>
        <w:spacing w:line="600" w:lineRule="exact"/>
        <w:ind w:firstLine="643" w:firstLineChars="200"/>
        <w:rPr>
          <w:rFonts w:ascii="楷体" w:hAnsi="楷体" w:eastAsia="楷体"/>
          <w:b/>
          <w:bCs/>
          <w:color w:val="auto"/>
          <w:sz w:val="32"/>
          <w:szCs w:val="32"/>
        </w:rPr>
      </w:pPr>
      <w:r>
        <w:rPr>
          <w:rFonts w:hint="eastAsia" w:ascii="楷体" w:hAnsi="楷体" w:eastAsia="楷体" w:cs="楷体"/>
          <w:b/>
          <w:bCs/>
          <w:color w:val="auto"/>
          <w:sz w:val="32"/>
          <w:szCs w:val="32"/>
        </w:rPr>
        <w:t>（一）积极推动储能多元化应用</w:t>
      </w:r>
    </w:p>
    <w:p>
      <w:pPr>
        <w:spacing w:line="600" w:lineRule="exact"/>
        <w:ind w:firstLine="640" w:firstLineChars="200"/>
        <w:rPr>
          <w:rFonts w:ascii="仿宋_GB2312" w:eastAsia="仿宋_GB2312" w:cs="仿宋_GB2312"/>
          <w:color w:val="auto"/>
          <w:sz w:val="32"/>
          <w:szCs w:val="32"/>
        </w:rPr>
      </w:pPr>
      <w:r>
        <w:rPr>
          <w:rFonts w:hint="eastAsia" w:ascii="仿宋_GB2312" w:eastAsia="仿宋_GB2312" w:cs="仿宋_GB2312"/>
          <w:color w:val="auto"/>
          <w:sz w:val="32"/>
          <w:szCs w:val="32"/>
        </w:rPr>
        <w:t>一是大力推进电源侧储能项目建设。支持风电、光伏等新型清洁能源结合储能系统建设友好型新型清洁能源电站，积极推进建设抚顺市东洲区</w:t>
      </w:r>
      <w:r>
        <w:rPr>
          <w:rFonts w:ascii="仿宋_GB2312" w:eastAsia="仿宋_GB2312" w:cs="仿宋_GB2312"/>
          <w:color w:val="auto"/>
          <w:sz w:val="32"/>
          <w:szCs w:val="32"/>
        </w:rPr>
        <w:t>25</w:t>
      </w:r>
      <w:r>
        <w:rPr>
          <w:rFonts w:hint="eastAsia" w:ascii="仿宋_GB2312" w:eastAsia="仿宋_GB2312" w:cs="仿宋_GB2312"/>
          <w:color w:val="auto"/>
          <w:sz w:val="32"/>
          <w:szCs w:val="32"/>
        </w:rPr>
        <w:t>万千瓦“源、网、荷、储多能互补</w:t>
      </w:r>
      <w:r>
        <w:rPr>
          <w:rFonts w:ascii="仿宋_GB2312" w:eastAsia="仿宋_GB2312" w:cs="仿宋_GB2312"/>
          <w:color w:val="auto"/>
          <w:sz w:val="32"/>
          <w:szCs w:val="32"/>
        </w:rPr>
        <w:t>+</w:t>
      </w:r>
      <w:r>
        <w:rPr>
          <w:rFonts w:hint="eastAsia" w:ascii="仿宋_GB2312" w:eastAsia="仿宋_GB2312" w:cs="仿宋_GB2312"/>
          <w:color w:val="auto"/>
          <w:sz w:val="32"/>
          <w:szCs w:val="32"/>
        </w:rPr>
        <w:t>特色旅游一体化”发电示范项目；探索利用辽宁能港发电有限公司关停煤电机组的既有厂址和输变电设施建设储能基地。二是积极推动电网侧储能合理布局。积极支持电网侧大规模集中式储能电站试点示范，加快中信泰富抚顺</w:t>
      </w:r>
      <w:r>
        <w:rPr>
          <w:rFonts w:ascii="仿宋_GB2312" w:eastAsia="仿宋_GB2312" w:cs="仿宋_GB2312"/>
          <w:color w:val="auto"/>
          <w:sz w:val="32"/>
          <w:szCs w:val="32"/>
        </w:rPr>
        <w:t>30</w:t>
      </w:r>
      <w:r>
        <w:rPr>
          <w:rFonts w:hint="eastAsia" w:ascii="仿宋_GB2312" w:eastAsia="仿宋_GB2312" w:cs="仿宋_GB2312"/>
          <w:color w:val="auto"/>
          <w:sz w:val="32"/>
          <w:szCs w:val="32"/>
        </w:rPr>
        <w:t>万千瓦电网友好型“源网荷储”一体化项目建设，提升电网灵活调节能力和安全稳定水平。探索“变电站</w:t>
      </w:r>
      <w:r>
        <w:rPr>
          <w:rFonts w:ascii="仿宋_GB2312" w:eastAsia="仿宋_GB2312" w:cs="仿宋_GB2312"/>
          <w:color w:val="auto"/>
          <w:sz w:val="32"/>
          <w:szCs w:val="32"/>
        </w:rPr>
        <w:t>+</w:t>
      </w:r>
      <w:r>
        <w:rPr>
          <w:rFonts w:hint="eastAsia" w:ascii="仿宋_GB2312" w:eastAsia="仿宋_GB2312" w:cs="仿宋_GB2312"/>
          <w:color w:val="auto"/>
          <w:sz w:val="32"/>
          <w:szCs w:val="32"/>
        </w:rPr>
        <w:t>储能”建设模式，积极推进兰新</w:t>
      </w:r>
      <w:r>
        <w:rPr>
          <w:rFonts w:ascii="仿宋_GB2312" w:eastAsia="仿宋_GB2312" w:cs="仿宋_GB2312"/>
          <w:color w:val="auto"/>
          <w:sz w:val="32"/>
          <w:szCs w:val="32"/>
        </w:rPr>
        <w:t>220</w:t>
      </w:r>
      <w:r>
        <w:rPr>
          <w:rFonts w:hint="eastAsia" w:ascii="仿宋_GB2312" w:eastAsia="仿宋_GB2312" w:cs="仿宋_GB2312"/>
          <w:color w:val="auto"/>
          <w:sz w:val="32"/>
          <w:szCs w:val="32"/>
        </w:rPr>
        <w:t>千伏</w:t>
      </w:r>
      <w:r>
        <w:rPr>
          <w:rFonts w:ascii="仿宋_GB2312" w:eastAsia="仿宋_GB2312" w:cs="仿宋_GB2312"/>
          <w:color w:val="auto"/>
          <w:sz w:val="32"/>
          <w:szCs w:val="32"/>
        </w:rPr>
        <w:t xml:space="preserve"> </w:t>
      </w:r>
      <w:r>
        <w:rPr>
          <w:rFonts w:hint="eastAsia" w:ascii="仿宋_GB2312" w:eastAsia="仿宋_GB2312" w:cs="仿宋_GB2312"/>
          <w:color w:val="auto"/>
          <w:sz w:val="32"/>
          <w:szCs w:val="32"/>
        </w:rPr>
        <w:t>“变电站</w:t>
      </w:r>
      <w:r>
        <w:rPr>
          <w:rFonts w:ascii="仿宋_GB2312" w:eastAsia="仿宋_GB2312" w:cs="仿宋_GB2312"/>
          <w:color w:val="auto"/>
          <w:sz w:val="32"/>
          <w:szCs w:val="32"/>
        </w:rPr>
        <w:t>+</w:t>
      </w:r>
      <w:r>
        <w:rPr>
          <w:rFonts w:hint="eastAsia" w:ascii="仿宋_GB2312" w:eastAsia="仿宋_GB2312" w:cs="仿宋_GB2312"/>
          <w:color w:val="auto"/>
          <w:sz w:val="32"/>
          <w:szCs w:val="32"/>
        </w:rPr>
        <w:t>直挂式储能”试点项目建设。三是积极支持用户侧储能项目建设。鼓励围绕分布式新型清洁能源、大数据中心、</w:t>
      </w:r>
      <w:r>
        <w:rPr>
          <w:rFonts w:ascii="仿宋_GB2312" w:eastAsia="仿宋_GB2312" w:cs="仿宋_GB2312"/>
          <w:color w:val="auto"/>
          <w:sz w:val="32"/>
          <w:szCs w:val="32"/>
        </w:rPr>
        <w:t xml:space="preserve">5G </w:t>
      </w:r>
      <w:r>
        <w:rPr>
          <w:rFonts w:hint="eastAsia" w:ascii="仿宋_GB2312" w:eastAsia="仿宋_GB2312" w:cs="仿宋_GB2312"/>
          <w:color w:val="auto"/>
          <w:sz w:val="32"/>
          <w:szCs w:val="32"/>
        </w:rPr>
        <w:t>基站、充电设施、工业园区等其他终端用户，探索储能融合发展新场景。</w:t>
      </w:r>
      <w:r>
        <w:rPr>
          <w:rFonts w:hint="eastAsia" w:eastAsia="仿宋_GB2312" w:cs="仿宋_GB2312"/>
          <w:color w:val="auto"/>
          <w:kern w:val="0"/>
          <w:sz w:val="32"/>
          <w:szCs w:val="32"/>
        </w:rPr>
        <w:t>力争</w:t>
      </w:r>
      <w:r>
        <w:rPr>
          <w:rFonts w:hint="eastAsia" w:ascii="仿宋_GB2312" w:eastAsia="仿宋_GB2312" w:cs="仿宋_GB2312"/>
          <w:color w:val="auto"/>
          <w:sz w:val="32"/>
          <w:szCs w:val="32"/>
        </w:rPr>
        <w:t>到</w:t>
      </w:r>
      <w:r>
        <w:rPr>
          <w:rFonts w:ascii="仿宋_GB2312" w:eastAsia="仿宋_GB2312" w:cs="仿宋_GB2312"/>
          <w:color w:val="auto"/>
          <w:sz w:val="32"/>
          <w:szCs w:val="32"/>
        </w:rPr>
        <w:t>2025</w:t>
      </w:r>
      <w:r>
        <w:rPr>
          <w:rFonts w:hint="eastAsia" w:ascii="仿宋_GB2312" w:eastAsia="仿宋_GB2312" w:cs="仿宋_GB2312"/>
          <w:color w:val="auto"/>
          <w:sz w:val="32"/>
          <w:szCs w:val="32"/>
        </w:rPr>
        <w:t>年底，</w:t>
      </w:r>
      <w:r>
        <w:rPr>
          <w:rFonts w:hint="eastAsia" w:eastAsia="仿宋_GB2312" w:cs="仿宋_GB2312"/>
          <w:color w:val="auto"/>
          <w:kern w:val="0"/>
          <w:sz w:val="32"/>
          <w:szCs w:val="32"/>
        </w:rPr>
        <w:t>新增储能装机容量</w:t>
      </w:r>
      <w:r>
        <w:rPr>
          <w:rFonts w:ascii="仿宋_GB2312" w:eastAsia="仿宋_GB2312" w:cs="仿宋_GB2312"/>
          <w:color w:val="auto"/>
          <w:kern w:val="0"/>
          <w:sz w:val="32"/>
          <w:szCs w:val="32"/>
        </w:rPr>
        <w:t>55</w:t>
      </w:r>
      <w:r>
        <w:rPr>
          <w:rFonts w:hint="eastAsia" w:eastAsia="仿宋_GB2312" w:cs="仿宋_GB2312"/>
          <w:color w:val="auto"/>
          <w:kern w:val="0"/>
          <w:sz w:val="32"/>
          <w:szCs w:val="32"/>
        </w:rPr>
        <w:t>万千瓦。</w:t>
      </w:r>
      <w:r>
        <w:rPr>
          <w:rFonts w:ascii="仿宋_GB2312" w:eastAsia="仿宋_GB2312" w:cs="仿宋_GB2312"/>
          <w:color w:val="auto"/>
          <w:sz w:val="32"/>
          <w:szCs w:val="32"/>
        </w:rPr>
        <w:t xml:space="preserve"> </w:t>
      </w:r>
    </w:p>
    <w:p>
      <w:pPr>
        <w:spacing w:line="600" w:lineRule="exact"/>
        <w:ind w:firstLine="643" w:firstLineChars="200"/>
        <w:rPr>
          <w:rFonts w:ascii="楷体" w:hAnsi="楷体" w:eastAsia="楷体"/>
          <w:b/>
          <w:bCs/>
          <w:color w:val="auto"/>
          <w:sz w:val="32"/>
          <w:szCs w:val="32"/>
        </w:rPr>
      </w:pPr>
      <w:r>
        <w:rPr>
          <w:rFonts w:hint="eastAsia" w:ascii="楷体" w:hAnsi="楷体" w:eastAsia="楷体" w:cs="楷体"/>
          <w:b/>
          <w:bCs/>
          <w:color w:val="auto"/>
          <w:sz w:val="32"/>
          <w:szCs w:val="32"/>
        </w:rPr>
        <w:t>（二）探索创新储能商业化模式</w:t>
      </w:r>
    </w:p>
    <w:p>
      <w:pPr>
        <w:spacing w:line="600" w:lineRule="exact"/>
        <w:ind w:firstLine="640" w:firstLineChars="200"/>
        <w:rPr>
          <w:rFonts w:ascii="仿宋_GB2312" w:eastAsia="仿宋_GB2312" w:cs="仿宋_GB2312"/>
          <w:color w:val="auto"/>
          <w:sz w:val="32"/>
          <w:szCs w:val="32"/>
        </w:rPr>
      </w:pPr>
      <w:r>
        <w:rPr>
          <w:rFonts w:hint="eastAsia" w:ascii="仿宋_GB2312" w:eastAsia="仿宋_GB2312" w:cs="仿宋_GB2312"/>
          <w:color w:val="auto"/>
          <w:sz w:val="32"/>
          <w:szCs w:val="32"/>
        </w:rPr>
        <w:t>鼓励储能作为独立市场主体参与辅助服务市场，探索储能服务“按效果付费”的补偿机制。探索“共享储能”商业模式，推动储能成本分摊疏导，充分发挥储能在新型清洁能源消纳、保障电网安全等方面的作用。探索建立储能参与现货市场交易的市场准入条件、交易机制和技术标准，推动储能进入并参与各类电力市场。加快储能产业布局。加强储能产业顶层设计，支持胜利经济开发区、望花经济开发区等区域规划建设储能装备产业园，培育储能研发制造基地。开展产业招商，重点引进宁德时代、南都电源、比亚迪、国轩高科等国内外领军储能企业，带动储能产业快速发展。</w:t>
      </w:r>
      <w:r>
        <w:rPr>
          <w:rFonts w:ascii="仿宋_GB2312" w:eastAsia="仿宋_GB2312" w:cs="仿宋_GB2312"/>
          <w:color w:val="auto"/>
          <w:sz w:val="32"/>
          <w:szCs w:val="32"/>
        </w:rPr>
        <w:t xml:space="preserve"> </w:t>
      </w:r>
    </w:p>
    <w:p>
      <w:pPr>
        <w:spacing w:line="600" w:lineRule="exact"/>
        <w:ind w:firstLine="643" w:firstLineChars="200"/>
        <w:rPr>
          <w:rFonts w:ascii="楷体" w:hAnsi="楷体" w:eastAsia="楷体"/>
          <w:b/>
          <w:bCs/>
          <w:color w:val="auto"/>
          <w:sz w:val="32"/>
          <w:szCs w:val="32"/>
        </w:rPr>
      </w:pPr>
      <w:r>
        <w:rPr>
          <w:rFonts w:hint="eastAsia" w:ascii="楷体" w:hAnsi="楷体" w:eastAsia="楷体" w:cs="楷体"/>
          <w:b/>
          <w:bCs/>
          <w:color w:val="auto"/>
          <w:sz w:val="32"/>
          <w:szCs w:val="32"/>
        </w:rPr>
        <w:t>（三）提升产业创新能力</w:t>
      </w:r>
    </w:p>
    <w:p>
      <w:pPr>
        <w:spacing w:line="600" w:lineRule="exact"/>
        <w:ind w:firstLine="640" w:firstLineChars="200"/>
        <w:rPr>
          <w:rFonts w:ascii="仿宋_GB2312" w:eastAsia="仿宋_GB2312" w:cs="仿宋_GB2312"/>
          <w:color w:val="auto"/>
          <w:sz w:val="32"/>
          <w:szCs w:val="32"/>
        </w:rPr>
      </w:pPr>
      <w:r>
        <w:rPr>
          <w:rFonts w:hint="eastAsia" w:ascii="仿宋_GB2312" w:eastAsia="仿宋_GB2312" w:cs="仿宋_GB2312"/>
          <w:color w:val="auto"/>
          <w:sz w:val="32"/>
          <w:szCs w:val="32"/>
        </w:rPr>
        <w:t>依托现有的众创空间、科技孵化器等平台，强化创业孵化，培育一批科创型企业。引导企业间开展技术联合攻关，加快实现电化学储能技术规模化应用，积极支持储热技术、氢储能技术、电磁储能和飞轮储能等新型储能技术试验示范。重点开展大容量钠硫储能电池、钠镍电池、质子导体型高温电解制氢系统等高能量密度固态电池关键技术研发。</w:t>
      </w:r>
      <w:r>
        <w:rPr>
          <w:rFonts w:ascii="仿宋_GB2312" w:eastAsia="仿宋_GB2312" w:cs="仿宋_GB2312"/>
          <w:color w:val="auto"/>
          <w:sz w:val="32"/>
          <w:szCs w:val="32"/>
        </w:rPr>
        <w:t xml:space="preserve"> </w:t>
      </w:r>
    </w:p>
    <w:tbl>
      <w:tblPr>
        <w:tblStyle w:val="52"/>
        <w:tblW w:w="8296" w:type="dxa"/>
        <w:jc w:val="center"/>
        <w:tblLayout w:type="fixed"/>
        <w:tblCellMar>
          <w:top w:w="0" w:type="dxa"/>
          <w:left w:w="108" w:type="dxa"/>
          <w:bottom w:w="0" w:type="dxa"/>
          <w:right w:w="108" w:type="dxa"/>
        </w:tblCellMar>
      </w:tblPr>
      <w:tblGrid>
        <w:gridCol w:w="8296"/>
      </w:tblGrid>
      <w:tr>
        <w:tblPrEx>
          <w:tblCellMar>
            <w:top w:w="0" w:type="dxa"/>
            <w:left w:w="108" w:type="dxa"/>
            <w:bottom w:w="0" w:type="dxa"/>
            <w:right w:w="108" w:type="dxa"/>
          </w:tblCellMar>
        </w:tblPrEx>
        <w:trPr>
          <w:trHeight w:val="644"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widowControl/>
              <w:spacing w:line="600" w:lineRule="exact"/>
              <w:ind w:firstLine="562" w:firstLineChars="200"/>
              <w:jc w:val="center"/>
              <w:rPr>
                <w:rFonts w:ascii="宋体"/>
                <w:b/>
                <w:bCs/>
                <w:color w:val="auto"/>
                <w:kern w:val="0"/>
                <w:sz w:val="28"/>
                <w:szCs w:val="28"/>
              </w:rPr>
            </w:pPr>
            <w:r>
              <w:rPr>
                <w:rFonts w:hint="eastAsia" w:ascii="宋体" w:hAnsi="宋体" w:cs="宋体"/>
                <w:b/>
                <w:bCs/>
                <w:color w:val="auto"/>
                <w:sz w:val="28"/>
                <w:szCs w:val="28"/>
              </w:rPr>
              <w:t>专栏七“十四五”多能互补</w:t>
            </w:r>
            <w:r>
              <w:rPr>
                <w:rFonts w:ascii="宋体" w:hAnsi="宋体" w:cs="宋体"/>
                <w:b/>
                <w:bCs/>
                <w:color w:val="auto"/>
                <w:sz w:val="28"/>
                <w:szCs w:val="28"/>
              </w:rPr>
              <w:t>+</w:t>
            </w:r>
            <w:r>
              <w:rPr>
                <w:rFonts w:hint="eastAsia" w:ascii="宋体" w:hAnsi="宋体" w:cs="宋体"/>
                <w:b/>
                <w:bCs/>
                <w:color w:val="auto"/>
                <w:sz w:val="28"/>
                <w:szCs w:val="28"/>
              </w:rPr>
              <w:t>特色旅游一体化项目</w:t>
            </w:r>
          </w:p>
        </w:tc>
      </w:tr>
      <w:tr>
        <w:tblPrEx>
          <w:tblCellMar>
            <w:top w:w="0" w:type="dxa"/>
            <w:left w:w="108" w:type="dxa"/>
            <w:bottom w:w="0" w:type="dxa"/>
            <w:right w:w="108" w:type="dxa"/>
          </w:tblCellMar>
        </w:tblPrEx>
        <w:trPr>
          <w:trHeight w:val="544"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spacing w:line="600" w:lineRule="exact"/>
              <w:ind w:firstLine="560" w:firstLineChars="200"/>
              <w:rPr>
                <w:rFonts w:ascii="宋体"/>
                <w:color w:val="auto"/>
                <w:sz w:val="28"/>
                <w:szCs w:val="28"/>
              </w:rPr>
            </w:pPr>
            <w:r>
              <w:rPr>
                <w:rFonts w:ascii="宋体" w:hAnsi="宋体" w:cs="宋体"/>
                <w:color w:val="auto"/>
                <w:sz w:val="28"/>
                <w:szCs w:val="28"/>
              </w:rPr>
              <w:t>1</w:t>
            </w:r>
            <w:r>
              <w:rPr>
                <w:rFonts w:hint="eastAsia" w:ascii="宋体" w:hAnsi="宋体" w:cs="宋体"/>
                <w:color w:val="auto"/>
                <w:sz w:val="28"/>
                <w:szCs w:val="28"/>
              </w:rPr>
              <w:t>、抚顺市东洲区</w:t>
            </w:r>
            <w:r>
              <w:rPr>
                <w:rFonts w:ascii="宋体" w:hAnsi="宋体" w:cs="宋体"/>
                <w:color w:val="auto"/>
                <w:sz w:val="28"/>
                <w:szCs w:val="28"/>
              </w:rPr>
              <w:t>25</w:t>
            </w:r>
            <w:r>
              <w:rPr>
                <w:rFonts w:hint="eastAsia" w:ascii="宋体" w:hAnsi="宋体" w:cs="宋体"/>
                <w:color w:val="auto"/>
                <w:sz w:val="28"/>
                <w:szCs w:val="28"/>
              </w:rPr>
              <w:t>万千瓦“源、网、荷、储多能互补</w:t>
            </w:r>
            <w:r>
              <w:rPr>
                <w:rFonts w:ascii="宋体" w:hAnsi="宋体" w:cs="宋体"/>
                <w:color w:val="auto"/>
                <w:sz w:val="28"/>
                <w:szCs w:val="28"/>
              </w:rPr>
              <w:t>+</w:t>
            </w:r>
            <w:r>
              <w:rPr>
                <w:rFonts w:hint="eastAsia" w:ascii="宋体" w:hAnsi="宋体" w:cs="宋体"/>
                <w:color w:val="auto"/>
                <w:sz w:val="28"/>
                <w:szCs w:val="28"/>
              </w:rPr>
              <w:t>特色旅游一体化，投资</w:t>
            </w:r>
            <w:r>
              <w:rPr>
                <w:rFonts w:ascii="宋体" w:hAnsi="宋体" w:cs="宋体"/>
                <w:color w:val="auto"/>
                <w:sz w:val="28"/>
                <w:szCs w:val="28"/>
              </w:rPr>
              <w:t>11.8</w:t>
            </w:r>
            <w:r>
              <w:rPr>
                <w:rFonts w:hint="eastAsia" w:ascii="宋体" w:hAnsi="宋体" w:cs="宋体"/>
                <w:color w:val="auto"/>
                <w:sz w:val="28"/>
                <w:szCs w:val="28"/>
              </w:rPr>
              <w:t>亿元。</w:t>
            </w:r>
          </w:p>
          <w:p>
            <w:pPr>
              <w:spacing w:line="600" w:lineRule="exact"/>
              <w:ind w:firstLine="560" w:firstLineChars="200"/>
              <w:rPr>
                <w:rFonts w:ascii="宋体"/>
                <w:color w:val="auto"/>
                <w:sz w:val="28"/>
                <w:szCs w:val="28"/>
              </w:rPr>
            </w:pPr>
            <w:r>
              <w:rPr>
                <w:rFonts w:ascii="宋体" w:hAnsi="宋体" w:cs="宋体"/>
                <w:color w:val="auto"/>
                <w:sz w:val="28"/>
                <w:szCs w:val="28"/>
              </w:rPr>
              <w:t>2</w:t>
            </w:r>
            <w:r>
              <w:rPr>
                <w:rFonts w:hint="eastAsia" w:ascii="宋体" w:hAnsi="宋体" w:cs="宋体"/>
                <w:color w:val="auto"/>
                <w:sz w:val="28"/>
                <w:szCs w:val="28"/>
              </w:rPr>
              <w:t>、中信泰富抚顺</w:t>
            </w:r>
            <w:r>
              <w:rPr>
                <w:rFonts w:ascii="宋体" w:hAnsi="宋体" w:cs="宋体"/>
                <w:color w:val="auto"/>
                <w:sz w:val="28"/>
                <w:szCs w:val="28"/>
              </w:rPr>
              <w:t>30</w:t>
            </w:r>
            <w:r>
              <w:rPr>
                <w:rFonts w:hint="eastAsia" w:ascii="宋体" w:hAnsi="宋体" w:cs="宋体"/>
                <w:color w:val="auto"/>
                <w:sz w:val="28"/>
                <w:szCs w:val="28"/>
              </w:rPr>
              <w:t>万千瓦电网友好型“源网荷储”一体化项目，投资</w:t>
            </w:r>
            <w:r>
              <w:rPr>
                <w:rFonts w:ascii="宋体" w:hAnsi="宋体" w:cs="宋体"/>
                <w:color w:val="auto"/>
                <w:sz w:val="28"/>
                <w:szCs w:val="28"/>
              </w:rPr>
              <w:t>21.2</w:t>
            </w:r>
            <w:r>
              <w:rPr>
                <w:rFonts w:hint="eastAsia" w:ascii="宋体" w:hAnsi="宋体" w:cs="宋体"/>
                <w:color w:val="auto"/>
                <w:sz w:val="28"/>
                <w:szCs w:val="28"/>
              </w:rPr>
              <w:t>亿元。</w:t>
            </w:r>
          </w:p>
        </w:tc>
      </w:tr>
    </w:tbl>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32" w:name="_Toc86233331"/>
      <w:r>
        <w:rPr>
          <w:rFonts w:hint="eastAsia" w:ascii="黑体" w:hAnsi="黑体" w:eastAsia="黑体" w:cs="黑体"/>
          <w:color w:val="auto"/>
          <w:sz w:val="32"/>
          <w:szCs w:val="32"/>
        </w:rPr>
        <w:t>七、夯实坚强智能电网</w:t>
      </w:r>
      <w:bookmarkEnd w:id="32"/>
    </w:p>
    <w:p>
      <w:pPr>
        <w:spacing w:line="600" w:lineRule="exact"/>
        <w:ind w:firstLine="640" w:firstLineChars="200"/>
        <w:rPr>
          <w:rFonts w:ascii="仿宋_GB2312" w:eastAsia="仿宋_GB2312" w:cs="仿宋_GB2312"/>
          <w:color w:val="auto"/>
          <w:sz w:val="32"/>
          <w:szCs w:val="32"/>
        </w:rPr>
      </w:pPr>
      <w:r>
        <w:rPr>
          <w:rFonts w:hint="eastAsia" w:ascii="仿宋_GB2312" w:eastAsia="仿宋_GB2312" w:cs="仿宋_GB2312"/>
          <w:color w:val="auto"/>
          <w:sz w:val="32"/>
          <w:szCs w:val="32"/>
        </w:rPr>
        <w:t>紧紧围绕新型清洁能源产业的发展需要，聚焦基础设施薄弱环节，补齐基础设施短板，加强电网等基础设施建设，提高产业配套能力，提升公共服务水平。</w:t>
      </w:r>
      <w:r>
        <w:rPr>
          <w:rFonts w:ascii="仿宋_GB2312" w:eastAsia="仿宋_GB2312" w:cs="仿宋_GB2312"/>
          <w:color w:val="auto"/>
          <w:sz w:val="32"/>
          <w:szCs w:val="32"/>
        </w:rPr>
        <w:t xml:space="preserve"> </w:t>
      </w:r>
    </w:p>
    <w:p>
      <w:pPr>
        <w:spacing w:line="600" w:lineRule="exact"/>
        <w:ind w:firstLine="643" w:firstLineChars="200"/>
        <w:rPr>
          <w:rFonts w:ascii="楷体" w:hAnsi="楷体" w:eastAsia="楷体"/>
          <w:b/>
          <w:bCs/>
          <w:color w:val="auto"/>
          <w:sz w:val="32"/>
          <w:szCs w:val="32"/>
        </w:rPr>
      </w:pPr>
      <w:r>
        <w:rPr>
          <w:rFonts w:hint="eastAsia" w:ascii="楷体" w:hAnsi="楷体" w:eastAsia="楷体" w:cs="楷体"/>
          <w:b/>
          <w:bCs/>
          <w:color w:val="auto"/>
          <w:sz w:val="32"/>
          <w:szCs w:val="32"/>
        </w:rPr>
        <w:t>（一）推进新型清洁能源接网工程</w:t>
      </w:r>
    </w:p>
    <w:p>
      <w:pPr>
        <w:spacing w:line="600" w:lineRule="exact"/>
        <w:ind w:firstLine="640" w:firstLineChars="200"/>
        <w:rPr>
          <w:rFonts w:ascii="仿宋_GB2312" w:eastAsia="仿宋_GB2312" w:cs="仿宋_GB2312"/>
          <w:color w:val="auto"/>
          <w:sz w:val="32"/>
          <w:szCs w:val="32"/>
        </w:rPr>
      </w:pPr>
      <w:r>
        <w:rPr>
          <w:rFonts w:hint="eastAsia" w:ascii="仿宋_GB2312" w:eastAsia="仿宋_GB2312" w:cs="仿宋_GB2312"/>
          <w:color w:val="auto"/>
          <w:sz w:val="32"/>
          <w:szCs w:val="32"/>
        </w:rPr>
        <w:t>根据新型清洁能源电源本体规模及远景发展需要，合理开展接入系统设计，按照容量需求接入各电压等级电网。推动电源接网工程与电源本体工程“同步规划、同步核准、同步投运”。根据新型清洁能源接网需求，在开展接网工程规划建设的同时，同步规划建设电网配套加强工程，保障新型清洁能源“可靠接进来，有效送出去”，重点加强各主要输电断面的潮流输送能力，进一步提高地区新型清洁能源消纳水平，初步构建以新型清洁能源为主体的新型电力系统。</w:t>
      </w:r>
      <w:r>
        <w:rPr>
          <w:rFonts w:ascii="仿宋_GB2312" w:eastAsia="仿宋_GB2312" w:cs="仿宋_GB2312"/>
          <w:color w:val="auto"/>
          <w:sz w:val="32"/>
          <w:szCs w:val="32"/>
        </w:rPr>
        <w:t xml:space="preserve"> </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十四五期间规划建设一座抚顺石岭</w:t>
      </w:r>
      <w:r>
        <w:rPr>
          <w:rFonts w:ascii="仿宋_GB2312" w:eastAsia="仿宋_GB2312" w:cs="仿宋_GB2312"/>
          <w:color w:val="auto"/>
          <w:sz w:val="32"/>
          <w:szCs w:val="32"/>
        </w:rPr>
        <w:t>500kV</w:t>
      </w:r>
      <w:r>
        <w:rPr>
          <w:rFonts w:hint="eastAsia" w:ascii="仿宋_GB2312" w:eastAsia="仿宋_GB2312" w:cs="仿宋_GB2312"/>
          <w:color w:val="auto"/>
          <w:sz w:val="32"/>
          <w:szCs w:val="32"/>
        </w:rPr>
        <w:t>变电站，规划站址位于抚顺市顺城区，能够有效强化抚顺北部地区电网结构，缓解抚顺</w:t>
      </w:r>
      <w:r>
        <w:rPr>
          <w:rFonts w:ascii="仿宋_GB2312" w:eastAsia="仿宋_GB2312" w:cs="仿宋_GB2312"/>
          <w:color w:val="auto"/>
          <w:sz w:val="32"/>
          <w:szCs w:val="32"/>
        </w:rPr>
        <w:t>500</w:t>
      </w:r>
      <w:r>
        <w:rPr>
          <w:rFonts w:hint="eastAsia" w:ascii="仿宋_GB2312" w:eastAsia="仿宋_GB2312" w:cs="仿宋_GB2312"/>
          <w:color w:val="auto"/>
          <w:sz w:val="32"/>
          <w:szCs w:val="32"/>
        </w:rPr>
        <w:t>千伏变电站的供电压力，为改善抚顺地区电网结构，提升供电能力与供电可靠性，为新型清洁能源发展打开了对外通道。</w:t>
      </w:r>
    </w:p>
    <w:p>
      <w:pPr>
        <w:spacing w:line="600" w:lineRule="exact"/>
        <w:ind w:firstLine="640" w:firstLineChars="200"/>
        <w:rPr>
          <w:rFonts w:ascii="仿宋_GB2312" w:eastAsia="仿宋_GB2312"/>
          <w:sz w:val="32"/>
          <w:szCs w:val="32"/>
        </w:rPr>
      </w:pPr>
      <w:r>
        <w:rPr>
          <w:rFonts w:hint="eastAsia" w:ascii="仿宋_GB2312" w:eastAsia="仿宋_GB2312" w:cs="仿宋_GB2312"/>
          <w:sz w:val="32"/>
          <w:szCs w:val="32"/>
        </w:rPr>
        <w:t>加快推进城乡</w:t>
      </w:r>
      <w:r>
        <w:rPr>
          <w:rFonts w:ascii="仿宋_GB2312" w:eastAsia="仿宋_GB2312" w:cs="仿宋_GB2312"/>
          <w:sz w:val="32"/>
          <w:szCs w:val="32"/>
        </w:rPr>
        <w:t>66</w:t>
      </w:r>
      <w:r>
        <w:rPr>
          <w:rFonts w:hint="eastAsia" w:ascii="仿宋_GB2312" w:eastAsia="仿宋_GB2312" w:cs="仿宋_GB2312"/>
          <w:sz w:val="32"/>
          <w:szCs w:val="32"/>
        </w:rPr>
        <w:t>千伏、</w:t>
      </w:r>
      <w:r>
        <w:rPr>
          <w:rFonts w:ascii="仿宋_GB2312" w:eastAsia="仿宋_GB2312" w:cs="仿宋_GB2312"/>
          <w:sz w:val="32"/>
          <w:szCs w:val="32"/>
        </w:rPr>
        <w:t>220</w:t>
      </w:r>
      <w:r>
        <w:rPr>
          <w:rFonts w:hint="eastAsia" w:ascii="仿宋_GB2312" w:eastAsia="仿宋_GB2312" w:cs="仿宋_GB2312"/>
          <w:sz w:val="32"/>
          <w:szCs w:val="32"/>
        </w:rPr>
        <w:t>千伏和</w:t>
      </w:r>
      <w:r>
        <w:rPr>
          <w:rFonts w:ascii="仿宋_GB2312" w:eastAsia="仿宋_GB2312" w:cs="仿宋_GB2312"/>
          <w:sz w:val="32"/>
          <w:szCs w:val="32"/>
        </w:rPr>
        <w:t>500</w:t>
      </w:r>
      <w:r>
        <w:rPr>
          <w:rFonts w:hint="eastAsia" w:ascii="仿宋_GB2312" w:eastAsia="仿宋_GB2312" w:cs="仿宋_GB2312"/>
          <w:sz w:val="32"/>
          <w:szCs w:val="32"/>
        </w:rPr>
        <w:t>千伏电网项目建设，打造坚强可靠智能电网。</w:t>
      </w:r>
    </w:p>
    <w:p>
      <w:pPr>
        <w:pStyle w:val="2"/>
        <w:rPr>
          <w:rFonts w:cs="Times New Roman"/>
        </w:rPr>
      </w:pPr>
    </w:p>
    <w:p>
      <w:pPr>
        <w:spacing w:line="600" w:lineRule="exact"/>
        <w:ind w:firstLine="643" w:firstLineChars="200"/>
        <w:rPr>
          <w:rFonts w:ascii="楷体" w:hAnsi="楷体" w:eastAsia="楷体"/>
          <w:b/>
          <w:bCs/>
          <w:color w:val="auto"/>
          <w:sz w:val="32"/>
          <w:szCs w:val="32"/>
        </w:rPr>
      </w:pPr>
      <w:r>
        <w:rPr>
          <w:rFonts w:hint="eastAsia" w:ascii="楷体" w:hAnsi="楷体" w:eastAsia="楷体" w:cs="楷体"/>
          <w:b/>
          <w:bCs/>
          <w:color w:val="auto"/>
          <w:sz w:val="32"/>
          <w:szCs w:val="32"/>
        </w:rPr>
        <w:t>（二）构建灵活调度体系</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根据新型清洁能源装机规模，合理配置一定比例的储能、调峰燃机等灵活性调节资源，统一参与电网调度控制管理。在保障电网安全稳定运行基础上，按照“本地区优先消纳”的原则实施调度，充分提高地区负荷与新型清洁能源发电的时空耦合性，推动新型清洁能源消纳能力持续提升。</w:t>
      </w:r>
    </w:p>
    <w:p>
      <w:pPr>
        <w:pStyle w:val="2"/>
        <w:rPr>
          <w:rFonts w:cs="Times New Roman"/>
        </w:rPr>
      </w:pPr>
    </w:p>
    <w:p>
      <w:pPr>
        <w:pStyle w:val="2"/>
        <w:rPr>
          <w:rFonts w:cs="Times New Roman"/>
        </w:rPr>
      </w:pPr>
    </w:p>
    <w:tbl>
      <w:tblPr>
        <w:tblStyle w:val="52"/>
        <w:tblW w:w="8296" w:type="dxa"/>
        <w:jc w:val="center"/>
        <w:tblLayout w:type="fixed"/>
        <w:tblCellMar>
          <w:top w:w="0" w:type="dxa"/>
          <w:left w:w="108" w:type="dxa"/>
          <w:bottom w:w="0" w:type="dxa"/>
          <w:right w:w="108" w:type="dxa"/>
        </w:tblCellMar>
      </w:tblPr>
      <w:tblGrid>
        <w:gridCol w:w="5"/>
        <w:gridCol w:w="8291"/>
      </w:tblGrid>
      <w:tr>
        <w:tblPrEx>
          <w:tblCellMar>
            <w:top w:w="0" w:type="dxa"/>
            <w:left w:w="108" w:type="dxa"/>
            <w:bottom w:w="0" w:type="dxa"/>
            <w:right w:w="108" w:type="dxa"/>
          </w:tblCellMar>
        </w:tblPrEx>
        <w:trPr>
          <w:trHeight w:val="812" w:hRule="atLeast"/>
          <w:jc w:val="center"/>
        </w:trPr>
        <w:tc>
          <w:tcPr>
            <w:tcW w:w="8296" w:type="dxa"/>
            <w:gridSpan w:val="2"/>
            <w:tcBorders>
              <w:top w:val="single" w:color="auto" w:sz="4" w:space="0"/>
              <w:left w:val="single" w:color="auto" w:sz="4" w:space="0"/>
              <w:bottom w:val="single" w:color="auto" w:sz="4" w:space="0"/>
              <w:right w:val="single" w:color="auto" w:sz="4" w:space="0"/>
            </w:tcBorders>
            <w:vAlign w:val="center"/>
          </w:tcPr>
          <w:p>
            <w:pPr>
              <w:widowControl/>
              <w:spacing w:line="600" w:lineRule="exact"/>
              <w:ind w:firstLine="562" w:firstLineChars="200"/>
              <w:jc w:val="center"/>
              <w:rPr>
                <w:rFonts w:ascii="宋体"/>
                <w:b/>
                <w:bCs/>
                <w:kern w:val="0"/>
                <w:sz w:val="28"/>
                <w:szCs w:val="28"/>
              </w:rPr>
            </w:pPr>
            <w:r>
              <w:rPr>
                <w:rFonts w:hint="eastAsia" w:ascii="宋体" w:hAnsi="宋体" w:cs="宋体"/>
                <w:b/>
                <w:bCs/>
                <w:sz w:val="28"/>
                <w:szCs w:val="28"/>
              </w:rPr>
              <w:t>专栏八“十四五”智能电网重点项目</w:t>
            </w:r>
          </w:p>
        </w:tc>
      </w:tr>
      <w:tr>
        <w:tblPrEx>
          <w:tblCellMar>
            <w:top w:w="0" w:type="dxa"/>
            <w:left w:w="108" w:type="dxa"/>
            <w:bottom w:w="0" w:type="dxa"/>
            <w:right w:w="108" w:type="dxa"/>
          </w:tblCellMar>
        </w:tblPrEx>
        <w:trPr>
          <w:gridBefore w:val="1"/>
          <w:wBefore w:w="5" w:type="dxa"/>
          <w:trHeight w:val="544"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spacing w:line="600" w:lineRule="exact"/>
              <w:ind w:firstLine="562" w:firstLineChars="200"/>
              <w:rPr>
                <w:rFonts w:ascii="宋体"/>
                <w:b/>
                <w:bCs/>
                <w:sz w:val="28"/>
                <w:szCs w:val="28"/>
              </w:rPr>
            </w:pPr>
            <w:r>
              <w:rPr>
                <w:rFonts w:hint="eastAsia" w:ascii="宋体" w:hAnsi="宋体" w:cs="宋体"/>
                <w:b/>
                <w:bCs/>
                <w:sz w:val="28"/>
                <w:szCs w:val="28"/>
              </w:rPr>
              <w:t>重点项目：</w:t>
            </w:r>
          </w:p>
          <w:p>
            <w:pPr>
              <w:spacing w:line="600" w:lineRule="exact"/>
              <w:ind w:firstLine="562" w:firstLineChars="200"/>
              <w:rPr>
                <w:rFonts w:ascii="宋体"/>
                <w:b/>
                <w:bCs/>
                <w:sz w:val="28"/>
                <w:szCs w:val="28"/>
              </w:rPr>
            </w:pPr>
            <w:r>
              <w:rPr>
                <w:rFonts w:ascii="宋体" w:hAnsi="宋体" w:cs="宋体"/>
                <w:b/>
                <w:bCs/>
                <w:sz w:val="28"/>
                <w:szCs w:val="28"/>
              </w:rPr>
              <w:t>1</w:t>
            </w:r>
            <w:r>
              <w:rPr>
                <w:rFonts w:hint="eastAsia" w:ascii="宋体" w:hAnsi="宋体" w:cs="宋体"/>
                <w:b/>
                <w:bCs/>
                <w:sz w:val="28"/>
                <w:szCs w:val="28"/>
              </w:rPr>
              <w:t>、抚顺石岭（抚顺北）</w:t>
            </w:r>
            <w:r>
              <w:rPr>
                <w:rFonts w:ascii="宋体" w:hAnsi="宋体" w:cs="宋体"/>
                <w:b/>
                <w:bCs/>
                <w:sz w:val="28"/>
                <w:szCs w:val="28"/>
              </w:rPr>
              <w:t>500</w:t>
            </w:r>
            <w:r>
              <w:rPr>
                <w:rFonts w:hint="eastAsia" w:ascii="宋体" w:hAnsi="宋体" w:cs="宋体"/>
                <w:b/>
                <w:bCs/>
                <w:sz w:val="28"/>
                <w:szCs w:val="28"/>
              </w:rPr>
              <w:t>千伏输变电工程前期工作。</w:t>
            </w:r>
          </w:p>
          <w:p>
            <w:pPr>
              <w:spacing w:line="600" w:lineRule="exact"/>
              <w:ind w:firstLine="562" w:firstLineChars="200"/>
              <w:rPr>
                <w:rFonts w:ascii="宋体"/>
                <w:sz w:val="28"/>
                <w:szCs w:val="28"/>
              </w:rPr>
            </w:pPr>
            <w:r>
              <w:rPr>
                <w:rFonts w:ascii="宋体" w:hAnsi="宋体" w:cs="宋体"/>
                <w:b/>
                <w:bCs/>
                <w:sz w:val="28"/>
                <w:szCs w:val="28"/>
              </w:rPr>
              <w:t>2</w:t>
            </w:r>
            <w:r>
              <w:rPr>
                <w:rFonts w:hint="eastAsia" w:ascii="宋体" w:hAnsi="宋体" w:cs="宋体"/>
                <w:b/>
                <w:bCs/>
                <w:sz w:val="28"/>
                <w:szCs w:val="28"/>
              </w:rPr>
              <w:t>、抚顺市城网</w:t>
            </w:r>
            <w:r>
              <w:rPr>
                <w:rFonts w:ascii="宋体" w:hAnsi="宋体" w:cs="宋体"/>
                <w:b/>
                <w:bCs/>
                <w:sz w:val="28"/>
                <w:szCs w:val="28"/>
              </w:rPr>
              <w:t>66</w:t>
            </w:r>
            <w:r>
              <w:rPr>
                <w:rFonts w:hint="eastAsia" w:ascii="宋体" w:hAnsi="宋体" w:cs="宋体"/>
                <w:b/>
                <w:bCs/>
                <w:sz w:val="28"/>
                <w:szCs w:val="28"/>
              </w:rPr>
              <w:t>千伏电网项目。</w:t>
            </w:r>
            <w:r>
              <w:rPr>
                <w:rFonts w:hint="eastAsia" w:ascii="宋体" w:hAnsi="宋体" w:cs="宋体"/>
                <w:sz w:val="28"/>
                <w:szCs w:val="28"/>
              </w:rPr>
              <w:t>总投资</w:t>
            </w:r>
            <w:r>
              <w:rPr>
                <w:rFonts w:ascii="宋体" w:hAnsi="宋体" w:cs="宋体"/>
                <w:sz w:val="28"/>
                <w:szCs w:val="28"/>
              </w:rPr>
              <w:t>3.31</w:t>
            </w:r>
            <w:r>
              <w:rPr>
                <w:rFonts w:hint="eastAsia" w:ascii="宋体" w:hAnsi="宋体" w:cs="宋体"/>
                <w:sz w:val="28"/>
                <w:szCs w:val="28"/>
              </w:rPr>
              <w:t>亿元，于</w:t>
            </w:r>
            <w:r>
              <w:rPr>
                <w:rFonts w:ascii="宋体" w:hAnsi="宋体" w:cs="宋体"/>
                <w:sz w:val="28"/>
                <w:szCs w:val="28"/>
              </w:rPr>
              <w:t>2021</w:t>
            </w:r>
            <w:r>
              <w:rPr>
                <w:rFonts w:hint="eastAsia" w:ascii="宋体" w:hAnsi="宋体" w:cs="宋体"/>
                <w:sz w:val="28"/>
                <w:szCs w:val="28"/>
              </w:rPr>
              <w:t>年实施建设，于</w:t>
            </w:r>
            <w:r>
              <w:rPr>
                <w:rFonts w:ascii="宋体" w:hAnsi="宋体" w:cs="宋体"/>
                <w:sz w:val="28"/>
                <w:szCs w:val="28"/>
              </w:rPr>
              <w:t>2025</w:t>
            </w:r>
            <w:r>
              <w:rPr>
                <w:rFonts w:hint="eastAsia" w:ascii="宋体" w:hAnsi="宋体" w:cs="宋体"/>
                <w:sz w:val="28"/>
                <w:szCs w:val="28"/>
              </w:rPr>
              <w:t>年底前全部建成。</w:t>
            </w:r>
          </w:p>
          <w:p>
            <w:pPr>
              <w:spacing w:line="600" w:lineRule="exact"/>
              <w:ind w:firstLine="562" w:firstLineChars="200"/>
              <w:rPr>
                <w:rFonts w:ascii="宋体"/>
                <w:sz w:val="28"/>
                <w:szCs w:val="28"/>
              </w:rPr>
            </w:pPr>
            <w:r>
              <w:rPr>
                <w:rFonts w:ascii="宋体" w:hAnsi="宋体" w:cs="宋体"/>
                <w:b/>
                <w:bCs/>
                <w:sz w:val="28"/>
                <w:szCs w:val="28"/>
              </w:rPr>
              <w:t>3</w:t>
            </w:r>
            <w:r>
              <w:rPr>
                <w:rFonts w:hint="eastAsia" w:ascii="宋体" w:hAnsi="宋体" w:cs="宋体"/>
                <w:b/>
                <w:bCs/>
                <w:sz w:val="28"/>
                <w:szCs w:val="28"/>
              </w:rPr>
              <w:t>、抽水蓄能电站</w:t>
            </w:r>
            <w:r>
              <w:rPr>
                <w:rFonts w:ascii="宋体" w:hAnsi="宋体" w:cs="宋体"/>
                <w:b/>
                <w:bCs/>
                <w:sz w:val="28"/>
                <w:szCs w:val="28"/>
              </w:rPr>
              <w:t>500</w:t>
            </w:r>
            <w:r>
              <w:rPr>
                <w:rFonts w:hint="eastAsia" w:ascii="宋体" w:hAnsi="宋体" w:cs="宋体"/>
                <w:b/>
                <w:bCs/>
                <w:sz w:val="28"/>
                <w:szCs w:val="28"/>
              </w:rPr>
              <w:t>千伏送出工程。</w:t>
            </w:r>
            <w:r>
              <w:rPr>
                <w:rFonts w:hint="eastAsia" w:ascii="宋体" w:hAnsi="宋体" w:cs="宋体"/>
                <w:sz w:val="28"/>
                <w:szCs w:val="28"/>
              </w:rPr>
              <w:t>总投资约</w:t>
            </w:r>
            <w:r>
              <w:rPr>
                <w:rFonts w:ascii="宋体" w:hAnsi="宋体" w:cs="宋体"/>
                <w:sz w:val="28"/>
                <w:szCs w:val="28"/>
              </w:rPr>
              <w:t>6</w:t>
            </w:r>
            <w:r>
              <w:rPr>
                <w:rFonts w:hint="eastAsia" w:ascii="宋体" w:hAnsi="宋体" w:cs="宋体"/>
                <w:sz w:val="28"/>
                <w:szCs w:val="28"/>
              </w:rPr>
              <w:t>亿元，预计</w:t>
            </w:r>
            <w:r>
              <w:rPr>
                <w:rFonts w:ascii="宋体" w:hAnsi="宋体" w:cs="宋体"/>
                <w:sz w:val="28"/>
                <w:szCs w:val="28"/>
              </w:rPr>
              <w:t>2025</w:t>
            </w:r>
            <w:r>
              <w:rPr>
                <w:rFonts w:hint="eastAsia" w:ascii="宋体" w:hAnsi="宋体" w:cs="宋体"/>
                <w:sz w:val="28"/>
                <w:szCs w:val="28"/>
              </w:rPr>
              <w:t>年前建成投运。</w:t>
            </w:r>
          </w:p>
          <w:p>
            <w:pPr>
              <w:spacing w:line="600" w:lineRule="exact"/>
              <w:ind w:firstLine="562" w:firstLineChars="200"/>
              <w:rPr>
                <w:rFonts w:ascii="宋体"/>
                <w:sz w:val="28"/>
                <w:szCs w:val="28"/>
              </w:rPr>
            </w:pPr>
            <w:r>
              <w:rPr>
                <w:rFonts w:ascii="宋体" w:hAnsi="宋体" w:cs="宋体"/>
                <w:b/>
                <w:bCs/>
                <w:sz w:val="28"/>
                <w:szCs w:val="28"/>
              </w:rPr>
              <w:t>4</w:t>
            </w:r>
            <w:r>
              <w:rPr>
                <w:rFonts w:hint="eastAsia" w:ascii="宋体" w:hAnsi="宋体" w:cs="宋体"/>
                <w:b/>
                <w:bCs/>
                <w:sz w:val="28"/>
                <w:szCs w:val="28"/>
              </w:rPr>
              <w:t>、沈白高铁</w:t>
            </w:r>
            <w:r>
              <w:rPr>
                <w:rFonts w:ascii="宋体" w:hAnsi="宋体" w:cs="宋体"/>
                <w:b/>
                <w:bCs/>
                <w:sz w:val="28"/>
                <w:szCs w:val="28"/>
              </w:rPr>
              <w:t>220</w:t>
            </w:r>
            <w:r>
              <w:rPr>
                <w:rFonts w:hint="eastAsia" w:ascii="宋体" w:hAnsi="宋体" w:cs="宋体"/>
                <w:b/>
                <w:bCs/>
                <w:sz w:val="28"/>
                <w:szCs w:val="28"/>
              </w:rPr>
              <w:t>千伏供电配套工程。</w:t>
            </w:r>
            <w:r>
              <w:rPr>
                <w:rFonts w:hint="eastAsia" w:ascii="宋体" w:hAnsi="宋体" w:cs="宋体"/>
                <w:sz w:val="28"/>
                <w:szCs w:val="28"/>
              </w:rPr>
              <w:t>总投资约</w:t>
            </w:r>
            <w:r>
              <w:rPr>
                <w:rFonts w:ascii="宋体" w:hAnsi="宋体" w:cs="宋体"/>
                <w:sz w:val="28"/>
                <w:szCs w:val="28"/>
              </w:rPr>
              <w:t>6.9</w:t>
            </w:r>
            <w:r>
              <w:rPr>
                <w:rFonts w:hint="eastAsia" w:ascii="宋体" w:hAnsi="宋体" w:cs="宋体"/>
                <w:sz w:val="28"/>
                <w:szCs w:val="28"/>
              </w:rPr>
              <w:t>亿元，预计</w:t>
            </w:r>
            <w:r>
              <w:rPr>
                <w:rFonts w:ascii="宋体" w:hAnsi="宋体" w:cs="宋体"/>
                <w:sz w:val="28"/>
                <w:szCs w:val="28"/>
              </w:rPr>
              <w:t>2024</w:t>
            </w:r>
            <w:r>
              <w:rPr>
                <w:rFonts w:hint="eastAsia" w:ascii="宋体" w:hAnsi="宋体" w:cs="宋体"/>
                <w:sz w:val="28"/>
                <w:szCs w:val="28"/>
              </w:rPr>
              <w:t>年前建成投运。</w:t>
            </w:r>
          </w:p>
          <w:p>
            <w:pPr>
              <w:spacing w:line="600" w:lineRule="exact"/>
              <w:ind w:firstLine="562" w:firstLineChars="200"/>
              <w:rPr>
                <w:rFonts w:ascii="宋体"/>
                <w:sz w:val="28"/>
                <w:szCs w:val="28"/>
              </w:rPr>
            </w:pPr>
            <w:r>
              <w:rPr>
                <w:rFonts w:ascii="宋体" w:hAnsi="宋体" w:cs="宋体"/>
                <w:b/>
                <w:bCs/>
                <w:sz w:val="28"/>
                <w:szCs w:val="28"/>
              </w:rPr>
              <w:t>5</w:t>
            </w:r>
            <w:r>
              <w:rPr>
                <w:rFonts w:hint="eastAsia" w:ascii="宋体" w:hAnsi="宋体" w:cs="宋体"/>
                <w:b/>
                <w:bCs/>
                <w:sz w:val="28"/>
                <w:szCs w:val="28"/>
              </w:rPr>
              <w:t>、清洁能源电源配套送出工程。</w:t>
            </w:r>
            <w:r>
              <w:rPr>
                <w:rFonts w:hint="eastAsia" w:ascii="宋体" w:hAnsi="宋体" w:cs="宋体"/>
                <w:sz w:val="28"/>
                <w:szCs w:val="28"/>
              </w:rPr>
              <w:t>根据清洁能源项目实施情况，拟定投资计划。</w:t>
            </w:r>
          </w:p>
        </w:tc>
      </w:tr>
    </w:tbl>
    <w:p>
      <w:pPr>
        <w:autoSpaceDE w:val="0"/>
        <w:autoSpaceDN w:val="0"/>
        <w:adjustRightInd w:val="0"/>
        <w:snapToGrid w:val="0"/>
        <w:spacing w:beforeLines="100" w:afterLines="100" w:line="360" w:lineRule="auto"/>
        <w:jc w:val="center"/>
        <w:outlineLvl w:val="0"/>
        <w:rPr>
          <w:rFonts w:ascii="黑体" w:hAnsi="黑体" w:eastAsia="黑体"/>
          <w:color w:val="auto"/>
          <w:sz w:val="32"/>
          <w:szCs w:val="32"/>
        </w:rPr>
      </w:pPr>
      <w:bookmarkStart w:id="33" w:name="_Toc41374956"/>
      <w:r>
        <w:rPr>
          <w:rFonts w:ascii="黑体" w:hAnsi="黑体" w:eastAsia="黑体"/>
          <w:color w:val="auto"/>
          <w:sz w:val="32"/>
          <w:szCs w:val="32"/>
        </w:rPr>
        <w:br w:type="page"/>
      </w:r>
      <w:bookmarkStart w:id="34" w:name="_Toc73515142"/>
      <w:bookmarkStart w:id="35" w:name="_Toc86233332"/>
      <w:r>
        <w:rPr>
          <w:rFonts w:hint="eastAsia" w:ascii="黑体" w:hAnsi="黑体" w:eastAsia="黑体" w:cs="黑体"/>
          <w:color w:val="auto"/>
          <w:sz w:val="32"/>
          <w:szCs w:val="32"/>
        </w:rPr>
        <w:t>第四章</w:t>
      </w:r>
      <w:r>
        <w:rPr>
          <w:rFonts w:ascii="黑体" w:hAnsi="黑体" w:eastAsia="黑体" w:cs="黑体"/>
          <w:color w:val="auto"/>
          <w:sz w:val="32"/>
          <w:szCs w:val="32"/>
        </w:rPr>
        <w:t xml:space="preserve"> </w:t>
      </w:r>
      <w:bookmarkEnd w:id="34"/>
      <w:r>
        <w:rPr>
          <w:rFonts w:hint="eastAsia" w:ascii="黑体" w:hAnsi="黑体" w:eastAsia="黑体" w:cs="黑体"/>
          <w:color w:val="auto"/>
          <w:sz w:val="32"/>
          <w:szCs w:val="32"/>
        </w:rPr>
        <w:t>电网接入系统规划</w:t>
      </w:r>
      <w:bookmarkEnd w:id="35"/>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36" w:name="_Toc86233333"/>
      <w:bookmarkStart w:id="37" w:name="_Toc41374949"/>
      <w:bookmarkStart w:id="38" w:name="_Toc3570"/>
      <w:bookmarkStart w:id="39" w:name="_Toc73515143"/>
      <w:r>
        <w:rPr>
          <w:rFonts w:hint="eastAsia" w:ascii="黑体" w:hAnsi="黑体" w:eastAsia="黑体" w:cs="黑体"/>
          <w:color w:val="auto"/>
          <w:sz w:val="32"/>
          <w:szCs w:val="32"/>
        </w:rPr>
        <w:t>一、电力系统现状</w:t>
      </w:r>
      <w:bookmarkEnd w:id="36"/>
      <w:bookmarkEnd w:id="37"/>
      <w:bookmarkEnd w:id="38"/>
      <w:bookmarkEnd w:id="39"/>
    </w:p>
    <w:p>
      <w:pPr>
        <w:spacing w:line="600" w:lineRule="exact"/>
        <w:ind w:firstLine="640" w:firstLineChars="200"/>
        <w:rPr>
          <w:rFonts w:ascii="仿宋_GB2312" w:eastAsia="仿宋_GB2312"/>
          <w:color w:val="auto"/>
          <w:sz w:val="32"/>
          <w:szCs w:val="32"/>
        </w:rPr>
      </w:pPr>
      <w:bookmarkStart w:id="40" w:name="_Toc41374950"/>
      <w:bookmarkStart w:id="41" w:name="_Toc23485"/>
      <w:bookmarkStart w:id="42" w:name="_Toc59092349"/>
      <w:r>
        <w:rPr>
          <w:rFonts w:hint="eastAsia" w:ascii="仿宋_GB2312" w:eastAsia="仿宋_GB2312" w:cs="仿宋_GB2312"/>
          <w:color w:val="auto"/>
          <w:sz w:val="32"/>
          <w:szCs w:val="32"/>
        </w:rPr>
        <w:t>抚顺电网位于辽宁电网东部，通过</w:t>
      </w:r>
      <w:r>
        <w:rPr>
          <w:rFonts w:ascii="仿宋_GB2312" w:eastAsia="仿宋_GB2312" w:cs="仿宋_GB2312"/>
          <w:color w:val="auto"/>
          <w:sz w:val="32"/>
          <w:szCs w:val="32"/>
        </w:rPr>
        <w:t>500</w:t>
      </w:r>
      <w:r>
        <w:rPr>
          <w:rFonts w:hint="eastAsia" w:ascii="仿宋_GB2312" w:eastAsia="仿宋_GB2312" w:cs="仿宋_GB2312"/>
          <w:color w:val="auto"/>
          <w:sz w:val="32"/>
          <w:szCs w:val="32"/>
        </w:rPr>
        <w:t>千伏抚顺变与辽宁</w:t>
      </w:r>
      <w:r>
        <w:rPr>
          <w:rFonts w:ascii="仿宋_GB2312" w:eastAsia="仿宋_GB2312" w:cs="仿宋_GB2312"/>
          <w:color w:val="auto"/>
          <w:sz w:val="32"/>
          <w:szCs w:val="32"/>
        </w:rPr>
        <w:t>500</w:t>
      </w:r>
      <w:r>
        <w:rPr>
          <w:rFonts w:hint="eastAsia" w:ascii="仿宋_GB2312" w:eastAsia="仿宋_GB2312" w:cs="仿宋_GB2312"/>
          <w:color w:val="auto"/>
          <w:sz w:val="32"/>
          <w:szCs w:val="32"/>
        </w:rPr>
        <w:t>千伏主网相连；</w:t>
      </w:r>
      <w:r>
        <w:rPr>
          <w:rFonts w:ascii="仿宋_GB2312" w:eastAsia="仿宋_GB2312" w:cs="仿宋_GB2312"/>
          <w:color w:val="auto"/>
          <w:sz w:val="32"/>
          <w:szCs w:val="32"/>
        </w:rPr>
        <w:t>220</w:t>
      </w:r>
      <w:r>
        <w:rPr>
          <w:rFonts w:hint="eastAsia" w:ascii="仿宋_GB2312" w:eastAsia="仿宋_GB2312" w:cs="仿宋_GB2312"/>
          <w:color w:val="auto"/>
          <w:sz w:val="32"/>
          <w:szCs w:val="32"/>
        </w:rPr>
        <w:t>千伏通过热友</w:t>
      </w:r>
      <w:r>
        <w:rPr>
          <w:rFonts w:ascii="仿宋_GB2312" w:eastAsia="仿宋_GB2312" w:cs="仿宋_GB2312"/>
          <w:color w:val="auto"/>
          <w:sz w:val="32"/>
          <w:szCs w:val="32"/>
        </w:rPr>
        <w:t>#1</w:t>
      </w:r>
      <w:r>
        <w:rPr>
          <w:rFonts w:hint="eastAsia" w:ascii="仿宋_GB2312" w:eastAsia="仿宋_GB2312" w:cs="仿宋_GB2312"/>
          <w:color w:val="auto"/>
          <w:sz w:val="32"/>
          <w:szCs w:val="32"/>
        </w:rPr>
        <w:t>、</w:t>
      </w:r>
      <w:r>
        <w:rPr>
          <w:rFonts w:ascii="仿宋_GB2312" w:eastAsia="仿宋_GB2312" w:cs="仿宋_GB2312"/>
          <w:color w:val="auto"/>
          <w:sz w:val="32"/>
          <w:szCs w:val="32"/>
        </w:rPr>
        <w:t>#2</w:t>
      </w:r>
      <w:r>
        <w:rPr>
          <w:rFonts w:hint="eastAsia" w:ascii="仿宋_GB2312" w:eastAsia="仿宋_GB2312" w:cs="仿宋_GB2312"/>
          <w:color w:val="auto"/>
          <w:sz w:val="32"/>
          <w:szCs w:val="32"/>
        </w:rPr>
        <w:t>线与沈阳电网相连；通过顺灯线与辽阳电网相连；通过抚石</w:t>
      </w:r>
      <w:r>
        <w:rPr>
          <w:rFonts w:ascii="仿宋_GB2312" w:eastAsia="仿宋_GB2312" w:cs="仿宋_GB2312"/>
          <w:color w:val="auto"/>
          <w:sz w:val="32"/>
          <w:szCs w:val="32"/>
        </w:rPr>
        <w:t>#1</w:t>
      </w:r>
      <w:r>
        <w:rPr>
          <w:rFonts w:hint="eastAsia" w:ascii="仿宋_GB2312" w:eastAsia="仿宋_GB2312" w:cs="仿宋_GB2312"/>
          <w:color w:val="auto"/>
          <w:sz w:val="32"/>
          <w:szCs w:val="32"/>
        </w:rPr>
        <w:t>、</w:t>
      </w:r>
      <w:r>
        <w:rPr>
          <w:rFonts w:ascii="仿宋_GB2312" w:eastAsia="仿宋_GB2312" w:cs="仿宋_GB2312"/>
          <w:color w:val="auto"/>
          <w:sz w:val="32"/>
          <w:szCs w:val="32"/>
        </w:rPr>
        <w:t>#2</w:t>
      </w:r>
      <w:r>
        <w:rPr>
          <w:rFonts w:hint="eastAsia" w:ascii="仿宋_GB2312" w:eastAsia="仿宋_GB2312" w:cs="仿宋_GB2312"/>
          <w:color w:val="auto"/>
          <w:sz w:val="32"/>
          <w:szCs w:val="32"/>
        </w:rPr>
        <w:t>线及抚徐线与本溪电网相连。目前已经形成北部以</w:t>
      </w:r>
      <w:r>
        <w:rPr>
          <w:rFonts w:ascii="仿宋_GB2312" w:eastAsia="仿宋_GB2312" w:cs="仿宋_GB2312"/>
          <w:color w:val="auto"/>
          <w:sz w:val="32"/>
          <w:szCs w:val="32"/>
        </w:rPr>
        <w:t>220</w:t>
      </w:r>
      <w:r>
        <w:rPr>
          <w:rFonts w:hint="eastAsia" w:ascii="仿宋_GB2312" w:eastAsia="仿宋_GB2312" w:cs="仿宋_GB2312"/>
          <w:color w:val="auto"/>
          <w:sz w:val="32"/>
          <w:szCs w:val="32"/>
        </w:rPr>
        <w:t>千伏辽宁东方电厂、中电投抚顺热电厂为电源支撑点，南部以</w:t>
      </w:r>
      <w:r>
        <w:rPr>
          <w:rFonts w:ascii="仿宋_GB2312" w:eastAsia="仿宋_GB2312" w:cs="仿宋_GB2312"/>
          <w:color w:val="auto"/>
          <w:sz w:val="32"/>
          <w:szCs w:val="32"/>
        </w:rPr>
        <w:t>500</w:t>
      </w:r>
      <w:r>
        <w:rPr>
          <w:rFonts w:hint="eastAsia" w:ascii="仿宋_GB2312" w:eastAsia="仿宋_GB2312" w:cs="仿宋_GB2312"/>
          <w:color w:val="auto"/>
          <w:sz w:val="32"/>
          <w:szCs w:val="32"/>
        </w:rPr>
        <w:t>千伏抚顺变及抚矿中机热电厂为电源支撑点的环网结构。</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截止到</w:t>
      </w:r>
      <w:r>
        <w:rPr>
          <w:rFonts w:ascii="仿宋_GB2312" w:eastAsia="仿宋_GB2312" w:cs="仿宋_GB2312"/>
          <w:color w:val="auto"/>
          <w:sz w:val="32"/>
          <w:szCs w:val="32"/>
        </w:rPr>
        <w:t>2020</w:t>
      </w:r>
      <w:r>
        <w:rPr>
          <w:rFonts w:hint="eastAsia" w:ascii="仿宋_GB2312" w:eastAsia="仿宋_GB2312" w:cs="仿宋_GB2312"/>
          <w:color w:val="auto"/>
          <w:sz w:val="32"/>
          <w:szCs w:val="32"/>
        </w:rPr>
        <w:t>年底，抚顺地区有</w:t>
      </w:r>
      <w:r>
        <w:rPr>
          <w:rFonts w:ascii="仿宋_GB2312" w:eastAsia="仿宋_GB2312" w:cs="仿宋_GB2312"/>
          <w:color w:val="auto"/>
          <w:sz w:val="32"/>
          <w:szCs w:val="32"/>
        </w:rPr>
        <w:t>220kV</w:t>
      </w:r>
      <w:r>
        <w:rPr>
          <w:rFonts w:hint="eastAsia" w:ascii="仿宋_GB2312" w:eastAsia="仿宋_GB2312" w:cs="仿宋_GB2312"/>
          <w:color w:val="auto"/>
          <w:sz w:val="32"/>
          <w:szCs w:val="32"/>
        </w:rPr>
        <w:t>变电站</w:t>
      </w:r>
      <w:r>
        <w:rPr>
          <w:rFonts w:ascii="仿宋_GB2312" w:eastAsia="仿宋_GB2312" w:cs="仿宋_GB2312"/>
          <w:color w:val="auto"/>
          <w:sz w:val="32"/>
          <w:szCs w:val="32"/>
        </w:rPr>
        <w:t>15</w:t>
      </w:r>
      <w:r>
        <w:rPr>
          <w:rFonts w:hint="eastAsia" w:ascii="仿宋_GB2312" w:eastAsia="仿宋_GB2312" w:cs="仿宋_GB2312"/>
          <w:color w:val="auto"/>
          <w:sz w:val="32"/>
          <w:szCs w:val="32"/>
        </w:rPr>
        <w:t>座，主变</w:t>
      </w:r>
      <w:r>
        <w:rPr>
          <w:rFonts w:ascii="仿宋_GB2312" w:eastAsia="仿宋_GB2312" w:cs="仿宋_GB2312"/>
          <w:color w:val="auto"/>
          <w:sz w:val="32"/>
          <w:szCs w:val="32"/>
        </w:rPr>
        <w:t>31</w:t>
      </w:r>
      <w:r>
        <w:rPr>
          <w:rFonts w:hint="eastAsia" w:ascii="仿宋_GB2312" w:eastAsia="仿宋_GB2312" w:cs="仿宋_GB2312"/>
          <w:color w:val="auto"/>
          <w:sz w:val="32"/>
          <w:szCs w:val="32"/>
        </w:rPr>
        <w:t>台，总变电容量</w:t>
      </w:r>
      <w:r>
        <w:rPr>
          <w:rFonts w:ascii="仿宋_GB2312" w:eastAsia="仿宋_GB2312" w:cs="仿宋_GB2312"/>
          <w:color w:val="auto"/>
          <w:sz w:val="32"/>
          <w:szCs w:val="32"/>
        </w:rPr>
        <w:t>5310MVA</w:t>
      </w:r>
      <w:r>
        <w:rPr>
          <w:rFonts w:hint="eastAsia" w:ascii="仿宋_GB2312" w:eastAsia="仿宋_GB2312" w:cs="仿宋_GB2312"/>
          <w:color w:val="auto"/>
          <w:sz w:val="32"/>
          <w:szCs w:val="32"/>
        </w:rPr>
        <w:t>。其中，电网公司资产</w:t>
      </w:r>
      <w:r>
        <w:rPr>
          <w:rFonts w:ascii="仿宋_GB2312" w:eastAsia="仿宋_GB2312" w:cs="仿宋_GB2312"/>
          <w:color w:val="auto"/>
          <w:sz w:val="32"/>
          <w:szCs w:val="32"/>
        </w:rPr>
        <w:t>14</w:t>
      </w:r>
      <w:r>
        <w:rPr>
          <w:rFonts w:hint="eastAsia" w:ascii="仿宋_GB2312" w:eastAsia="仿宋_GB2312" w:cs="仿宋_GB2312"/>
          <w:color w:val="auto"/>
          <w:sz w:val="32"/>
          <w:szCs w:val="32"/>
        </w:rPr>
        <w:t>座，主变压器</w:t>
      </w:r>
      <w:r>
        <w:rPr>
          <w:rFonts w:ascii="仿宋_GB2312" w:eastAsia="仿宋_GB2312" w:cs="仿宋_GB2312"/>
          <w:color w:val="auto"/>
          <w:sz w:val="32"/>
          <w:szCs w:val="32"/>
        </w:rPr>
        <w:t>29</w:t>
      </w:r>
      <w:r>
        <w:rPr>
          <w:rFonts w:hint="eastAsia" w:ascii="仿宋_GB2312" w:eastAsia="仿宋_GB2312" w:cs="仿宋_GB2312"/>
          <w:color w:val="auto"/>
          <w:sz w:val="32"/>
          <w:szCs w:val="32"/>
        </w:rPr>
        <w:t>台，容量</w:t>
      </w:r>
      <w:r>
        <w:rPr>
          <w:rFonts w:ascii="仿宋_GB2312" w:eastAsia="仿宋_GB2312" w:cs="仿宋_GB2312"/>
          <w:color w:val="auto"/>
          <w:sz w:val="32"/>
          <w:szCs w:val="32"/>
        </w:rPr>
        <w:t>4950MWA</w:t>
      </w:r>
      <w:r>
        <w:rPr>
          <w:rFonts w:hint="eastAsia" w:ascii="仿宋_GB2312" w:eastAsia="仿宋_GB2312" w:cs="仿宋_GB2312"/>
          <w:color w:val="auto"/>
          <w:sz w:val="32"/>
          <w:szCs w:val="32"/>
        </w:rPr>
        <w:t>。用户资产变电站</w:t>
      </w:r>
      <w:r>
        <w:rPr>
          <w:rFonts w:ascii="仿宋_GB2312" w:eastAsia="仿宋_GB2312" w:cs="仿宋_GB2312"/>
          <w:color w:val="auto"/>
          <w:sz w:val="32"/>
          <w:szCs w:val="32"/>
        </w:rPr>
        <w:t>1</w:t>
      </w:r>
      <w:r>
        <w:rPr>
          <w:rFonts w:hint="eastAsia" w:ascii="仿宋_GB2312" w:eastAsia="仿宋_GB2312" w:cs="仿宋_GB2312"/>
          <w:color w:val="auto"/>
          <w:sz w:val="32"/>
          <w:szCs w:val="32"/>
        </w:rPr>
        <w:t>座，主变压器</w:t>
      </w:r>
      <w:r>
        <w:rPr>
          <w:rFonts w:ascii="仿宋_GB2312" w:eastAsia="仿宋_GB2312" w:cs="仿宋_GB2312"/>
          <w:color w:val="auto"/>
          <w:sz w:val="32"/>
          <w:szCs w:val="32"/>
        </w:rPr>
        <w:t>2</w:t>
      </w:r>
      <w:r>
        <w:rPr>
          <w:rFonts w:hint="eastAsia" w:ascii="仿宋_GB2312" w:eastAsia="仿宋_GB2312" w:cs="仿宋_GB2312"/>
          <w:color w:val="auto"/>
          <w:sz w:val="32"/>
          <w:szCs w:val="32"/>
        </w:rPr>
        <w:t>台容量</w:t>
      </w:r>
      <w:r>
        <w:rPr>
          <w:rFonts w:ascii="仿宋_GB2312" w:eastAsia="仿宋_GB2312" w:cs="仿宋_GB2312"/>
          <w:color w:val="auto"/>
          <w:sz w:val="32"/>
          <w:szCs w:val="32"/>
        </w:rPr>
        <w:t>360MVA</w:t>
      </w:r>
      <w:r>
        <w:rPr>
          <w:rFonts w:hint="eastAsia" w:ascii="仿宋_GB2312" w:eastAsia="仿宋_GB2312" w:cs="仿宋_GB2312"/>
          <w:color w:val="auto"/>
          <w:sz w:val="32"/>
          <w:szCs w:val="32"/>
        </w:rPr>
        <w:t>。</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截至</w:t>
      </w:r>
      <w:r>
        <w:rPr>
          <w:rFonts w:ascii="仿宋_GB2312" w:eastAsia="仿宋_GB2312" w:cs="仿宋_GB2312"/>
          <w:color w:val="auto"/>
          <w:sz w:val="32"/>
          <w:szCs w:val="32"/>
        </w:rPr>
        <w:t>2020</w:t>
      </w:r>
      <w:r>
        <w:rPr>
          <w:rFonts w:hint="eastAsia" w:ascii="仿宋_GB2312" w:eastAsia="仿宋_GB2312" w:cs="仿宋_GB2312"/>
          <w:color w:val="auto"/>
          <w:sz w:val="32"/>
          <w:szCs w:val="32"/>
        </w:rPr>
        <w:t>年底，抚顺电网共有</w:t>
      </w:r>
      <w:r>
        <w:rPr>
          <w:rFonts w:ascii="仿宋_GB2312" w:eastAsia="仿宋_GB2312" w:cs="仿宋_GB2312"/>
          <w:color w:val="auto"/>
          <w:sz w:val="32"/>
          <w:szCs w:val="32"/>
        </w:rPr>
        <w:t>500</w:t>
      </w:r>
      <w:r>
        <w:rPr>
          <w:rFonts w:hint="eastAsia" w:ascii="仿宋_GB2312" w:eastAsia="仿宋_GB2312" w:cs="仿宋_GB2312"/>
          <w:color w:val="auto"/>
          <w:sz w:val="32"/>
          <w:szCs w:val="32"/>
        </w:rPr>
        <w:t>千伏输电线路</w:t>
      </w:r>
      <w:r>
        <w:rPr>
          <w:rFonts w:ascii="仿宋_GB2312" w:eastAsia="仿宋_GB2312" w:cs="仿宋_GB2312"/>
          <w:color w:val="auto"/>
          <w:sz w:val="32"/>
          <w:szCs w:val="32"/>
        </w:rPr>
        <w:t>4</w:t>
      </w:r>
      <w:r>
        <w:rPr>
          <w:rFonts w:hint="eastAsia" w:ascii="仿宋_GB2312" w:eastAsia="仿宋_GB2312" w:cs="仿宋_GB2312"/>
          <w:color w:val="auto"/>
          <w:sz w:val="32"/>
          <w:szCs w:val="32"/>
        </w:rPr>
        <w:t>条，</w:t>
      </w:r>
      <w:r>
        <w:rPr>
          <w:rFonts w:ascii="仿宋_GB2312" w:eastAsia="仿宋_GB2312" w:cs="仿宋_GB2312"/>
          <w:color w:val="auto"/>
          <w:sz w:val="32"/>
          <w:szCs w:val="32"/>
        </w:rPr>
        <w:t>220</w:t>
      </w:r>
      <w:r>
        <w:rPr>
          <w:rFonts w:hint="eastAsia" w:ascii="仿宋_GB2312" w:eastAsia="仿宋_GB2312" w:cs="仿宋_GB2312"/>
          <w:color w:val="auto"/>
          <w:sz w:val="32"/>
          <w:szCs w:val="32"/>
        </w:rPr>
        <w:t>千伏输电线路</w:t>
      </w:r>
      <w:r>
        <w:rPr>
          <w:rFonts w:ascii="仿宋_GB2312" w:eastAsia="仿宋_GB2312" w:cs="仿宋_GB2312"/>
          <w:color w:val="auto"/>
          <w:sz w:val="32"/>
          <w:szCs w:val="32"/>
        </w:rPr>
        <w:t>55</w:t>
      </w:r>
      <w:r>
        <w:rPr>
          <w:rFonts w:hint="eastAsia" w:ascii="仿宋_GB2312" w:eastAsia="仿宋_GB2312" w:cs="仿宋_GB2312"/>
          <w:color w:val="auto"/>
          <w:sz w:val="32"/>
          <w:szCs w:val="32"/>
        </w:rPr>
        <w:t>条，线路</w:t>
      </w:r>
      <w:r>
        <w:rPr>
          <w:rFonts w:ascii="仿宋_GB2312" w:eastAsia="仿宋_GB2312" w:cs="仿宋_GB2312"/>
          <w:color w:val="auto"/>
          <w:sz w:val="32"/>
          <w:szCs w:val="32"/>
        </w:rPr>
        <w:t>1065.4</w:t>
      </w:r>
      <w:r>
        <w:rPr>
          <w:rFonts w:hint="eastAsia" w:ascii="仿宋_GB2312" w:eastAsia="仿宋_GB2312" w:cs="仿宋_GB2312"/>
          <w:color w:val="auto"/>
          <w:sz w:val="32"/>
          <w:szCs w:val="32"/>
        </w:rPr>
        <w:t>千米；</w:t>
      </w:r>
      <w:r>
        <w:rPr>
          <w:rFonts w:ascii="仿宋_GB2312" w:eastAsia="仿宋_GB2312" w:cs="仿宋_GB2312"/>
          <w:color w:val="auto"/>
          <w:sz w:val="32"/>
          <w:szCs w:val="32"/>
        </w:rPr>
        <w:t>66</w:t>
      </w:r>
      <w:r>
        <w:rPr>
          <w:rFonts w:hint="eastAsia" w:ascii="仿宋_GB2312" w:eastAsia="仿宋_GB2312" w:cs="仿宋_GB2312"/>
          <w:color w:val="auto"/>
          <w:sz w:val="32"/>
          <w:szCs w:val="32"/>
        </w:rPr>
        <w:t>千伏（含</w:t>
      </w:r>
      <w:r>
        <w:rPr>
          <w:rFonts w:ascii="仿宋_GB2312" w:eastAsia="仿宋_GB2312" w:cs="仿宋_GB2312"/>
          <w:color w:val="auto"/>
          <w:sz w:val="32"/>
          <w:szCs w:val="32"/>
        </w:rPr>
        <w:t>35</w:t>
      </w:r>
      <w:r>
        <w:rPr>
          <w:rFonts w:hint="eastAsia" w:ascii="仿宋_GB2312" w:eastAsia="仿宋_GB2312" w:cs="仿宋_GB2312"/>
          <w:color w:val="auto"/>
          <w:sz w:val="32"/>
          <w:szCs w:val="32"/>
        </w:rPr>
        <w:t>千伏）输电线路</w:t>
      </w:r>
      <w:r>
        <w:rPr>
          <w:rFonts w:ascii="仿宋_GB2312" w:eastAsia="仿宋_GB2312" w:cs="仿宋_GB2312"/>
          <w:color w:val="auto"/>
          <w:sz w:val="32"/>
          <w:szCs w:val="32"/>
        </w:rPr>
        <w:t>181</w:t>
      </w:r>
      <w:r>
        <w:rPr>
          <w:rFonts w:hint="eastAsia" w:ascii="仿宋_GB2312" w:eastAsia="仿宋_GB2312" w:cs="仿宋_GB2312"/>
          <w:color w:val="auto"/>
          <w:sz w:val="32"/>
          <w:szCs w:val="32"/>
        </w:rPr>
        <w:t>条，线路</w:t>
      </w:r>
      <w:r>
        <w:rPr>
          <w:rFonts w:ascii="仿宋_GB2312" w:eastAsia="仿宋_GB2312" w:cs="仿宋_GB2312"/>
          <w:color w:val="auto"/>
          <w:sz w:val="32"/>
          <w:szCs w:val="32"/>
        </w:rPr>
        <w:t>2292.33</w:t>
      </w:r>
      <w:r>
        <w:rPr>
          <w:rFonts w:hint="eastAsia" w:ascii="仿宋_GB2312" w:eastAsia="仿宋_GB2312" w:cs="仿宋_GB2312"/>
          <w:color w:val="auto"/>
          <w:sz w:val="32"/>
          <w:szCs w:val="32"/>
        </w:rPr>
        <w:t>千米。</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43" w:name="_Toc86233334"/>
      <w:bookmarkStart w:id="44" w:name="_Toc73515144"/>
      <w:r>
        <w:rPr>
          <w:rFonts w:hint="eastAsia" w:ascii="黑体" w:hAnsi="黑体" w:eastAsia="黑体" w:cs="黑体"/>
          <w:color w:val="auto"/>
          <w:sz w:val="32"/>
          <w:szCs w:val="32"/>
        </w:rPr>
        <w:t>二、新能源接入系统规划</w:t>
      </w:r>
      <w:bookmarkEnd w:id="40"/>
      <w:bookmarkEnd w:id="41"/>
      <w:bookmarkEnd w:id="42"/>
      <w:bookmarkEnd w:id="43"/>
      <w:bookmarkEnd w:id="44"/>
    </w:p>
    <w:p>
      <w:pPr>
        <w:pStyle w:val="5"/>
        <w:spacing w:beforeLines="50" w:afterLines="50" w:line="600" w:lineRule="exact"/>
        <w:ind w:firstLine="643" w:firstLineChars="200"/>
        <w:jc w:val="both"/>
        <w:rPr>
          <w:rFonts w:ascii="楷体" w:hAnsi="楷体" w:eastAsia="楷体"/>
          <w:color w:val="auto"/>
          <w:sz w:val="32"/>
          <w:szCs w:val="32"/>
        </w:rPr>
      </w:pPr>
      <w:r>
        <w:rPr>
          <w:rFonts w:hint="eastAsia" w:ascii="楷体" w:hAnsi="楷体" w:eastAsia="楷体" w:cs="楷体"/>
          <w:color w:val="auto"/>
          <w:sz w:val="32"/>
          <w:szCs w:val="32"/>
        </w:rPr>
        <w:t>（一）新能源发电接纳能力预测</w:t>
      </w:r>
    </w:p>
    <w:p>
      <w:pPr>
        <w:spacing w:line="600" w:lineRule="exact"/>
        <w:ind w:firstLine="640" w:firstLineChars="200"/>
      </w:pPr>
      <w:r>
        <w:rPr>
          <w:rFonts w:hint="eastAsia" w:ascii="仿宋_GB2312" w:eastAsia="仿宋_GB2312" w:cs="仿宋_GB2312"/>
          <w:color w:val="auto"/>
          <w:sz w:val="32"/>
          <w:szCs w:val="32"/>
        </w:rPr>
        <w:t>截至</w:t>
      </w:r>
      <w:r>
        <w:rPr>
          <w:rFonts w:ascii="仿宋_GB2312" w:eastAsia="仿宋_GB2312" w:cs="仿宋_GB2312"/>
          <w:color w:val="auto"/>
          <w:sz w:val="32"/>
          <w:szCs w:val="32"/>
        </w:rPr>
        <w:t>2020</w:t>
      </w:r>
      <w:r>
        <w:rPr>
          <w:rFonts w:hint="eastAsia" w:ascii="仿宋_GB2312" w:eastAsia="仿宋_GB2312" w:cs="仿宋_GB2312"/>
          <w:color w:val="auto"/>
          <w:sz w:val="32"/>
          <w:szCs w:val="32"/>
        </w:rPr>
        <w:t>年底，抚顺地区接入</w:t>
      </w:r>
      <w:r>
        <w:rPr>
          <w:rFonts w:ascii="仿宋_GB2312" w:eastAsia="仿宋_GB2312" w:cs="仿宋_GB2312"/>
          <w:color w:val="auto"/>
          <w:sz w:val="32"/>
          <w:szCs w:val="32"/>
        </w:rPr>
        <w:t>220kV</w:t>
      </w:r>
      <w:r>
        <w:rPr>
          <w:rFonts w:hint="eastAsia" w:ascii="仿宋_GB2312" w:eastAsia="仿宋_GB2312" w:cs="仿宋_GB2312"/>
          <w:color w:val="auto"/>
          <w:sz w:val="32"/>
          <w:szCs w:val="32"/>
        </w:rPr>
        <w:t>及以上电压等级的电厂有五座，分别为抚顺石化热电厂（</w:t>
      </w:r>
      <w:r>
        <w:rPr>
          <w:rFonts w:ascii="仿宋_GB2312" w:eastAsia="仿宋_GB2312" w:cs="仿宋_GB2312"/>
          <w:color w:val="auto"/>
          <w:sz w:val="32"/>
          <w:szCs w:val="32"/>
        </w:rPr>
        <w:t>2</w:t>
      </w:r>
      <w:r>
        <w:rPr>
          <w:rFonts w:hint="eastAsia" w:ascii="仿宋_GB2312" w:eastAsia="仿宋_GB2312" w:cs="仿宋_GB2312"/>
          <w:color w:val="auto"/>
          <w:sz w:val="32"/>
          <w:szCs w:val="32"/>
        </w:rPr>
        <w:t>×</w:t>
      </w:r>
      <w:r>
        <w:rPr>
          <w:rFonts w:ascii="仿宋_GB2312" w:eastAsia="仿宋_GB2312" w:cs="仿宋_GB2312"/>
          <w:color w:val="auto"/>
          <w:sz w:val="32"/>
          <w:szCs w:val="32"/>
        </w:rPr>
        <w:t>10</w:t>
      </w:r>
      <w:r>
        <w:rPr>
          <w:rFonts w:hint="eastAsia" w:ascii="仿宋_GB2312" w:eastAsia="仿宋_GB2312" w:cs="仿宋_GB2312"/>
          <w:color w:val="auto"/>
          <w:sz w:val="32"/>
          <w:szCs w:val="32"/>
        </w:rPr>
        <w:t>万千瓦</w:t>
      </w:r>
      <w:r>
        <w:rPr>
          <w:rFonts w:ascii="仿宋_GB2312" w:eastAsia="仿宋_GB2312" w:cs="仿宋_GB2312"/>
          <w:color w:val="auto"/>
          <w:sz w:val="32"/>
          <w:szCs w:val="32"/>
        </w:rPr>
        <w:t>+5</w:t>
      </w:r>
      <w:r>
        <w:rPr>
          <w:rFonts w:hint="eastAsia" w:ascii="仿宋_GB2312" w:eastAsia="仿宋_GB2312" w:cs="仿宋_GB2312"/>
          <w:color w:val="auto"/>
          <w:sz w:val="32"/>
          <w:szCs w:val="32"/>
        </w:rPr>
        <w:t>万千瓦</w:t>
      </w:r>
      <w:r>
        <w:rPr>
          <w:rFonts w:ascii="仿宋_GB2312" w:eastAsia="仿宋_GB2312" w:cs="仿宋_GB2312"/>
          <w:color w:val="auto"/>
          <w:sz w:val="32"/>
          <w:szCs w:val="32"/>
        </w:rPr>
        <w:t>+3</w:t>
      </w:r>
      <w:r>
        <w:rPr>
          <w:rFonts w:hint="eastAsia" w:ascii="仿宋_GB2312" w:eastAsia="仿宋_GB2312" w:cs="仿宋_GB2312"/>
          <w:color w:val="auto"/>
          <w:sz w:val="32"/>
          <w:szCs w:val="32"/>
        </w:rPr>
        <w:t>万千瓦</w:t>
      </w:r>
      <w:r>
        <w:rPr>
          <w:rFonts w:ascii="仿宋_GB2312" w:eastAsia="仿宋_GB2312" w:cs="仿宋_GB2312"/>
          <w:color w:val="auto"/>
          <w:sz w:val="32"/>
          <w:szCs w:val="32"/>
        </w:rPr>
        <w:t>+4</w:t>
      </w:r>
      <w:r>
        <w:rPr>
          <w:rFonts w:hint="eastAsia" w:ascii="仿宋_GB2312" w:eastAsia="仿宋_GB2312" w:cs="仿宋_GB2312"/>
          <w:color w:val="auto"/>
          <w:sz w:val="32"/>
          <w:szCs w:val="32"/>
        </w:rPr>
        <w:t>×</w:t>
      </w:r>
      <w:r>
        <w:rPr>
          <w:rFonts w:ascii="仿宋_GB2312" w:eastAsia="仿宋_GB2312" w:cs="仿宋_GB2312"/>
          <w:color w:val="auto"/>
          <w:sz w:val="32"/>
          <w:szCs w:val="32"/>
        </w:rPr>
        <w:t>2.5</w:t>
      </w:r>
      <w:r>
        <w:rPr>
          <w:rFonts w:hint="eastAsia" w:ascii="仿宋_GB2312" w:eastAsia="仿宋_GB2312" w:cs="仿宋_GB2312"/>
          <w:color w:val="auto"/>
          <w:sz w:val="32"/>
          <w:szCs w:val="32"/>
        </w:rPr>
        <w:t>万千瓦</w:t>
      </w:r>
      <w:r>
        <w:rPr>
          <w:rFonts w:ascii="仿宋_GB2312" w:eastAsia="仿宋_GB2312" w:cs="仿宋_GB2312"/>
          <w:color w:val="auto"/>
          <w:sz w:val="32"/>
          <w:szCs w:val="32"/>
        </w:rPr>
        <w:t>+0.6</w:t>
      </w:r>
      <w:r>
        <w:rPr>
          <w:rFonts w:hint="eastAsia" w:ascii="仿宋_GB2312" w:eastAsia="仿宋_GB2312" w:cs="仿宋_GB2312"/>
          <w:color w:val="auto"/>
          <w:sz w:val="32"/>
          <w:szCs w:val="32"/>
        </w:rPr>
        <w:t>万千瓦）、东方电厂（</w:t>
      </w:r>
      <w:r>
        <w:rPr>
          <w:rFonts w:ascii="仿宋_GB2312" w:eastAsia="仿宋_GB2312" w:cs="仿宋_GB2312"/>
          <w:color w:val="auto"/>
          <w:sz w:val="32"/>
          <w:szCs w:val="32"/>
        </w:rPr>
        <w:t>2</w:t>
      </w:r>
      <w:r>
        <w:rPr>
          <w:rFonts w:hint="eastAsia" w:ascii="仿宋_GB2312" w:eastAsia="仿宋_GB2312" w:cs="仿宋_GB2312"/>
          <w:color w:val="auto"/>
          <w:sz w:val="32"/>
          <w:szCs w:val="32"/>
        </w:rPr>
        <w:t>×</w:t>
      </w:r>
      <w:r>
        <w:rPr>
          <w:rFonts w:ascii="仿宋_GB2312" w:eastAsia="仿宋_GB2312" w:cs="仿宋_GB2312"/>
          <w:color w:val="auto"/>
          <w:sz w:val="32"/>
          <w:szCs w:val="32"/>
        </w:rPr>
        <w:t>35</w:t>
      </w:r>
      <w:r>
        <w:rPr>
          <w:rFonts w:hint="eastAsia" w:ascii="仿宋_GB2312" w:eastAsia="仿宋_GB2312" w:cs="仿宋_GB2312"/>
          <w:color w:val="auto"/>
          <w:sz w:val="32"/>
          <w:szCs w:val="32"/>
        </w:rPr>
        <w:t>万千瓦）、抚顺热电厂（</w:t>
      </w:r>
      <w:r>
        <w:rPr>
          <w:rFonts w:ascii="仿宋_GB2312" w:eastAsia="仿宋_GB2312" w:cs="仿宋_GB2312"/>
          <w:color w:val="auto"/>
          <w:sz w:val="32"/>
          <w:szCs w:val="32"/>
        </w:rPr>
        <w:t>2</w:t>
      </w:r>
      <w:r>
        <w:rPr>
          <w:rFonts w:hint="eastAsia" w:ascii="仿宋_GB2312" w:eastAsia="仿宋_GB2312" w:cs="仿宋_GB2312"/>
          <w:color w:val="auto"/>
          <w:sz w:val="32"/>
          <w:szCs w:val="32"/>
        </w:rPr>
        <w:t>×</w:t>
      </w:r>
      <w:r>
        <w:rPr>
          <w:rFonts w:ascii="仿宋_GB2312" w:eastAsia="仿宋_GB2312" w:cs="仿宋_GB2312"/>
          <w:color w:val="auto"/>
          <w:sz w:val="32"/>
          <w:szCs w:val="32"/>
        </w:rPr>
        <w:t>30</w:t>
      </w:r>
      <w:r>
        <w:rPr>
          <w:rFonts w:hint="eastAsia" w:ascii="仿宋_GB2312" w:eastAsia="仿宋_GB2312" w:cs="仿宋_GB2312"/>
          <w:color w:val="auto"/>
          <w:sz w:val="32"/>
          <w:szCs w:val="32"/>
        </w:rPr>
        <w:t>万千瓦）和抚顺中机热电厂（</w:t>
      </w:r>
      <w:r>
        <w:rPr>
          <w:rFonts w:ascii="仿宋_GB2312" w:eastAsia="仿宋_GB2312" w:cs="仿宋_GB2312"/>
          <w:color w:val="auto"/>
          <w:sz w:val="32"/>
          <w:szCs w:val="32"/>
        </w:rPr>
        <w:t>2</w:t>
      </w:r>
      <w:r>
        <w:rPr>
          <w:rFonts w:hint="eastAsia" w:ascii="仿宋_GB2312" w:eastAsia="仿宋_GB2312" w:cs="仿宋_GB2312"/>
          <w:color w:val="auto"/>
          <w:sz w:val="32"/>
          <w:szCs w:val="32"/>
        </w:rPr>
        <w:t>×</w:t>
      </w:r>
      <w:r>
        <w:rPr>
          <w:rFonts w:ascii="仿宋_GB2312" w:eastAsia="仿宋_GB2312" w:cs="仿宋_GB2312"/>
          <w:color w:val="auto"/>
          <w:sz w:val="32"/>
          <w:szCs w:val="32"/>
        </w:rPr>
        <w:t>30</w:t>
      </w:r>
      <w:r>
        <w:rPr>
          <w:rFonts w:hint="eastAsia" w:ascii="仿宋_GB2312" w:eastAsia="仿宋_GB2312" w:cs="仿宋_GB2312"/>
          <w:color w:val="auto"/>
          <w:sz w:val="32"/>
          <w:szCs w:val="32"/>
        </w:rPr>
        <w:t>万千瓦）。抚顺地区电网装机容量在</w:t>
      </w:r>
      <w:r>
        <w:rPr>
          <w:rFonts w:ascii="仿宋_GB2312" w:eastAsia="仿宋_GB2312" w:cs="仿宋_GB2312"/>
          <w:color w:val="auto"/>
          <w:sz w:val="32"/>
          <w:szCs w:val="32"/>
        </w:rPr>
        <w:t>6</w:t>
      </w:r>
      <w:r>
        <w:rPr>
          <w:rFonts w:hint="eastAsia" w:ascii="仿宋_GB2312" w:eastAsia="仿宋_GB2312" w:cs="仿宋_GB2312"/>
          <w:color w:val="auto"/>
          <w:sz w:val="32"/>
          <w:szCs w:val="32"/>
        </w:rPr>
        <w:t>兆瓦以上的发电厂有</w:t>
      </w:r>
      <w:r>
        <w:rPr>
          <w:rFonts w:ascii="仿宋_GB2312" w:eastAsia="仿宋_GB2312" w:cs="仿宋_GB2312"/>
          <w:color w:val="auto"/>
          <w:sz w:val="32"/>
          <w:szCs w:val="32"/>
        </w:rPr>
        <w:t>13</w:t>
      </w:r>
      <w:r>
        <w:rPr>
          <w:rFonts w:hint="eastAsia" w:ascii="仿宋_GB2312" w:eastAsia="仿宋_GB2312" w:cs="仿宋_GB2312"/>
          <w:color w:val="auto"/>
          <w:sz w:val="32"/>
          <w:szCs w:val="32"/>
        </w:rPr>
        <w:t>座，总装机容量</w:t>
      </w:r>
      <w:r>
        <w:rPr>
          <w:rFonts w:ascii="仿宋_GB2312" w:eastAsia="仿宋_GB2312" w:cs="仿宋_GB2312"/>
          <w:color w:val="auto"/>
          <w:sz w:val="32"/>
          <w:szCs w:val="32"/>
        </w:rPr>
        <w:t>234.4</w:t>
      </w:r>
      <w:r>
        <w:rPr>
          <w:rFonts w:hint="eastAsia" w:ascii="仿宋_GB2312" w:eastAsia="仿宋_GB2312" w:cs="仿宋_GB2312"/>
          <w:color w:val="auto"/>
          <w:sz w:val="32"/>
          <w:szCs w:val="32"/>
        </w:rPr>
        <w:t>万千瓦，其中，火电厂</w:t>
      </w:r>
      <w:r>
        <w:rPr>
          <w:rFonts w:ascii="仿宋_GB2312" w:eastAsia="仿宋_GB2312" w:cs="仿宋_GB2312"/>
          <w:color w:val="auto"/>
          <w:sz w:val="32"/>
          <w:szCs w:val="32"/>
        </w:rPr>
        <w:t>6</w:t>
      </w:r>
      <w:r>
        <w:rPr>
          <w:rFonts w:hint="eastAsia" w:ascii="仿宋_GB2312" w:eastAsia="仿宋_GB2312" w:cs="仿宋_GB2312"/>
          <w:color w:val="auto"/>
          <w:sz w:val="32"/>
          <w:szCs w:val="32"/>
        </w:rPr>
        <w:t>座，小水电厂</w:t>
      </w:r>
      <w:r>
        <w:rPr>
          <w:rFonts w:ascii="仿宋_GB2312" w:eastAsia="仿宋_GB2312" w:cs="仿宋_GB2312"/>
          <w:color w:val="auto"/>
          <w:sz w:val="32"/>
          <w:szCs w:val="32"/>
        </w:rPr>
        <w:t>3</w:t>
      </w:r>
      <w:r>
        <w:rPr>
          <w:rFonts w:hint="eastAsia" w:ascii="仿宋_GB2312" w:eastAsia="仿宋_GB2312" w:cs="仿宋_GB2312"/>
          <w:color w:val="auto"/>
          <w:sz w:val="32"/>
          <w:szCs w:val="32"/>
        </w:rPr>
        <w:t>座，光伏电厂</w:t>
      </w:r>
      <w:r>
        <w:rPr>
          <w:rFonts w:ascii="仿宋_GB2312" w:eastAsia="仿宋_GB2312" w:cs="仿宋_GB2312"/>
          <w:color w:val="auto"/>
          <w:sz w:val="32"/>
          <w:szCs w:val="32"/>
        </w:rPr>
        <w:t>4</w:t>
      </w:r>
      <w:r>
        <w:rPr>
          <w:rFonts w:hint="eastAsia" w:ascii="仿宋_GB2312" w:eastAsia="仿宋_GB2312" w:cs="仿宋_GB2312"/>
          <w:color w:val="auto"/>
          <w:sz w:val="32"/>
          <w:szCs w:val="32"/>
        </w:rPr>
        <w:t>座。</w:t>
      </w:r>
      <w:r>
        <w:rPr>
          <w:rFonts w:ascii="仿宋_GB2312" w:eastAsia="仿宋_GB2312" w:cs="仿宋_GB2312"/>
          <w:color w:val="auto"/>
          <w:sz w:val="32"/>
          <w:szCs w:val="32"/>
        </w:rPr>
        <w:t>2020</w:t>
      </w:r>
      <w:r>
        <w:rPr>
          <w:rFonts w:hint="eastAsia" w:ascii="仿宋_GB2312" w:eastAsia="仿宋_GB2312" w:cs="仿宋_GB2312"/>
          <w:color w:val="auto"/>
          <w:sz w:val="32"/>
          <w:szCs w:val="32"/>
        </w:rPr>
        <w:t>年，市域电力装机总容量</w:t>
      </w:r>
      <w:r>
        <w:rPr>
          <w:rFonts w:ascii="仿宋_GB2312" w:eastAsia="仿宋_GB2312" w:cs="仿宋_GB2312"/>
          <w:color w:val="auto"/>
          <w:sz w:val="32"/>
          <w:szCs w:val="32"/>
        </w:rPr>
        <w:t>301.11</w:t>
      </w:r>
      <w:r>
        <w:rPr>
          <w:rFonts w:hint="eastAsia" w:ascii="仿宋_GB2312" w:eastAsia="仿宋_GB2312" w:cs="仿宋_GB2312"/>
          <w:color w:val="auto"/>
          <w:sz w:val="32"/>
          <w:szCs w:val="32"/>
        </w:rPr>
        <w:t>万千瓦，其中，火电装机</w:t>
      </w:r>
      <w:r>
        <w:rPr>
          <w:rFonts w:ascii="仿宋_GB2312" w:eastAsia="仿宋_GB2312" w:cs="仿宋_GB2312"/>
          <w:color w:val="auto"/>
          <w:sz w:val="32"/>
          <w:szCs w:val="32"/>
        </w:rPr>
        <w:t>282.65</w:t>
      </w:r>
      <w:r>
        <w:rPr>
          <w:rFonts w:hint="eastAsia" w:ascii="仿宋_GB2312" w:eastAsia="仿宋_GB2312" w:cs="仿宋_GB2312"/>
          <w:color w:val="auto"/>
          <w:sz w:val="32"/>
          <w:szCs w:val="32"/>
        </w:rPr>
        <w:t>万千瓦；非化石能源装机容量</w:t>
      </w:r>
      <w:r>
        <w:rPr>
          <w:rFonts w:ascii="仿宋_GB2312" w:eastAsia="仿宋_GB2312" w:cs="仿宋_GB2312"/>
          <w:color w:val="auto"/>
          <w:sz w:val="32"/>
          <w:szCs w:val="32"/>
        </w:rPr>
        <w:t>18.54</w:t>
      </w:r>
      <w:r>
        <w:rPr>
          <w:rFonts w:hint="eastAsia" w:ascii="仿宋_GB2312" w:eastAsia="仿宋_GB2312" w:cs="仿宋_GB2312"/>
          <w:color w:val="auto"/>
          <w:sz w:val="32"/>
          <w:szCs w:val="32"/>
        </w:rPr>
        <w:t>万千瓦（水电：</w:t>
      </w:r>
      <w:r>
        <w:rPr>
          <w:rFonts w:ascii="仿宋_GB2312" w:eastAsia="仿宋_GB2312" w:cs="仿宋_GB2312"/>
          <w:color w:val="auto"/>
          <w:sz w:val="32"/>
          <w:szCs w:val="32"/>
        </w:rPr>
        <w:t>11.36</w:t>
      </w:r>
      <w:r>
        <w:rPr>
          <w:rFonts w:hint="eastAsia" w:ascii="仿宋_GB2312" w:eastAsia="仿宋_GB2312" w:cs="仿宋_GB2312"/>
          <w:color w:val="auto"/>
          <w:sz w:val="32"/>
          <w:szCs w:val="32"/>
        </w:rPr>
        <w:t>万千瓦；光伏：</w:t>
      </w:r>
      <w:r>
        <w:rPr>
          <w:rFonts w:ascii="仿宋_GB2312" w:eastAsia="仿宋_GB2312" w:cs="仿宋_GB2312"/>
          <w:color w:val="auto"/>
          <w:sz w:val="32"/>
          <w:szCs w:val="32"/>
        </w:rPr>
        <w:t>7.18</w:t>
      </w:r>
      <w:r>
        <w:rPr>
          <w:rFonts w:hint="eastAsia" w:ascii="仿宋_GB2312" w:eastAsia="仿宋_GB2312" w:cs="仿宋_GB2312"/>
          <w:color w:val="auto"/>
          <w:sz w:val="32"/>
          <w:szCs w:val="32"/>
        </w:rPr>
        <w:t>万千瓦）</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随着抚顺地区的产业转型，能耗的下降，目前，抚顺电网属于自平衡系统。根据电力电量平衡可知，在考虑省间电力电量交换的前提下，</w:t>
      </w:r>
      <w:r>
        <w:rPr>
          <w:rFonts w:ascii="仿宋_GB2312" w:eastAsia="仿宋_GB2312"/>
          <w:color w:val="auto"/>
          <w:sz w:val="32"/>
          <w:szCs w:val="32"/>
        </w:rPr>
        <w:t>“</w:t>
      </w:r>
      <w:r>
        <w:rPr>
          <w:rFonts w:hint="eastAsia" w:ascii="仿宋_GB2312" w:eastAsia="仿宋_GB2312" w:cs="仿宋_GB2312"/>
          <w:color w:val="auto"/>
          <w:sz w:val="32"/>
          <w:szCs w:val="32"/>
        </w:rPr>
        <w:t>十四五</w:t>
      </w:r>
      <w:r>
        <w:rPr>
          <w:rFonts w:ascii="仿宋_GB2312" w:eastAsia="仿宋_GB2312"/>
          <w:color w:val="auto"/>
          <w:sz w:val="32"/>
          <w:szCs w:val="32"/>
        </w:rPr>
        <w:t>”</w:t>
      </w:r>
      <w:r>
        <w:rPr>
          <w:rFonts w:hint="eastAsia" w:ascii="仿宋_GB2312" w:eastAsia="仿宋_GB2312" w:cs="仿宋_GB2312"/>
          <w:color w:val="auto"/>
          <w:sz w:val="32"/>
          <w:szCs w:val="32"/>
        </w:rPr>
        <w:t>期间抚顺电力电量始终处于盈余状态。需要通过</w:t>
      </w:r>
      <w:r>
        <w:rPr>
          <w:rFonts w:ascii="仿宋_GB2312" w:eastAsia="仿宋_GB2312" w:cs="仿宋_GB2312"/>
          <w:color w:val="auto"/>
          <w:sz w:val="32"/>
          <w:szCs w:val="32"/>
        </w:rPr>
        <w:t>500kV</w:t>
      </w:r>
      <w:r>
        <w:rPr>
          <w:rFonts w:hint="eastAsia" w:ascii="仿宋_GB2312" w:eastAsia="仿宋_GB2312" w:cs="仿宋_GB2312"/>
          <w:color w:val="auto"/>
          <w:sz w:val="32"/>
          <w:szCs w:val="32"/>
        </w:rPr>
        <w:t>及</w:t>
      </w:r>
      <w:r>
        <w:rPr>
          <w:rFonts w:ascii="仿宋_GB2312" w:eastAsia="仿宋_GB2312" w:cs="仿宋_GB2312"/>
          <w:color w:val="auto"/>
          <w:sz w:val="32"/>
          <w:szCs w:val="32"/>
        </w:rPr>
        <w:t>220kV</w:t>
      </w:r>
      <w:r>
        <w:rPr>
          <w:rFonts w:hint="eastAsia" w:ascii="仿宋_GB2312" w:eastAsia="仿宋_GB2312" w:cs="仿宋_GB2312"/>
          <w:color w:val="auto"/>
          <w:sz w:val="32"/>
          <w:szCs w:val="32"/>
        </w:rPr>
        <w:t>网架进行省内或省间消纳。</w:t>
      </w:r>
    </w:p>
    <w:p>
      <w:pPr>
        <w:pStyle w:val="5"/>
        <w:spacing w:beforeLines="50" w:afterLines="50" w:line="600" w:lineRule="exact"/>
        <w:ind w:firstLine="643" w:firstLineChars="200"/>
        <w:jc w:val="both"/>
        <w:rPr>
          <w:rFonts w:ascii="楷体" w:hAnsi="楷体" w:eastAsia="楷体"/>
          <w:color w:val="auto"/>
          <w:sz w:val="32"/>
          <w:szCs w:val="32"/>
        </w:rPr>
      </w:pPr>
      <w:r>
        <w:rPr>
          <w:rFonts w:hint="eastAsia" w:ascii="楷体" w:hAnsi="楷体" w:eastAsia="楷体" w:cs="楷体"/>
          <w:color w:val="auto"/>
          <w:sz w:val="32"/>
          <w:szCs w:val="32"/>
        </w:rPr>
        <w:t>（二）新能源发电发展规划</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为满足城市总体发展需求，推动地区经济发展，“十四五”期间抚顺地区应加快电网的规划建设，以满足抚顺地区的新能源发展。</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w:t>
      </w:r>
      <w:r>
        <w:rPr>
          <w:rFonts w:ascii="仿宋_GB2312" w:eastAsia="仿宋_GB2312" w:cs="仿宋_GB2312"/>
          <w:color w:val="auto"/>
          <w:sz w:val="32"/>
          <w:szCs w:val="32"/>
        </w:rPr>
        <w:t>1</w:t>
      </w:r>
      <w:r>
        <w:rPr>
          <w:rFonts w:hint="eastAsia" w:ascii="仿宋_GB2312" w:eastAsia="仿宋_GB2312" w:cs="仿宋_GB2312"/>
          <w:color w:val="auto"/>
          <w:sz w:val="32"/>
          <w:szCs w:val="32"/>
        </w:rPr>
        <w:t>）电网建设与政府规划相结合</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抚顺地区矿产资源丰富，探矿权区域分布广泛，站址及廊道压覆探矿权问题突出。电网规划需要与国土空间规划进一步融合，电网建设项目时纳入国土空间规划中去，站址及线路廊道得到有效保护，有效地优化电源的送出方案，共同推进全省的新能源发展建设进程。</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w:t>
      </w:r>
      <w:r>
        <w:rPr>
          <w:rFonts w:ascii="仿宋_GB2312" w:eastAsia="仿宋_GB2312" w:cs="仿宋_GB2312"/>
          <w:color w:val="auto"/>
          <w:sz w:val="32"/>
          <w:szCs w:val="32"/>
        </w:rPr>
        <w:t>2</w:t>
      </w:r>
      <w:r>
        <w:rPr>
          <w:rFonts w:hint="eastAsia" w:ascii="仿宋_GB2312" w:eastAsia="仿宋_GB2312" w:cs="仿宋_GB2312"/>
          <w:color w:val="auto"/>
          <w:sz w:val="32"/>
          <w:szCs w:val="32"/>
        </w:rPr>
        <w:t>）强化地区电网结构</w:t>
      </w:r>
    </w:p>
    <w:p>
      <w:pPr>
        <w:spacing w:line="600" w:lineRule="exact"/>
        <w:ind w:firstLine="640" w:firstLineChars="200"/>
        <w:rPr>
          <w:color w:val="auto"/>
          <w:sz w:val="24"/>
          <w:szCs w:val="24"/>
        </w:rPr>
      </w:pPr>
      <w:r>
        <w:rPr>
          <w:rFonts w:ascii="仿宋_GB2312" w:eastAsia="仿宋_GB2312" w:cs="仿宋_GB2312"/>
          <w:color w:val="auto"/>
          <w:sz w:val="32"/>
          <w:szCs w:val="32"/>
        </w:rPr>
        <w:t>220</w:t>
      </w:r>
      <w:r>
        <w:rPr>
          <w:rFonts w:hint="eastAsia" w:ascii="仿宋_GB2312" w:eastAsia="仿宋_GB2312" w:cs="仿宋_GB2312"/>
          <w:color w:val="auto"/>
          <w:sz w:val="32"/>
          <w:szCs w:val="32"/>
        </w:rPr>
        <w:t>千伏高山变于</w:t>
      </w:r>
      <w:r>
        <w:rPr>
          <w:rFonts w:ascii="仿宋_GB2312" w:eastAsia="仿宋_GB2312" w:cs="仿宋_GB2312"/>
          <w:color w:val="auto"/>
          <w:sz w:val="32"/>
          <w:szCs w:val="32"/>
        </w:rPr>
        <w:t>2019</w:t>
      </w:r>
      <w:r>
        <w:rPr>
          <w:rFonts w:hint="eastAsia" w:ascii="仿宋_GB2312" w:eastAsia="仿宋_GB2312" w:cs="仿宋_GB2312"/>
          <w:color w:val="auto"/>
          <w:sz w:val="32"/>
          <w:szCs w:val="32"/>
        </w:rPr>
        <w:t>年开工建设，通过</w:t>
      </w:r>
      <w:r>
        <w:rPr>
          <w:rFonts w:ascii="仿宋_GB2312" w:eastAsia="仿宋_GB2312" w:cs="仿宋_GB2312"/>
          <w:color w:val="auto"/>
          <w:sz w:val="32"/>
          <w:szCs w:val="32"/>
        </w:rPr>
        <w:t>220</w:t>
      </w:r>
      <w:r>
        <w:rPr>
          <w:rFonts w:hint="eastAsia" w:ascii="仿宋_GB2312" w:eastAsia="仿宋_GB2312" w:cs="仿宋_GB2312"/>
          <w:color w:val="auto"/>
          <w:sz w:val="32"/>
          <w:szCs w:val="32"/>
        </w:rPr>
        <w:t>千伏林北一线、林北二线（导线为</w:t>
      </w:r>
      <w:r>
        <w:rPr>
          <w:rFonts w:ascii="仿宋_GB2312" w:eastAsia="仿宋_GB2312" w:cs="仿宋_GB2312"/>
          <w:color w:val="auto"/>
          <w:sz w:val="32"/>
          <w:szCs w:val="32"/>
        </w:rPr>
        <w:t>JL/G1A-400</w:t>
      </w:r>
      <w:r>
        <w:rPr>
          <w:rFonts w:hint="eastAsia" w:ascii="仿宋_GB2312" w:eastAsia="仿宋_GB2312" w:cs="仿宋_GB2312"/>
          <w:color w:val="auto"/>
          <w:sz w:val="32"/>
          <w:szCs w:val="32"/>
        </w:rPr>
        <w:t>型）π入北部电网，届时北部电网带柳林、高山、河北、和平、友爱</w:t>
      </w:r>
      <w:r>
        <w:rPr>
          <w:rFonts w:ascii="仿宋_GB2312" w:eastAsia="仿宋_GB2312" w:cs="仿宋_GB2312"/>
          <w:color w:val="auto"/>
          <w:sz w:val="32"/>
          <w:szCs w:val="32"/>
        </w:rPr>
        <w:t>5</w:t>
      </w:r>
      <w:r>
        <w:rPr>
          <w:rFonts w:hint="eastAsia" w:ascii="仿宋_GB2312" w:eastAsia="仿宋_GB2312" w:cs="仿宋_GB2312"/>
          <w:color w:val="auto"/>
          <w:sz w:val="32"/>
          <w:szCs w:val="32"/>
        </w:rPr>
        <w:t>座</w:t>
      </w:r>
      <w:r>
        <w:rPr>
          <w:rFonts w:ascii="仿宋_GB2312" w:eastAsia="仿宋_GB2312" w:cs="仿宋_GB2312"/>
          <w:color w:val="auto"/>
          <w:sz w:val="32"/>
          <w:szCs w:val="32"/>
        </w:rPr>
        <w:t>220</w:t>
      </w:r>
      <w:r>
        <w:rPr>
          <w:rFonts w:hint="eastAsia" w:ascii="仿宋_GB2312" w:eastAsia="仿宋_GB2312" w:cs="仿宋_GB2312"/>
          <w:color w:val="auto"/>
          <w:sz w:val="32"/>
          <w:szCs w:val="32"/>
        </w:rPr>
        <w:t>千伏变电站，一旦友爱</w:t>
      </w:r>
      <w:r>
        <w:rPr>
          <w:rFonts w:ascii="仿宋_GB2312" w:eastAsia="仿宋_GB2312" w:cs="仿宋_GB2312"/>
          <w:color w:val="auto"/>
          <w:sz w:val="32"/>
          <w:szCs w:val="32"/>
        </w:rPr>
        <w:t>-</w:t>
      </w:r>
      <w:r>
        <w:rPr>
          <w:rFonts w:hint="eastAsia" w:ascii="仿宋_GB2312" w:eastAsia="仿宋_GB2312" w:cs="仿宋_GB2312"/>
          <w:color w:val="auto"/>
          <w:sz w:val="32"/>
          <w:szCs w:val="32"/>
        </w:rPr>
        <w:t>和平</w:t>
      </w:r>
      <w:r>
        <w:rPr>
          <w:rFonts w:ascii="仿宋_GB2312" w:eastAsia="仿宋_GB2312" w:cs="仿宋_GB2312"/>
          <w:color w:val="auto"/>
          <w:sz w:val="32"/>
          <w:szCs w:val="32"/>
        </w:rPr>
        <w:t>220</w:t>
      </w:r>
      <w:r>
        <w:rPr>
          <w:rFonts w:hint="eastAsia" w:ascii="仿宋_GB2312" w:eastAsia="仿宋_GB2312" w:cs="仿宋_GB2312"/>
          <w:color w:val="auto"/>
          <w:sz w:val="32"/>
          <w:szCs w:val="32"/>
        </w:rPr>
        <w:t>千伏线路发生故障，负荷压力将在</w:t>
      </w:r>
      <w:r>
        <w:rPr>
          <w:rFonts w:ascii="仿宋_GB2312" w:eastAsia="仿宋_GB2312" w:cs="仿宋_GB2312"/>
          <w:color w:val="auto"/>
          <w:sz w:val="32"/>
          <w:szCs w:val="32"/>
        </w:rPr>
        <w:t>220</w:t>
      </w:r>
      <w:r>
        <w:rPr>
          <w:rFonts w:hint="eastAsia" w:ascii="仿宋_GB2312" w:eastAsia="仿宋_GB2312" w:cs="仿宋_GB2312"/>
          <w:color w:val="auto"/>
          <w:sz w:val="32"/>
          <w:szCs w:val="32"/>
        </w:rPr>
        <w:t>千伏林北一线、林北二线上，</w:t>
      </w:r>
      <w:r>
        <w:rPr>
          <w:rFonts w:ascii="仿宋_GB2312" w:eastAsia="仿宋_GB2312" w:cs="仿宋_GB2312"/>
          <w:color w:val="auto"/>
          <w:sz w:val="32"/>
          <w:szCs w:val="32"/>
        </w:rPr>
        <w:t>220</w:t>
      </w:r>
      <w:r>
        <w:rPr>
          <w:rFonts w:hint="eastAsia" w:ascii="仿宋_GB2312" w:eastAsia="仿宋_GB2312" w:cs="仿宋_GB2312"/>
          <w:color w:val="auto"/>
          <w:sz w:val="32"/>
          <w:szCs w:val="32"/>
        </w:rPr>
        <w:t>千伏林北一线、林北二线线径较细，输送能力较弱，形成电网输电瓶颈。此外，随着抚顺能港电厂（</w:t>
      </w:r>
      <w:r>
        <w:rPr>
          <w:rFonts w:ascii="仿宋_GB2312" w:eastAsia="仿宋_GB2312" w:cs="仿宋_GB2312"/>
          <w:color w:val="auto"/>
          <w:sz w:val="32"/>
          <w:szCs w:val="32"/>
        </w:rPr>
        <w:t>2</w:t>
      </w:r>
      <w:r>
        <w:rPr>
          <w:rFonts w:hint="eastAsia" w:ascii="仿宋_GB2312" w:eastAsia="仿宋_GB2312" w:cs="仿宋_GB2312"/>
          <w:color w:val="auto"/>
          <w:sz w:val="32"/>
          <w:szCs w:val="32"/>
        </w:rPr>
        <w:t>台</w:t>
      </w:r>
      <w:r>
        <w:rPr>
          <w:rFonts w:ascii="仿宋_GB2312" w:eastAsia="仿宋_GB2312" w:cs="仿宋_GB2312"/>
          <w:color w:val="auto"/>
          <w:sz w:val="32"/>
          <w:szCs w:val="32"/>
        </w:rPr>
        <w:t>20</w:t>
      </w:r>
      <w:r>
        <w:rPr>
          <w:rFonts w:hint="eastAsia" w:ascii="仿宋_GB2312" w:eastAsia="仿宋_GB2312" w:cs="仿宋_GB2312"/>
          <w:color w:val="auto"/>
          <w:sz w:val="32"/>
          <w:szCs w:val="32"/>
        </w:rPr>
        <w:t>万千瓦）退运，北部电网将失去一部分电源支撑能力。应适时启动网架加强工程，缓解电网薄弱环节。</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45" w:name="_Toc73515145"/>
      <w:bookmarkStart w:id="46" w:name="_Toc86233335"/>
      <w:r>
        <w:rPr>
          <w:rFonts w:hint="eastAsia" w:ascii="黑体" w:hAnsi="黑体" w:eastAsia="黑体" w:cs="黑体"/>
          <w:color w:val="auto"/>
          <w:sz w:val="32"/>
          <w:szCs w:val="32"/>
        </w:rPr>
        <w:t>三、新能源发电项目接入电网的原则</w:t>
      </w:r>
      <w:bookmarkEnd w:id="45"/>
      <w:bookmarkEnd w:id="46"/>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根据新能源发电项目的装机规模、建设时间及相对地理位置等条件，初步将规划建设的风电项目接入就近供电区域内。</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根据《大型电厂接入系统内容深度规定》、《光伏发电站接入电力系统设计规范》、《风电场电气系统典型设计》和以往工程经验，对于装机容量小于</w:t>
      </w:r>
      <w:r>
        <w:rPr>
          <w:rFonts w:ascii="仿宋_GB2312" w:eastAsia="仿宋_GB2312" w:cs="仿宋_GB2312"/>
          <w:color w:val="auto"/>
          <w:sz w:val="32"/>
          <w:szCs w:val="32"/>
        </w:rPr>
        <w:t>50MW</w:t>
      </w:r>
      <w:r>
        <w:rPr>
          <w:rFonts w:hint="eastAsia" w:ascii="仿宋_GB2312" w:eastAsia="仿宋_GB2312" w:cs="仿宋_GB2312"/>
          <w:color w:val="auto"/>
          <w:sz w:val="32"/>
          <w:szCs w:val="32"/>
        </w:rPr>
        <w:t>的新能源发电项目，宜采用</w:t>
      </w:r>
      <w:r>
        <w:rPr>
          <w:rFonts w:ascii="仿宋_GB2312" w:eastAsia="仿宋_GB2312" w:cs="仿宋_GB2312"/>
          <w:color w:val="auto"/>
          <w:sz w:val="32"/>
          <w:szCs w:val="32"/>
        </w:rPr>
        <w:t>66kV</w:t>
      </w:r>
      <w:r>
        <w:rPr>
          <w:rFonts w:hint="eastAsia" w:ascii="仿宋_GB2312" w:eastAsia="仿宋_GB2312" w:cs="仿宋_GB2312"/>
          <w:color w:val="auto"/>
          <w:sz w:val="32"/>
          <w:szCs w:val="32"/>
        </w:rPr>
        <w:t>电压等级接入系统；对于装机容量在</w:t>
      </w:r>
      <w:r>
        <w:rPr>
          <w:rFonts w:ascii="仿宋_GB2312" w:eastAsia="仿宋_GB2312" w:cs="仿宋_GB2312"/>
          <w:color w:val="auto"/>
          <w:sz w:val="32"/>
          <w:szCs w:val="32"/>
        </w:rPr>
        <w:t>50MW</w:t>
      </w:r>
      <w:r>
        <w:rPr>
          <w:rFonts w:hint="eastAsia" w:ascii="仿宋_GB2312" w:eastAsia="仿宋_GB2312" w:cs="仿宋_GB2312"/>
          <w:color w:val="auto"/>
          <w:sz w:val="32"/>
          <w:szCs w:val="32"/>
        </w:rPr>
        <w:t>～</w:t>
      </w:r>
      <w:r>
        <w:rPr>
          <w:rFonts w:ascii="仿宋_GB2312" w:eastAsia="仿宋_GB2312" w:cs="仿宋_GB2312"/>
          <w:color w:val="auto"/>
          <w:sz w:val="32"/>
          <w:szCs w:val="32"/>
        </w:rPr>
        <w:t>500MW</w:t>
      </w:r>
      <w:r>
        <w:rPr>
          <w:rFonts w:hint="eastAsia" w:ascii="仿宋_GB2312" w:eastAsia="仿宋_GB2312" w:cs="仿宋_GB2312"/>
          <w:color w:val="auto"/>
          <w:sz w:val="32"/>
          <w:szCs w:val="32"/>
        </w:rPr>
        <w:t>之间的新能源发电项目，宜采用</w:t>
      </w:r>
      <w:r>
        <w:rPr>
          <w:rFonts w:ascii="仿宋_GB2312" w:eastAsia="仿宋_GB2312" w:cs="仿宋_GB2312"/>
          <w:color w:val="auto"/>
          <w:sz w:val="32"/>
          <w:szCs w:val="32"/>
        </w:rPr>
        <w:t>220kV</w:t>
      </w:r>
      <w:r>
        <w:rPr>
          <w:rFonts w:hint="eastAsia" w:ascii="仿宋_GB2312" w:eastAsia="仿宋_GB2312" w:cs="仿宋_GB2312"/>
          <w:color w:val="auto"/>
          <w:sz w:val="32"/>
          <w:szCs w:val="32"/>
        </w:rPr>
        <w:t>电压等级接入系统。</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具体接网方案以接入系统报告为准。</w:t>
      </w:r>
    </w:p>
    <w:p>
      <w:pPr>
        <w:widowControl/>
        <w:jc w:val="left"/>
        <w:rPr>
          <w:rFonts w:ascii="仿宋_GB2312" w:eastAsia="仿宋_GB2312"/>
          <w:color w:val="auto"/>
          <w:sz w:val="32"/>
          <w:szCs w:val="32"/>
        </w:rPr>
      </w:pPr>
      <w:r>
        <w:rPr>
          <w:rFonts w:ascii="仿宋_GB2312" w:eastAsia="仿宋_GB2312"/>
          <w:color w:val="auto"/>
          <w:sz w:val="32"/>
          <w:szCs w:val="32"/>
        </w:rPr>
        <w:br w:type="page"/>
      </w:r>
    </w:p>
    <w:p>
      <w:pPr>
        <w:autoSpaceDE w:val="0"/>
        <w:autoSpaceDN w:val="0"/>
        <w:adjustRightInd w:val="0"/>
        <w:snapToGrid w:val="0"/>
        <w:spacing w:beforeLines="100" w:afterLines="100" w:line="360" w:lineRule="auto"/>
        <w:jc w:val="center"/>
        <w:outlineLvl w:val="0"/>
        <w:rPr>
          <w:rFonts w:ascii="黑体" w:hAnsi="黑体" w:eastAsia="黑体"/>
          <w:color w:val="auto"/>
          <w:sz w:val="32"/>
          <w:szCs w:val="32"/>
        </w:rPr>
      </w:pPr>
      <w:bookmarkStart w:id="47" w:name="_Toc86233336"/>
      <w:r>
        <w:rPr>
          <w:rFonts w:hint="eastAsia" w:ascii="黑体" w:hAnsi="黑体" w:eastAsia="黑体" w:cs="黑体"/>
          <w:color w:val="auto"/>
          <w:sz w:val="32"/>
          <w:szCs w:val="32"/>
        </w:rPr>
        <w:t>第五章</w:t>
      </w:r>
      <w:r>
        <w:rPr>
          <w:rFonts w:ascii="黑体" w:hAnsi="黑体" w:eastAsia="黑体" w:cs="黑体"/>
          <w:color w:val="auto"/>
          <w:sz w:val="32"/>
          <w:szCs w:val="32"/>
        </w:rPr>
        <w:t xml:space="preserve"> </w:t>
      </w:r>
      <w:r>
        <w:rPr>
          <w:rFonts w:hint="eastAsia" w:ascii="黑体" w:hAnsi="黑体" w:eastAsia="黑体" w:cs="黑体"/>
          <w:color w:val="auto"/>
          <w:sz w:val="32"/>
          <w:szCs w:val="32"/>
        </w:rPr>
        <w:t>经济与社会效益</w:t>
      </w:r>
      <w:bookmarkEnd w:id="33"/>
      <w:bookmarkEnd w:id="47"/>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48" w:name="_Toc86233337"/>
      <w:bookmarkStart w:id="49" w:name="_Toc41374957"/>
      <w:r>
        <w:rPr>
          <w:rFonts w:hint="eastAsia" w:ascii="黑体" w:hAnsi="黑体" w:eastAsia="黑体" w:cs="黑体"/>
          <w:color w:val="auto"/>
          <w:sz w:val="32"/>
          <w:szCs w:val="32"/>
        </w:rPr>
        <w:t>一、投资规模</w:t>
      </w:r>
      <w:bookmarkEnd w:id="48"/>
      <w:bookmarkEnd w:id="49"/>
    </w:p>
    <w:p>
      <w:pPr>
        <w:spacing w:line="600" w:lineRule="exact"/>
        <w:ind w:firstLine="640" w:firstLineChars="200"/>
        <w:rPr>
          <w:rFonts w:ascii="仿宋_GB2312" w:eastAsia="仿宋_GB2312"/>
          <w:color w:val="auto"/>
          <w:sz w:val="32"/>
          <w:szCs w:val="32"/>
        </w:rPr>
      </w:pPr>
      <w:bookmarkStart w:id="50" w:name="_Toc41374959"/>
      <w:r>
        <w:rPr>
          <w:rFonts w:ascii="仿宋_GB2312" w:eastAsia="仿宋_GB2312" w:cs="仿宋_GB2312"/>
          <w:color w:val="auto"/>
          <w:sz w:val="32"/>
          <w:szCs w:val="32"/>
        </w:rPr>
        <w:t>2025</w:t>
      </w:r>
      <w:r>
        <w:rPr>
          <w:rFonts w:hint="eastAsia" w:ascii="仿宋_GB2312" w:eastAsia="仿宋_GB2312" w:cs="仿宋_GB2312"/>
          <w:color w:val="auto"/>
          <w:sz w:val="32"/>
          <w:szCs w:val="32"/>
        </w:rPr>
        <w:t>年，新型清洁能源装机规模预计达到</w:t>
      </w:r>
      <w:r>
        <w:rPr>
          <w:rFonts w:ascii="仿宋_GB2312" w:eastAsia="仿宋_GB2312" w:cs="仿宋_GB2312"/>
          <w:color w:val="auto"/>
          <w:sz w:val="32"/>
          <w:szCs w:val="32"/>
        </w:rPr>
        <w:t>767.54</w:t>
      </w:r>
      <w:r>
        <w:rPr>
          <w:rFonts w:hint="eastAsia" w:ascii="仿宋_GB2312" w:eastAsia="仿宋_GB2312" w:cs="仿宋_GB2312"/>
          <w:color w:val="auto"/>
          <w:sz w:val="32"/>
          <w:szCs w:val="32"/>
        </w:rPr>
        <w:t>万千瓦。抽水储能在建装机容量</w:t>
      </w:r>
      <w:r>
        <w:rPr>
          <w:rFonts w:ascii="仿宋_GB2312" w:eastAsia="仿宋_GB2312" w:cs="仿宋_GB2312"/>
          <w:color w:val="auto"/>
          <w:sz w:val="32"/>
          <w:szCs w:val="32"/>
        </w:rPr>
        <w:t>180</w:t>
      </w:r>
      <w:r>
        <w:rPr>
          <w:rFonts w:hint="eastAsia" w:ascii="仿宋_GB2312" w:eastAsia="仿宋_GB2312" w:cs="仿宋_GB2312"/>
          <w:color w:val="auto"/>
          <w:sz w:val="32"/>
          <w:szCs w:val="32"/>
        </w:rPr>
        <w:t>万千瓦，拟建及规划新建</w:t>
      </w:r>
      <w:r>
        <w:rPr>
          <w:rFonts w:ascii="仿宋_GB2312" w:eastAsia="仿宋_GB2312" w:cs="仿宋_GB2312"/>
          <w:color w:val="auto"/>
          <w:sz w:val="32"/>
          <w:szCs w:val="32"/>
        </w:rPr>
        <w:t>220</w:t>
      </w:r>
      <w:r>
        <w:rPr>
          <w:rFonts w:hint="eastAsia" w:ascii="仿宋_GB2312" w:eastAsia="仿宋_GB2312" w:cs="仿宋_GB2312"/>
          <w:color w:val="auto"/>
          <w:sz w:val="32"/>
          <w:szCs w:val="32"/>
        </w:rPr>
        <w:t>万千瓦，总装机容量为</w:t>
      </w:r>
      <w:r>
        <w:rPr>
          <w:rFonts w:ascii="仿宋_GB2312" w:eastAsia="仿宋_GB2312" w:cs="仿宋_GB2312"/>
          <w:color w:val="auto"/>
          <w:sz w:val="32"/>
          <w:szCs w:val="32"/>
        </w:rPr>
        <w:t>400</w:t>
      </w:r>
      <w:r>
        <w:rPr>
          <w:rFonts w:hint="eastAsia" w:ascii="仿宋_GB2312" w:eastAsia="仿宋_GB2312" w:cs="仿宋_GB2312"/>
          <w:color w:val="auto"/>
          <w:sz w:val="32"/>
          <w:szCs w:val="32"/>
        </w:rPr>
        <w:t>万千瓦，投资规模约</w:t>
      </w:r>
      <w:r>
        <w:rPr>
          <w:rFonts w:ascii="仿宋_GB2312" w:eastAsia="仿宋_GB2312" w:cs="仿宋_GB2312"/>
          <w:color w:val="auto"/>
          <w:sz w:val="32"/>
          <w:szCs w:val="32"/>
        </w:rPr>
        <w:t>255</w:t>
      </w:r>
      <w:r>
        <w:rPr>
          <w:rFonts w:hint="eastAsia" w:ascii="仿宋_GB2312" w:eastAsia="仿宋_GB2312" w:cs="仿宋_GB2312"/>
          <w:color w:val="auto"/>
          <w:sz w:val="32"/>
          <w:szCs w:val="32"/>
        </w:rPr>
        <w:t>亿元；光伏装机容量拟建及规划新建</w:t>
      </w:r>
      <w:r>
        <w:rPr>
          <w:rFonts w:ascii="仿宋_GB2312" w:eastAsia="仿宋_GB2312" w:cs="仿宋_GB2312"/>
          <w:color w:val="auto"/>
          <w:sz w:val="32"/>
          <w:szCs w:val="32"/>
        </w:rPr>
        <w:t>178.2</w:t>
      </w:r>
      <w:r>
        <w:rPr>
          <w:rFonts w:hint="eastAsia" w:ascii="仿宋_GB2312" w:eastAsia="仿宋_GB2312" w:cs="仿宋_GB2312"/>
          <w:color w:val="auto"/>
          <w:sz w:val="32"/>
          <w:szCs w:val="32"/>
        </w:rPr>
        <w:t>万千瓦，投资规模约</w:t>
      </w:r>
      <w:r>
        <w:rPr>
          <w:rFonts w:ascii="仿宋_GB2312" w:eastAsia="仿宋_GB2312" w:cs="仿宋_GB2312"/>
          <w:color w:val="auto"/>
          <w:sz w:val="32"/>
          <w:szCs w:val="32"/>
        </w:rPr>
        <w:t>72.91</w:t>
      </w:r>
      <w:r>
        <w:rPr>
          <w:rFonts w:hint="eastAsia" w:ascii="仿宋_GB2312" w:eastAsia="仿宋_GB2312" w:cs="仿宋_GB2312"/>
          <w:color w:val="auto"/>
          <w:sz w:val="32"/>
          <w:szCs w:val="32"/>
        </w:rPr>
        <w:t>亿元；太阳能替代散煤取暖工程项目</w:t>
      </w:r>
      <w:r>
        <w:rPr>
          <w:rFonts w:ascii="仿宋_GB2312" w:eastAsia="仿宋_GB2312" w:cs="仿宋_GB2312"/>
          <w:color w:val="auto"/>
          <w:sz w:val="32"/>
          <w:szCs w:val="32"/>
        </w:rPr>
        <w:t>,</w:t>
      </w:r>
      <w:r>
        <w:rPr>
          <w:rFonts w:hint="eastAsia" w:ascii="仿宋_GB2312" w:eastAsia="仿宋_GB2312" w:cs="仿宋_GB2312"/>
          <w:color w:val="auto"/>
          <w:sz w:val="32"/>
          <w:szCs w:val="32"/>
        </w:rPr>
        <w:t>投资规模约</w:t>
      </w:r>
      <w:r>
        <w:rPr>
          <w:rFonts w:ascii="仿宋_GB2312" w:eastAsia="仿宋_GB2312" w:cs="仿宋_GB2312"/>
          <w:color w:val="auto"/>
          <w:sz w:val="32"/>
          <w:szCs w:val="32"/>
        </w:rPr>
        <w:t>3.99</w:t>
      </w:r>
      <w:r>
        <w:rPr>
          <w:rFonts w:hint="eastAsia" w:ascii="仿宋_GB2312" w:eastAsia="仿宋_GB2312" w:cs="仿宋_GB2312"/>
          <w:color w:val="auto"/>
          <w:sz w:val="32"/>
          <w:szCs w:val="32"/>
        </w:rPr>
        <w:t>亿元；生物质装机容量在建</w:t>
      </w:r>
      <w:r>
        <w:rPr>
          <w:rFonts w:ascii="仿宋_GB2312" w:eastAsia="仿宋_GB2312" w:cs="仿宋_GB2312"/>
          <w:color w:val="auto"/>
          <w:sz w:val="32"/>
          <w:szCs w:val="32"/>
        </w:rPr>
        <w:t>7</w:t>
      </w:r>
      <w:r>
        <w:rPr>
          <w:rFonts w:hint="eastAsia" w:ascii="仿宋_GB2312" w:eastAsia="仿宋_GB2312" w:cs="仿宋_GB2312"/>
          <w:color w:val="auto"/>
          <w:sz w:val="32"/>
          <w:szCs w:val="32"/>
        </w:rPr>
        <w:t>万千瓦，规划新增</w:t>
      </w:r>
      <w:r>
        <w:rPr>
          <w:rFonts w:ascii="仿宋_GB2312" w:eastAsia="仿宋_GB2312" w:cs="仿宋_GB2312"/>
          <w:color w:val="auto"/>
          <w:sz w:val="32"/>
          <w:szCs w:val="32"/>
        </w:rPr>
        <w:t>8.8</w:t>
      </w:r>
      <w:r>
        <w:rPr>
          <w:rFonts w:hint="eastAsia" w:ascii="仿宋_GB2312" w:eastAsia="仿宋_GB2312" w:cs="仿宋_GB2312"/>
          <w:color w:val="auto"/>
          <w:sz w:val="32"/>
          <w:szCs w:val="32"/>
        </w:rPr>
        <w:t>万千瓦，总装机容量为</w:t>
      </w:r>
      <w:r>
        <w:rPr>
          <w:rFonts w:ascii="仿宋_GB2312" w:eastAsia="仿宋_GB2312" w:cs="仿宋_GB2312"/>
          <w:color w:val="auto"/>
          <w:sz w:val="32"/>
          <w:szCs w:val="32"/>
        </w:rPr>
        <w:t>15.8</w:t>
      </w:r>
      <w:r>
        <w:rPr>
          <w:rFonts w:hint="eastAsia" w:ascii="仿宋_GB2312" w:eastAsia="仿宋_GB2312" w:cs="仿宋_GB2312"/>
          <w:color w:val="auto"/>
          <w:sz w:val="32"/>
          <w:szCs w:val="32"/>
        </w:rPr>
        <w:t>万千瓦，投资</w:t>
      </w:r>
      <w:r>
        <w:rPr>
          <w:rFonts w:ascii="仿宋_GB2312" w:eastAsia="仿宋_GB2312" w:cs="仿宋_GB2312"/>
          <w:color w:val="auto"/>
          <w:sz w:val="32"/>
          <w:szCs w:val="32"/>
        </w:rPr>
        <w:t>23.15</w:t>
      </w:r>
      <w:r>
        <w:rPr>
          <w:rFonts w:hint="eastAsia" w:ascii="仿宋_GB2312" w:eastAsia="仿宋_GB2312" w:cs="仿宋_GB2312"/>
          <w:color w:val="auto"/>
          <w:sz w:val="32"/>
          <w:szCs w:val="32"/>
        </w:rPr>
        <w:t>亿元；风电规划新增装机容量</w:t>
      </w:r>
      <w:r>
        <w:rPr>
          <w:rFonts w:ascii="仿宋_GB2312" w:eastAsia="仿宋_GB2312" w:cs="仿宋_GB2312"/>
          <w:color w:val="auto"/>
          <w:sz w:val="32"/>
          <w:szCs w:val="32"/>
        </w:rPr>
        <w:t>100</w:t>
      </w:r>
      <w:r>
        <w:rPr>
          <w:rFonts w:hint="eastAsia" w:ascii="仿宋_GB2312" w:eastAsia="仿宋_GB2312" w:cs="仿宋_GB2312"/>
          <w:color w:val="auto"/>
          <w:sz w:val="32"/>
          <w:szCs w:val="32"/>
        </w:rPr>
        <w:t>万千瓦，投资规模约</w:t>
      </w:r>
      <w:r>
        <w:rPr>
          <w:rFonts w:ascii="仿宋_GB2312" w:eastAsia="仿宋_GB2312" w:cs="仿宋_GB2312"/>
          <w:color w:val="auto"/>
          <w:sz w:val="32"/>
          <w:szCs w:val="32"/>
        </w:rPr>
        <w:t>70</w:t>
      </w:r>
      <w:r>
        <w:rPr>
          <w:rFonts w:hint="eastAsia" w:ascii="仿宋_GB2312" w:eastAsia="仿宋_GB2312" w:cs="仿宋_GB2312"/>
          <w:color w:val="auto"/>
          <w:sz w:val="32"/>
          <w:szCs w:val="32"/>
        </w:rPr>
        <w:t>亿元；规划源、网、荷、储多能互补</w:t>
      </w:r>
      <w:r>
        <w:rPr>
          <w:rFonts w:ascii="仿宋_GB2312" w:eastAsia="仿宋_GB2312" w:cs="仿宋_GB2312"/>
          <w:color w:val="auto"/>
          <w:sz w:val="32"/>
          <w:szCs w:val="32"/>
        </w:rPr>
        <w:t>+</w:t>
      </w:r>
      <w:r>
        <w:rPr>
          <w:rFonts w:hint="eastAsia" w:ascii="仿宋_GB2312" w:eastAsia="仿宋_GB2312" w:cs="仿宋_GB2312"/>
          <w:color w:val="auto"/>
          <w:sz w:val="32"/>
          <w:szCs w:val="32"/>
        </w:rPr>
        <w:t>特色旅游一体化装机容量为</w:t>
      </w:r>
      <w:r>
        <w:rPr>
          <w:rFonts w:ascii="仿宋_GB2312" w:eastAsia="仿宋_GB2312" w:cs="仿宋_GB2312"/>
          <w:color w:val="auto"/>
          <w:sz w:val="32"/>
          <w:szCs w:val="32"/>
        </w:rPr>
        <w:t>55</w:t>
      </w:r>
      <w:r>
        <w:rPr>
          <w:rFonts w:hint="eastAsia" w:ascii="仿宋_GB2312" w:eastAsia="仿宋_GB2312" w:cs="仿宋_GB2312"/>
          <w:color w:val="auto"/>
          <w:sz w:val="32"/>
          <w:szCs w:val="32"/>
        </w:rPr>
        <w:t>万千瓦，投资</w:t>
      </w:r>
      <w:r>
        <w:rPr>
          <w:rFonts w:ascii="仿宋_GB2312" w:eastAsia="仿宋_GB2312" w:cs="仿宋_GB2312"/>
          <w:color w:val="auto"/>
          <w:sz w:val="32"/>
          <w:szCs w:val="32"/>
        </w:rPr>
        <w:t>32.95</w:t>
      </w:r>
      <w:r>
        <w:rPr>
          <w:rFonts w:hint="eastAsia" w:ascii="仿宋_GB2312" w:eastAsia="仿宋_GB2312" w:cs="仿宋_GB2312"/>
          <w:color w:val="auto"/>
          <w:sz w:val="32"/>
          <w:szCs w:val="32"/>
        </w:rPr>
        <w:t>亿元；智能电网投资</w:t>
      </w:r>
      <w:r>
        <w:rPr>
          <w:rFonts w:ascii="仿宋_GB2312" w:eastAsia="仿宋_GB2312" w:cs="仿宋_GB2312"/>
          <w:color w:val="auto"/>
          <w:sz w:val="32"/>
          <w:szCs w:val="32"/>
        </w:rPr>
        <w:t>16.21</w:t>
      </w:r>
      <w:r>
        <w:rPr>
          <w:rFonts w:hint="eastAsia" w:ascii="仿宋_GB2312" w:eastAsia="仿宋_GB2312" w:cs="仿宋_GB2312"/>
          <w:color w:val="auto"/>
          <w:sz w:val="32"/>
          <w:szCs w:val="32"/>
        </w:rPr>
        <w:t>亿元。新增投资规模总计</w:t>
      </w:r>
      <w:r>
        <w:rPr>
          <w:rFonts w:ascii="仿宋_GB2312" w:eastAsia="仿宋_GB2312" w:cs="仿宋_GB2312"/>
          <w:color w:val="auto"/>
          <w:sz w:val="32"/>
          <w:szCs w:val="32"/>
        </w:rPr>
        <w:t>474.21</w:t>
      </w:r>
      <w:r>
        <w:rPr>
          <w:rFonts w:hint="eastAsia" w:ascii="仿宋_GB2312" w:eastAsia="仿宋_GB2312" w:cs="仿宋_GB2312"/>
          <w:color w:val="auto"/>
          <w:sz w:val="32"/>
          <w:szCs w:val="32"/>
        </w:rPr>
        <w:t>亿元。</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51" w:name="_Toc75248995"/>
      <w:bookmarkStart w:id="52" w:name="_Toc86233338"/>
      <w:r>
        <w:rPr>
          <w:rFonts w:hint="eastAsia" w:ascii="黑体" w:hAnsi="黑体" w:eastAsia="黑体" w:cs="黑体"/>
          <w:color w:val="auto"/>
          <w:sz w:val="32"/>
          <w:szCs w:val="32"/>
        </w:rPr>
        <w:t>二、经济效益</w:t>
      </w:r>
      <w:bookmarkEnd w:id="51"/>
      <w:bookmarkEnd w:id="52"/>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抽水蓄能“十四五”投产</w:t>
      </w:r>
      <w:r>
        <w:rPr>
          <w:rFonts w:ascii="仿宋_GB2312" w:eastAsia="仿宋_GB2312" w:cs="仿宋_GB2312"/>
          <w:color w:val="auto"/>
          <w:sz w:val="32"/>
          <w:szCs w:val="32"/>
        </w:rPr>
        <w:t>180</w:t>
      </w:r>
      <w:r>
        <w:rPr>
          <w:rFonts w:hint="eastAsia" w:ascii="仿宋_GB2312" w:eastAsia="仿宋_GB2312" w:cs="仿宋_GB2312"/>
          <w:color w:val="auto"/>
          <w:sz w:val="32"/>
          <w:szCs w:val="32"/>
        </w:rPr>
        <w:t>万千瓦，新开工</w:t>
      </w:r>
      <w:r>
        <w:rPr>
          <w:rFonts w:ascii="仿宋_GB2312" w:eastAsia="仿宋_GB2312" w:cs="仿宋_GB2312"/>
          <w:color w:val="auto"/>
          <w:sz w:val="32"/>
          <w:szCs w:val="32"/>
        </w:rPr>
        <w:t>220</w:t>
      </w:r>
      <w:r>
        <w:rPr>
          <w:rFonts w:hint="eastAsia" w:ascii="仿宋_GB2312" w:eastAsia="仿宋_GB2312" w:cs="仿宋_GB2312"/>
          <w:color w:val="auto"/>
          <w:sz w:val="32"/>
          <w:szCs w:val="32"/>
        </w:rPr>
        <w:t>万千瓦，装机规模</w:t>
      </w:r>
      <w:r>
        <w:rPr>
          <w:rFonts w:ascii="仿宋_GB2312" w:eastAsia="仿宋_GB2312" w:cs="仿宋_GB2312"/>
          <w:color w:val="auto"/>
          <w:sz w:val="32"/>
          <w:szCs w:val="32"/>
        </w:rPr>
        <w:t>400</w:t>
      </w:r>
      <w:r>
        <w:rPr>
          <w:rFonts w:hint="eastAsia" w:ascii="仿宋_GB2312" w:eastAsia="仿宋_GB2312" w:cs="仿宋_GB2312"/>
          <w:color w:val="auto"/>
          <w:sz w:val="32"/>
          <w:szCs w:val="32"/>
        </w:rPr>
        <w:t>万千瓦，预计工程总投资</w:t>
      </w:r>
      <w:r>
        <w:rPr>
          <w:rFonts w:ascii="仿宋_GB2312" w:eastAsia="仿宋_GB2312" w:cs="仿宋_GB2312"/>
          <w:color w:val="auto"/>
          <w:sz w:val="32"/>
          <w:szCs w:val="32"/>
        </w:rPr>
        <w:t>255</w:t>
      </w:r>
      <w:r>
        <w:rPr>
          <w:rFonts w:hint="eastAsia" w:ascii="仿宋_GB2312" w:eastAsia="仿宋_GB2312" w:cs="仿宋_GB2312"/>
          <w:color w:val="auto"/>
          <w:sz w:val="32"/>
          <w:szCs w:val="32"/>
        </w:rPr>
        <w:t>亿元。两期建成后，建设期可增加地方税收约</w:t>
      </w:r>
      <w:r>
        <w:rPr>
          <w:rFonts w:ascii="仿宋_GB2312" w:eastAsia="仿宋_GB2312" w:cs="仿宋_GB2312"/>
          <w:color w:val="auto"/>
          <w:sz w:val="32"/>
          <w:szCs w:val="32"/>
        </w:rPr>
        <w:t>27.03</w:t>
      </w:r>
      <w:r>
        <w:rPr>
          <w:rFonts w:hint="eastAsia" w:ascii="仿宋_GB2312" w:eastAsia="仿宋_GB2312" w:cs="仿宋_GB2312"/>
          <w:color w:val="auto"/>
          <w:sz w:val="32"/>
          <w:szCs w:val="32"/>
        </w:rPr>
        <w:t>亿元。</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综合考虑规划光伏场区地形、施工条件、交通条件、接入电网等因素，初步拟定各规划光伏项目单位千瓦静态投资为</w:t>
      </w:r>
      <w:r>
        <w:rPr>
          <w:rFonts w:ascii="仿宋_GB2312" w:eastAsia="仿宋_GB2312" w:cs="仿宋_GB2312"/>
          <w:color w:val="auto"/>
          <w:sz w:val="32"/>
          <w:szCs w:val="32"/>
        </w:rPr>
        <w:t>4000</w:t>
      </w:r>
      <w:r>
        <w:rPr>
          <w:rFonts w:hint="eastAsia" w:ascii="仿宋_GB2312" w:eastAsia="仿宋_GB2312" w:cs="仿宋_GB2312"/>
          <w:color w:val="auto"/>
          <w:sz w:val="32"/>
          <w:szCs w:val="32"/>
        </w:rPr>
        <w:t>元</w:t>
      </w:r>
      <w:r>
        <w:rPr>
          <w:rFonts w:ascii="仿宋_GB2312" w:eastAsia="仿宋_GB2312" w:cs="仿宋_GB2312"/>
          <w:color w:val="auto"/>
          <w:sz w:val="32"/>
          <w:szCs w:val="32"/>
        </w:rPr>
        <w:t>/</w:t>
      </w:r>
      <w:r>
        <w:rPr>
          <w:rFonts w:hint="eastAsia" w:ascii="仿宋_GB2312" w:eastAsia="仿宋_GB2312" w:cs="仿宋_GB2312"/>
          <w:color w:val="auto"/>
          <w:sz w:val="32"/>
          <w:szCs w:val="32"/>
        </w:rPr>
        <w:t>千瓦</w:t>
      </w:r>
      <w:r>
        <w:rPr>
          <w:rFonts w:ascii="仿宋_GB2312" w:eastAsia="仿宋_GB2312" w:cs="仿宋_GB2312"/>
          <w:color w:val="auto"/>
          <w:sz w:val="32"/>
          <w:szCs w:val="32"/>
        </w:rPr>
        <w:t>(</w:t>
      </w:r>
      <w:r>
        <w:rPr>
          <w:rFonts w:hint="eastAsia" w:ascii="仿宋_GB2312" w:eastAsia="仿宋_GB2312" w:cs="仿宋_GB2312"/>
          <w:color w:val="auto"/>
          <w:sz w:val="32"/>
          <w:szCs w:val="32"/>
        </w:rPr>
        <w:t>含升压站部分）。</w:t>
      </w:r>
      <w:r>
        <w:rPr>
          <w:rFonts w:ascii="仿宋_GB2312" w:eastAsia="仿宋_GB2312" w:cs="仿宋_GB2312"/>
          <w:color w:val="auto"/>
          <w:sz w:val="32"/>
          <w:szCs w:val="32"/>
        </w:rPr>
        <w:t xml:space="preserve"> </w:t>
      </w:r>
      <w:r>
        <w:rPr>
          <w:rFonts w:hint="eastAsia" w:ascii="仿宋_GB2312" w:eastAsia="仿宋_GB2312" w:cs="仿宋_GB2312"/>
          <w:color w:val="auto"/>
          <w:sz w:val="32"/>
          <w:szCs w:val="32"/>
        </w:rPr>
        <w:t>按系统发电效率</w:t>
      </w:r>
      <w:r>
        <w:rPr>
          <w:rFonts w:ascii="仿宋_GB2312" w:eastAsia="仿宋_GB2312" w:cs="仿宋_GB2312"/>
          <w:color w:val="auto"/>
          <w:sz w:val="32"/>
          <w:szCs w:val="32"/>
        </w:rPr>
        <w:t>89.24%</w:t>
      </w:r>
      <w:r>
        <w:rPr>
          <w:rFonts w:hint="eastAsia" w:ascii="仿宋_GB2312" w:eastAsia="仿宋_GB2312" w:cs="仿宋_GB2312"/>
          <w:color w:val="auto"/>
          <w:sz w:val="32"/>
          <w:szCs w:val="32"/>
        </w:rPr>
        <w:t>、运行首年衰减</w:t>
      </w:r>
      <w:r>
        <w:rPr>
          <w:rFonts w:ascii="仿宋_GB2312" w:eastAsia="仿宋_GB2312" w:cs="仿宋_GB2312"/>
          <w:color w:val="auto"/>
          <w:sz w:val="32"/>
          <w:szCs w:val="32"/>
        </w:rPr>
        <w:t>2.5%</w:t>
      </w:r>
      <w:r>
        <w:rPr>
          <w:rFonts w:hint="eastAsia" w:ascii="仿宋_GB2312" w:eastAsia="仿宋_GB2312" w:cs="仿宋_GB2312"/>
          <w:color w:val="auto"/>
          <w:sz w:val="32"/>
          <w:szCs w:val="32"/>
        </w:rPr>
        <w:t>，运行首年综合上网电量为</w:t>
      </w:r>
      <w:r>
        <w:rPr>
          <w:rFonts w:ascii="仿宋_GB2312" w:eastAsia="仿宋_GB2312" w:cs="仿宋_GB2312"/>
          <w:color w:val="auto"/>
          <w:sz w:val="32"/>
          <w:szCs w:val="32"/>
        </w:rPr>
        <w:t>281.582.73</w:t>
      </w:r>
      <w:r>
        <w:rPr>
          <w:rFonts w:hint="eastAsia" w:ascii="仿宋_GB2312" w:eastAsia="仿宋_GB2312" w:cs="仿宋_GB2312"/>
          <w:color w:val="auto"/>
          <w:sz w:val="32"/>
          <w:szCs w:val="32"/>
        </w:rPr>
        <w:t>万</w:t>
      </w:r>
      <w:r>
        <w:rPr>
          <w:rFonts w:ascii="仿宋_GB2312" w:eastAsia="仿宋_GB2312" w:cs="仿宋_GB2312"/>
          <w:color w:val="auto"/>
          <w:sz w:val="32"/>
          <w:szCs w:val="32"/>
        </w:rPr>
        <w:t>kWh</w:t>
      </w:r>
      <w:r>
        <w:rPr>
          <w:rFonts w:hint="eastAsia" w:ascii="仿宋_GB2312" w:eastAsia="仿宋_GB2312" w:cs="仿宋_GB2312"/>
          <w:color w:val="auto"/>
          <w:sz w:val="32"/>
          <w:szCs w:val="32"/>
        </w:rPr>
        <w:t>，综合等效满负荷发电小时数为</w:t>
      </w:r>
      <w:r>
        <w:rPr>
          <w:rFonts w:ascii="仿宋_GB2312" w:eastAsia="仿宋_GB2312" w:cs="仿宋_GB2312"/>
          <w:color w:val="auto"/>
          <w:sz w:val="32"/>
          <w:szCs w:val="32"/>
        </w:rPr>
        <w:t>1580.15h</w:t>
      </w:r>
      <w:r>
        <w:rPr>
          <w:rFonts w:hint="eastAsia" w:ascii="仿宋_GB2312" w:eastAsia="仿宋_GB2312" w:cs="仿宋_GB2312"/>
          <w:color w:val="auto"/>
          <w:sz w:val="32"/>
          <w:szCs w:val="32"/>
        </w:rPr>
        <w:t>。</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综合考虑规划风电场区地形、施工条件、交通条件、接入电网等因素，初步拟定各规划风电项目单位千瓦静态投资为</w:t>
      </w:r>
      <w:r>
        <w:rPr>
          <w:rFonts w:ascii="仿宋_GB2312" w:eastAsia="仿宋_GB2312" w:cs="仿宋_GB2312"/>
          <w:color w:val="auto"/>
          <w:sz w:val="32"/>
          <w:szCs w:val="32"/>
        </w:rPr>
        <w:t>8000</w:t>
      </w:r>
      <w:r>
        <w:rPr>
          <w:rFonts w:hint="eastAsia" w:ascii="仿宋_GB2312" w:eastAsia="仿宋_GB2312" w:cs="仿宋_GB2312"/>
          <w:color w:val="auto"/>
          <w:sz w:val="32"/>
          <w:szCs w:val="32"/>
        </w:rPr>
        <w:t>元</w:t>
      </w:r>
      <w:r>
        <w:rPr>
          <w:rFonts w:ascii="仿宋_GB2312" w:eastAsia="仿宋_GB2312" w:cs="仿宋_GB2312"/>
          <w:color w:val="auto"/>
          <w:sz w:val="32"/>
          <w:szCs w:val="32"/>
        </w:rPr>
        <w:t>/</w:t>
      </w:r>
      <w:r>
        <w:rPr>
          <w:rFonts w:hint="eastAsia" w:ascii="仿宋_GB2312" w:eastAsia="仿宋_GB2312" w:cs="仿宋_GB2312"/>
          <w:color w:val="auto"/>
          <w:sz w:val="32"/>
          <w:szCs w:val="32"/>
        </w:rPr>
        <w:t>千瓦</w:t>
      </w:r>
      <w:r>
        <w:rPr>
          <w:rFonts w:ascii="仿宋_GB2312" w:eastAsia="仿宋_GB2312" w:cs="仿宋_GB2312"/>
          <w:color w:val="auto"/>
          <w:sz w:val="32"/>
          <w:szCs w:val="32"/>
        </w:rPr>
        <w:t>,100</w:t>
      </w:r>
      <w:r>
        <w:rPr>
          <w:rFonts w:hint="eastAsia" w:ascii="仿宋_GB2312" w:eastAsia="仿宋_GB2312" w:cs="仿宋_GB2312"/>
          <w:color w:val="auto"/>
          <w:sz w:val="32"/>
          <w:szCs w:val="32"/>
        </w:rPr>
        <w:t>万风电年平均发电量</w:t>
      </w:r>
      <w:r>
        <w:rPr>
          <w:rFonts w:ascii="仿宋_GB2312" w:eastAsia="仿宋_GB2312" w:cs="仿宋_GB2312"/>
          <w:color w:val="auto"/>
          <w:sz w:val="32"/>
          <w:szCs w:val="32"/>
        </w:rPr>
        <w:t>256500</w:t>
      </w:r>
      <w:r>
        <w:rPr>
          <w:rFonts w:hint="eastAsia" w:ascii="仿宋_GB2312" w:eastAsia="仿宋_GB2312" w:cs="仿宋_GB2312"/>
          <w:color w:val="auto"/>
          <w:sz w:val="32"/>
          <w:szCs w:val="32"/>
        </w:rPr>
        <w:t>万</w:t>
      </w:r>
      <w:r>
        <w:rPr>
          <w:rFonts w:ascii="仿宋_GB2312" w:eastAsia="仿宋_GB2312" w:cs="仿宋_GB2312"/>
          <w:color w:val="auto"/>
          <w:sz w:val="32"/>
          <w:szCs w:val="32"/>
        </w:rPr>
        <w:t>kWh</w:t>
      </w:r>
      <w:r>
        <w:rPr>
          <w:rFonts w:hint="eastAsia" w:ascii="仿宋_GB2312" w:eastAsia="仿宋_GB2312" w:cs="仿宋_GB2312"/>
          <w:color w:val="auto"/>
          <w:sz w:val="32"/>
          <w:szCs w:val="32"/>
        </w:rPr>
        <w:t>。</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新型清洁能源“十四五”新增投资</w:t>
      </w:r>
      <w:r>
        <w:rPr>
          <w:rFonts w:ascii="仿宋_GB2312" w:eastAsia="仿宋_GB2312" w:cs="仿宋_GB2312"/>
          <w:color w:val="auto"/>
          <w:sz w:val="32"/>
          <w:szCs w:val="32"/>
        </w:rPr>
        <w:t>474.21</w:t>
      </w:r>
      <w:r>
        <w:rPr>
          <w:rFonts w:hint="eastAsia" w:ascii="仿宋_GB2312" w:eastAsia="仿宋_GB2312" w:cs="仿宋_GB2312"/>
          <w:color w:val="auto"/>
          <w:sz w:val="32"/>
          <w:szCs w:val="32"/>
        </w:rPr>
        <w:t>亿元，预计建设期总</w:t>
      </w:r>
      <w:r>
        <w:rPr>
          <w:rFonts w:ascii="仿宋_GB2312" w:eastAsia="仿宋_GB2312" w:cs="仿宋_GB2312"/>
          <w:color w:val="auto"/>
          <w:sz w:val="32"/>
          <w:szCs w:val="32"/>
        </w:rPr>
        <w:t>GDP</w:t>
      </w:r>
      <w:r>
        <w:rPr>
          <w:rFonts w:hint="eastAsia" w:ascii="仿宋_GB2312" w:eastAsia="仿宋_GB2312" w:cs="仿宋_GB2312"/>
          <w:color w:val="auto"/>
          <w:sz w:val="32"/>
          <w:szCs w:val="32"/>
        </w:rPr>
        <w:t>贡献约</w:t>
      </w:r>
      <w:r>
        <w:rPr>
          <w:rFonts w:ascii="仿宋_GB2312" w:eastAsia="仿宋_GB2312" w:cs="仿宋_GB2312"/>
          <w:color w:val="auto"/>
          <w:sz w:val="32"/>
          <w:szCs w:val="32"/>
        </w:rPr>
        <w:t>474.21</w:t>
      </w:r>
      <w:r>
        <w:rPr>
          <w:rFonts w:hint="eastAsia" w:ascii="仿宋_GB2312" w:eastAsia="仿宋_GB2312" w:cs="仿宋_GB2312"/>
          <w:color w:val="auto"/>
          <w:sz w:val="32"/>
          <w:szCs w:val="32"/>
        </w:rPr>
        <w:t>亿元，运营期平均</w:t>
      </w:r>
      <w:r>
        <w:rPr>
          <w:rFonts w:ascii="仿宋_GB2312" w:eastAsia="仿宋_GB2312" w:cs="仿宋_GB2312"/>
          <w:color w:val="auto"/>
          <w:sz w:val="32"/>
          <w:szCs w:val="32"/>
        </w:rPr>
        <w:t>GDP</w:t>
      </w:r>
      <w:r>
        <w:rPr>
          <w:rFonts w:hint="eastAsia" w:ascii="仿宋_GB2312" w:eastAsia="仿宋_GB2312" w:cs="仿宋_GB2312"/>
          <w:color w:val="auto"/>
          <w:sz w:val="32"/>
          <w:szCs w:val="32"/>
        </w:rPr>
        <w:t>贡献值约为</w:t>
      </w:r>
      <w:r>
        <w:rPr>
          <w:rFonts w:ascii="仿宋_GB2312" w:eastAsia="仿宋_GB2312" w:cs="仿宋_GB2312"/>
          <w:color w:val="auto"/>
          <w:sz w:val="32"/>
          <w:szCs w:val="32"/>
        </w:rPr>
        <w:t>23.8</w:t>
      </w:r>
      <w:r>
        <w:rPr>
          <w:rFonts w:hint="eastAsia" w:ascii="仿宋_GB2312" w:eastAsia="仿宋_GB2312" w:cs="仿宋_GB2312"/>
          <w:color w:val="auto"/>
          <w:sz w:val="32"/>
          <w:szCs w:val="32"/>
        </w:rPr>
        <w:t>亿元，建设期可增加地方税收约</w:t>
      </w:r>
      <w:r>
        <w:rPr>
          <w:rFonts w:ascii="仿宋_GB2312" w:eastAsia="仿宋_GB2312" w:cs="仿宋_GB2312"/>
          <w:color w:val="auto"/>
          <w:sz w:val="32"/>
          <w:szCs w:val="32"/>
        </w:rPr>
        <w:t>54.9</w:t>
      </w:r>
      <w:r>
        <w:rPr>
          <w:rFonts w:hint="eastAsia" w:ascii="仿宋_GB2312" w:eastAsia="仿宋_GB2312" w:cs="仿宋_GB2312"/>
          <w:color w:val="auto"/>
          <w:sz w:val="32"/>
          <w:szCs w:val="32"/>
        </w:rPr>
        <w:t>亿元，运营期可增加地方税收约为</w:t>
      </w:r>
      <w:r>
        <w:rPr>
          <w:rFonts w:ascii="仿宋_GB2312" w:eastAsia="仿宋_GB2312" w:cs="仿宋_GB2312"/>
          <w:color w:val="auto"/>
          <w:sz w:val="32"/>
          <w:szCs w:val="32"/>
        </w:rPr>
        <w:t>97.4</w:t>
      </w:r>
      <w:r>
        <w:rPr>
          <w:rFonts w:hint="eastAsia" w:ascii="仿宋_GB2312" w:eastAsia="仿宋_GB2312" w:cs="仿宋_GB2312"/>
          <w:color w:val="auto"/>
          <w:sz w:val="32"/>
          <w:szCs w:val="32"/>
        </w:rPr>
        <w:t>亿元。</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53" w:name="_Toc86233339"/>
      <w:r>
        <w:rPr>
          <w:rFonts w:hint="eastAsia" w:ascii="黑体" w:hAnsi="黑体" w:eastAsia="黑体" w:cs="黑体"/>
          <w:color w:val="auto"/>
          <w:sz w:val="32"/>
          <w:szCs w:val="32"/>
        </w:rPr>
        <w:t>三、社会效益</w:t>
      </w:r>
      <w:bookmarkEnd w:id="50"/>
      <w:bookmarkEnd w:id="53"/>
    </w:p>
    <w:p>
      <w:pPr>
        <w:pStyle w:val="5"/>
        <w:spacing w:beforeLines="50" w:afterLines="50" w:line="600" w:lineRule="exact"/>
        <w:ind w:firstLine="643" w:firstLineChars="200"/>
        <w:jc w:val="both"/>
        <w:rPr>
          <w:rFonts w:ascii="楷体" w:hAnsi="楷体" w:eastAsia="楷体"/>
          <w:color w:val="auto"/>
          <w:sz w:val="32"/>
          <w:szCs w:val="32"/>
        </w:rPr>
      </w:pPr>
      <w:r>
        <w:rPr>
          <w:rFonts w:hint="eastAsia" w:ascii="楷体" w:hAnsi="楷体" w:eastAsia="楷体" w:cs="楷体"/>
          <w:color w:val="auto"/>
          <w:sz w:val="32"/>
          <w:szCs w:val="32"/>
        </w:rPr>
        <w:t>（一）节能减排</w:t>
      </w:r>
    </w:p>
    <w:p>
      <w:pPr>
        <w:spacing w:line="600" w:lineRule="exact"/>
        <w:ind w:firstLine="640" w:firstLineChars="200"/>
        <w:rPr>
          <w:rFonts w:ascii="仿宋_GB2312" w:eastAsia="仿宋_GB2312"/>
          <w:color w:val="auto"/>
          <w:sz w:val="32"/>
          <w:szCs w:val="32"/>
        </w:rPr>
      </w:pPr>
      <w:bookmarkStart w:id="54" w:name="_Toc237485542"/>
      <w:bookmarkStart w:id="55" w:name="_Toc252956393"/>
      <w:r>
        <w:rPr>
          <w:rFonts w:hint="eastAsia" w:ascii="仿宋_GB2312" w:eastAsia="仿宋_GB2312" w:cs="仿宋_GB2312"/>
          <w:color w:val="auto"/>
          <w:sz w:val="32"/>
          <w:szCs w:val="32"/>
        </w:rPr>
        <w:t>清原抽水蓄能电站一期项目年发电量为</w:t>
      </w:r>
      <w:r>
        <w:rPr>
          <w:rFonts w:ascii="仿宋_GB2312" w:eastAsia="仿宋_GB2312" w:cs="仿宋_GB2312"/>
          <w:color w:val="auto"/>
          <w:sz w:val="32"/>
          <w:szCs w:val="32"/>
        </w:rPr>
        <w:t>30.11</w:t>
      </w:r>
      <w:r>
        <w:rPr>
          <w:rFonts w:hint="eastAsia" w:ascii="仿宋_GB2312" w:eastAsia="仿宋_GB2312" w:cs="仿宋_GB2312"/>
          <w:color w:val="auto"/>
          <w:sz w:val="32"/>
          <w:szCs w:val="32"/>
        </w:rPr>
        <w:t>亿</w:t>
      </w:r>
      <w:r>
        <w:rPr>
          <w:rFonts w:ascii="仿宋_GB2312" w:eastAsia="仿宋_GB2312" w:cs="仿宋_GB2312"/>
          <w:color w:val="auto"/>
          <w:sz w:val="32"/>
          <w:szCs w:val="32"/>
        </w:rPr>
        <w:t>kWh</w:t>
      </w:r>
      <w:r>
        <w:rPr>
          <w:rFonts w:hint="eastAsia" w:ascii="仿宋_GB2312" w:eastAsia="仿宋_GB2312" w:cs="仿宋_GB2312"/>
          <w:color w:val="auto"/>
          <w:sz w:val="32"/>
          <w:szCs w:val="32"/>
        </w:rPr>
        <w:t>，年抽水电量为</w:t>
      </w:r>
      <w:r>
        <w:rPr>
          <w:rFonts w:ascii="仿宋_GB2312" w:eastAsia="仿宋_GB2312" w:cs="仿宋_GB2312"/>
          <w:color w:val="auto"/>
          <w:sz w:val="32"/>
          <w:szCs w:val="32"/>
        </w:rPr>
        <w:t xml:space="preserve">40.15 </w:t>
      </w:r>
      <w:r>
        <w:rPr>
          <w:rFonts w:hint="eastAsia" w:ascii="仿宋_GB2312" w:eastAsia="仿宋_GB2312" w:cs="仿宋_GB2312"/>
          <w:color w:val="auto"/>
          <w:sz w:val="32"/>
          <w:szCs w:val="32"/>
        </w:rPr>
        <w:t>亿</w:t>
      </w:r>
      <w:r>
        <w:rPr>
          <w:rFonts w:ascii="仿宋_GB2312" w:eastAsia="仿宋_GB2312" w:cs="仿宋_GB2312"/>
          <w:color w:val="auto"/>
          <w:sz w:val="32"/>
          <w:szCs w:val="32"/>
        </w:rPr>
        <w:t>kWh</w:t>
      </w:r>
      <w:r>
        <w:rPr>
          <w:rFonts w:hint="eastAsia" w:ascii="仿宋_GB2312" w:eastAsia="仿宋_GB2312" w:cs="仿宋_GB2312"/>
          <w:color w:val="auto"/>
          <w:sz w:val="32"/>
          <w:szCs w:val="32"/>
        </w:rPr>
        <w:t>。可以为辽宁电网每年节约标煤</w:t>
      </w:r>
      <w:r>
        <w:rPr>
          <w:rFonts w:ascii="仿宋_GB2312" w:eastAsia="仿宋_GB2312" w:cs="仿宋_GB2312"/>
          <w:color w:val="auto"/>
          <w:sz w:val="32"/>
          <w:szCs w:val="32"/>
        </w:rPr>
        <w:t xml:space="preserve">91.8355 </w:t>
      </w:r>
      <w:r>
        <w:rPr>
          <w:rFonts w:hint="eastAsia" w:ascii="仿宋_GB2312" w:eastAsia="仿宋_GB2312" w:cs="仿宋_GB2312"/>
          <w:color w:val="auto"/>
          <w:sz w:val="32"/>
          <w:szCs w:val="32"/>
        </w:rPr>
        <w:t>万吨，相应每年减少各种大气污染物的排放量为：二氧化碳（</w:t>
      </w:r>
      <w:r>
        <w:rPr>
          <w:rFonts w:ascii="仿宋_GB2312" w:eastAsia="仿宋_GB2312" w:cs="仿宋_GB2312"/>
          <w:color w:val="auto"/>
          <w:sz w:val="32"/>
          <w:szCs w:val="32"/>
        </w:rPr>
        <w:t>CO</w:t>
      </w:r>
      <w:r>
        <w:rPr>
          <w:rFonts w:ascii="仿宋_GB2312" w:eastAsia="仿宋_GB2312" w:cs="仿宋_GB2312"/>
          <w:color w:val="auto"/>
          <w:sz w:val="32"/>
          <w:szCs w:val="32"/>
          <w:vertAlign w:val="subscript"/>
        </w:rPr>
        <w:t>2</w:t>
      </w:r>
      <w:r>
        <w:rPr>
          <w:rFonts w:hint="eastAsia" w:ascii="仿宋_GB2312" w:eastAsia="仿宋_GB2312" w:cs="仿宋_GB2312"/>
          <w:color w:val="auto"/>
          <w:sz w:val="32"/>
          <w:szCs w:val="32"/>
        </w:rPr>
        <w:t>）</w:t>
      </w:r>
      <w:r>
        <w:rPr>
          <w:rFonts w:ascii="仿宋_GB2312" w:eastAsia="仿宋_GB2312" w:cs="仿宋_GB2312"/>
          <w:color w:val="auto"/>
          <w:sz w:val="32"/>
          <w:szCs w:val="32"/>
        </w:rPr>
        <w:t>242.4</w:t>
      </w:r>
      <w:r>
        <w:rPr>
          <w:rFonts w:hint="eastAsia" w:ascii="仿宋_GB2312" w:eastAsia="仿宋_GB2312" w:cs="仿宋_GB2312"/>
          <w:color w:val="auto"/>
          <w:sz w:val="32"/>
          <w:szCs w:val="32"/>
        </w:rPr>
        <w:t>万吨，二氧化硫（</w:t>
      </w:r>
      <w:r>
        <w:rPr>
          <w:rFonts w:ascii="仿宋_GB2312" w:eastAsia="仿宋_GB2312" w:cs="仿宋_GB2312"/>
          <w:color w:val="auto"/>
          <w:sz w:val="32"/>
          <w:szCs w:val="32"/>
        </w:rPr>
        <w:t>SO</w:t>
      </w:r>
      <w:r>
        <w:rPr>
          <w:rFonts w:ascii="仿宋_GB2312" w:eastAsia="仿宋_GB2312" w:cs="仿宋_GB2312"/>
          <w:color w:val="auto"/>
          <w:sz w:val="32"/>
          <w:szCs w:val="32"/>
          <w:vertAlign w:val="subscript"/>
        </w:rPr>
        <w:t>2</w:t>
      </w:r>
      <w:r>
        <w:rPr>
          <w:rFonts w:hint="eastAsia" w:ascii="仿宋_GB2312" w:eastAsia="仿宋_GB2312" w:cs="仿宋_GB2312"/>
          <w:color w:val="auto"/>
          <w:sz w:val="32"/>
          <w:szCs w:val="32"/>
        </w:rPr>
        <w:t>）</w:t>
      </w:r>
      <w:r>
        <w:rPr>
          <w:rFonts w:ascii="仿宋_GB2312" w:eastAsia="仿宋_GB2312" w:cs="仿宋_GB2312"/>
          <w:color w:val="auto"/>
          <w:sz w:val="32"/>
          <w:szCs w:val="32"/>
        </w:rPr>
        <w:t>2.05</w:t>
      </w:r>
      <w:r>
        <w:rPr>
          <w:rFonts w:hint="eastAsia" w:ascii="仿宋_GB2312" w:eastAsia="仿宋_GB2312" w:cs="仿宋_GB2312"/>
          <w:color w:val="auto"/>
          <w:sz w:val="32"/>
          <w:szCs w:val="32"/>
        </w:rPr>
        <w:t>万吨，节能减排效益显著。</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清原二期抽水蓄能电站建成以后，年发电量为</w:t>
      </w:r>
      <w:r>
        <w:rPr>
          <w:rFonts w:ascii="仿宋_GB2312" w:eastAsia="仿宋_GB2312" w:cs="仿宋_GB2312"/>
          <w:color w:val="auto"/>
          <w:sz w:val="32"/>
          <w:szCs w:val="32"/>
        </w:rPr>
        <w:t>20.08</w:t>
      </w:r>
      <w:r>
        <w:rPr>
          <w:rFonts w:hint="eastAsia" w:ascii="仿宋_GB2312" w:eastAsia="仿宋_GB2312" w:cs="仿宋_GB2312"/>
          <w:color w:val="auto"/>
          <w:sz w:val="32"/>
          <w:szCs w:val="32"/>
        </w:rPr>
        <w:t>亿</w:t>
      </w:r>
      <w:r>
        <w:rPr>
          <w:rFonts w:ascii="仿宋_GB2312" w:eastAsia="仿宋_GB2312" w:cs="仿宋_GB2312"/>
          <w:color w:val="auto"/>
          <w:sz w:val="32"/>
          <w:szCs w:val="32"/>
        </w:rPr>
        <w:t>kWh</w:t>
      </w:r>
      <w:r>
        <w:rPr>
          <w:rFonts w:hint="eastAsia" w:ascii="仿宋_GB2312" w:eastAsia="仿宋_GB2312" w:cs="仿宋_GB2312"/>
          <w:color w:val="auto"/>
          <w:sz w:val="32"/>
          <w:szCs w:val="32"/>
        </w:rPr>
        <w:t>，年抽水电量为</w:t>
      </w:r>
      <w:r>
        <w:rPr>
          <w:rFonts w:ascii="仿宋_GB2312" w:eastAsia="仿宋_GB2312" w:cs="仿宋_GB2312"/>
          <w:color w:val="auto"/>
          <w:sz w:val="32"/>
          <w:szCs w:val="32"/>
        </w:rPr>
        <w:t>26.77</w:t>
      </w:r>
      <w:r>
        <w:rPr>
          <w:rFonts w:hint="eastAsia" w:ascii="仿宋_GB2312" w:eastAsia="仿宋_GB2312" w:cs="仿宋_GB2312"/>
          <w:color w:val="auto"/>
          <w:sz w:val="32"/>
          <w:szCs w:val="32"/>
        </w:rPr>
        <w:t>亿</w:t>
      </w:r>
      <w:r>
        <w:rPr>
          <w:rFonts w:ascii="仿宋_GB2312" w:eastAsia="仿宋_GB2312" w:cs="仿宋_GB2312"/>
          <w:color w:val="auto"/>
          <w:sz w:val="32"/>
          <w:szCs w:val="32"/>
        </w:rPr>
        <w:t>kWh</w:t>
      </w:r>
      <w:r>
        <w:rPr>
          <w:rFonts w:hint="eastAsia" w:ascii="仿宋_GB2312" w:eastAsia="仿宋_GB2312" w:cs="仿宋_GB2312"/>
          <w:color w:val="auto"/>
          <w:sz w:val="32"/>
          <w:szCs w:val="32"/>
        </w:rPr>
        <w:t>。可以为辽宁电网每年节约标煤</w:t>
      </w:r>
      <w:r>
        <w:rPr>
          <w:rFonts w:ascii="仿宋_GB2312" w:eastAsia="仿宋_GB2312" w:cs="仿宋_GB2312"/>
          <w:color w:val="auto"/>
          <w:sz w:val="32"/>
          <w:szCs w:val="32"/>
        </w:rPr>
        <w:t>61.2</w:t>
      </w:r>
      <w:r>
        <w:rPr>
          <w:rFonts w:hint="eastAsia" w:ascii="仿宋_GB2312" w:eastAsia="仿宋_GB2312" w:cs="仿宋_GB2312"/>
          <w:color w:val="auto"/>
          <w:sz w:val="32"/>
          <w:szCs w:val="32"/>
        </w:rPr>
        <w:t>万吨，相应每年减少各种大气污染物的排放量为：二氧化碳（</w:t>
      </w:r>
      <w:r>
        <w:rPr>
          <w:rFonts w:ascii="仿宋_GB2312" w:eastAsia="仿宋_GB2312" w:cs="仿宋_GB2312"/>
          <w:color w:val="auto"/>
          <w:sz w:val="32"/>
          <w:szCs w:val="32"/>
        </w:rPr>
        <w:t>CO</w:t>
      </w:r>
      <w:r>
        <w:rPr>
          <w:rFonts w:ascii="仿宋_GB2312" w:eastAsia="仿宋_GB2312" w:cs="仿宋_GB2312"/>
          <w:color w:val="auto"/>
          <w:sz w:val="32"/>
          <w:szCs w:val="32"/>
          <w:vertAlign w:val="subscript"/>
        </w:rPr>
        <w:t>2</w:t>
      </w:r>
      <w:r>
        <w:rPr>
          <w:rFonts w:hint="eastAsia" w:ascii="仿宋_GB2312" w:eastAsia="仿宋_GB2312" w:cs="仿宋_GB2312"/>
          <w:color w:val="auto"/>
          <w:sz w:val="32"/>
          <w:szCs w:val="32"/>
        </w:rPr>
        <w:t>）</w:t>
      </w:r>
      <w:r>
        <w:rPr>
          <w:rFonts w:ascii="仿宋_GB2312" w:eastAsia="仿宋_GB2312" w:cs="仿宋_GB2312"/>
          <w:color w:val="auto"/>
          <w:sz w:val="32"/>
          <w:szCs w:val="32"/>
        </w:rPr>
        <w:t>161.7</w:t>
      </w:r>
      <w:r>
        <w:rPr>
          <w:rFonts w:hint="eastAsia" w:ascii="仿宋_GB2312" w:eastAsia="仿宋_GB2312" w:cs="仿宋_GB2312"/>
          <w:color w:val="auto"/>
          <w:sz w:val="32"/>
          <w:szCs w:val="32"/>
        </w:rPr>
        <w:t>万吨，二氧化硫（</w:t>
      </w:r>
      <w:r>
        <w:rPr>
          <w:rFonts w:ascii="仿宋_GB2312" w:eastAsia="仿宋_GB2312" w:cs="仿宋_GB2312"/>
          <w:color w:val="auto"/>
          <w:sz w:val="32"/>
          <w:szCs w:val="32"/>
        </w:rPr>
        <w:t>SO</w:t>
      </w:r>
      <w:r>
        <w:rPr>
          <w:rFonts w:ascii="仿宋_GB2312" w:eastAsia="仿宋_GB2312" w:cs="仿宋_GB2312"/>
          <w:color w:val="auto"/>
          <w:sz w:val="32"/>
          <w:szCs w:val="32"/>
          <w:vertAlign w:val="subscript"/>
        </w:rPr>
        <w:t>2</w:t>
      </w:r>
      <w:r>
        <w:rPr>
          <w:rFonts w:hint="eastAsia" w:ascii="仿宋_GB2312" w:eastAsia="仿宋_GB2312" w:cs="仿宋_GB2312"/>
          <w:color w:val="auto"/>
          <w:sz w:val="32"/>
          <w:szCs w:val="32"/>
        </w:rPr>
        <w:t>）</w:t>
      </w:r>
      <w:r>
        <w:rPr>
          <w:rFonts w:ascii="仿宋_GB2312" w:eastAsia="仿宋_GB2312" w:cs="仿宋_GB2312"/>
          <w:color w:val="auto"/>
          <w:sz w:val="32"/>
          <w:szCs w:val="32"/>
        </w:rPr>
        <w:t>1.37</w:t>
      </w:r>
      <w:r>
        <w:rPr>
          <w:rFonts w:hint="eastAsia" w:ascii="仿宋_GB2312" w:eastAsia="仿宋_GB2312" w:cs="仿宋_GB2312"/>
          <w:color w:val="auto"/>
          <w:sz w:val="32"/>
          <w:szCs w:val="32"/>
        </w:rPr>
        <w:t>万吨。</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根据抚顺市已建风光生物质项目年有效利用小时数情况，按风力发电场安装风力发电机</w:t>
      </w:r>
      <w:r>
        <w:rPr>
          <w:rFonts w:ascii="仿宋_GB2312" w:eastAsia="仿宋_GB2312" w:cs="仿宋_GB2312"/>
          <w:color w:val="auto"/>
          <w:sz w:val="32"/>
          <w:szCs w:val="32"/>
        </w:rPr>
        <w:t>100</w:t>
      </w:r>
      <w:r>
        <w:rPr>
          <w:rFonts w:hint="eastAsia" w:ascii="仿宋_GB2312" w:eastAsia="仿宋_GB2312" w:cs="仿宋_GB2312"/>
          <w:color w:val="auto"/>
          <w:sz w:val="32"/>
          <w:szCs w:val="32"/>
        </w:rPr>
        <w:t>万千瓦，年有效利用小时数为</w:t>
      </w:r>
      <w:r>
        <w:rPr>
          <w:rFonts w:ascii="仿宋_GB2312" w:eastAsia="仿宋_GB2312" w:cs="仿宋_GB2312"/>
          <w:color w:val="auto"/>
          <w:sz w:val="32"/>
          <w:szCs w:val="32"/>
        </w:rPr>
        <w:t>2565h</w:t>
      </w:r>
      <w:r>
        <w:rPr>
          <w:rFonts w:hint="eastAsia" w:ascii="仿宋_GB2312" w:eastAsia="仿宋_GB2312" w:cs="仿宋_GB2312"/>
          <w:color w:val="auto"/>
          <w:sz w:val="32"/>
          <w:szCs w:val="32"/>
        </w:rPr>
        <w:t>、光伏电站安装容量</w:t>
      </w:r>
      <w:r>
        <w:rPr>
          <w:rFonts w:ascii="仿宋_GB2312" w:eastAsia="仿宋_GB2312" w:cs="仿宋_GB2312"/>
          <w:color w:val="auto"/>
          <w:sz w:val="32"/>
          <w:szCs w:val="32"/>
        </w:rPr>
        <w:t>178.2</w:t>
      </w:r>
      <w:r>
        <w:rPr>
          <w:rFonts w:hint="eastAsia" w:ascii="仿宋_GB2312" w:eastAsia="仿宋_GB2312" w:cs="仿宋_GB2312"/>
          <w:color w:val="auto"/>
          <w:sz w:val="32"/>
          <w:szCs w:val="32"/>
        </w:rPr>
        <w:t>万千瓦，年有效利用小时数为</w:t>
      </w:r>
      <w:r>
        <w:rPr>
          <w:rFonts w:ascii="仿宋_GB2312" w:eastAsia="仿宋_GB2312" w:cs="仿宋_GB2312"/>
          <w:color w:val="auto"/>
          <w:sz w:val="32"/>
          <w:szCs w:val="32"/>
        </w:rPr>
        <w:t>1350h</w:t>
      </w:r>
      <w:r>
        <w:rPr>
          <w:rFonts w:hint="eastAsia" w:ascii="仿宋_GB2312" w:eastAsia="仿宋_GB2312" w:cs="仿宋_GB2312"/>
          <w:color w:val="auto"/>
          <w:sz w:val="32"/>
          <w:szCs w:val="32"/>
        </w:rPr>
        <w:t>、生物质电站装机容量</w:t>
      </w:r>
      <w:r>
        <w:rPr>
          <w:rFonts w:ascii="仿宋_GB2312" w:eastAsia="仿宋_GB2312" w:cs="仿宋_GB2312"/>
          <w:color w:val="auto"/>
          <w:sz w:val="32"/>
          <w:szCs w:val="32"/>
        </w:rPr>
        <w:t>52.3</w:t>
      </w:r>
      <w:r>
        <w:rPr>
          <w:rFonts w:hint="eastAsia" w:ascii="仿宋_GB2312" w:eastAsia="仿宋_GB2312" w:cs="仿宋_GB2312"/>
          <w:color w:val="auto"/>
          <w:sz w:val="32"/>
          <w:szCs w:val="32"/>
        </w:rPr>
        <w:t>万千瓦，年有效利用小时数为</w:t>
      </w:r>
      <w:r>
        <w:rPr>
          <w:rFonts w:ascii="仿宋_GB2312" w:eastAsia="仿宋_GB2312" w:cs="仿宋_GB2312"/>
          <w:color w:val="auto"/>
          <w:sz w:val="32"/>
          <w:szCs w:val="32"/>
        </w:rPr>
        <w:t>7000h</w:t>
      </w:r>
      <w:r>
        <w:rPr>
          <w:rFonts w:hint="eastAsia" w:ascii="仿宋_GB2312" w:eastAsia="仿宋_GB2312" w:cs="仿宋_GB2312"/>
          <w:color w:val="auto"/>
          <w:sz w:val="32"/>
          <w:szCs w:val="32"/>
        </w:rPr>
        <w:t>计算，以上项目年总发电量为</w:t>
      </w:r>
      <w:r>
        <w:rPr>
          <w:rFonts w:ascii="仿宋_GB2312" w:eastAsia="仿宋_GB2312" w:cs="仿宋_GB2312"/>
          <w:color w:val="auto"/>
          <w:sz w:val="32"/>
          <w:szCs w:val="32"/>
        </w:rPr>
        <w:t>86.307</w:t>
      </w:r>
      <w:r>
        <w:rPr>
          <w:rFonts w:hint="eastAsia" w:ascii="仿宋_GB2312" w:eastAsia="仿宋_GB2312" w:cs="仿宋_GB2312"/>
          <w:color w:val="auto"/>
          <w:sz w:val="32"/>
          <w:szCs w:val="32"/>
        </w:rPr>
        <w:t>亿千瓦时，与燃煤的火电相比，按单位度电标煤煤耗</w:t>
      </w:r>
      <w:r>
        <w:rPr>
          <w:rFonts w:ascii="仿宋_GB2312" w:eastAsia="仿宋_GB2312" w:cs="仿宋_GB2312"/>
          <w:color w:val="auto"/>
          <w:sz w:val="32"/>
          <w:szCs w:val="32"/>
        </w:rPr>
        <w:t>305g/kW</w:t>
      </w:r>
      <w:r>
        <w:rPr>
          <w:rFonts w:ascii="仿宋_GB2312" w:eastAsia="仿宋_GB2312"/>
          <w:color w:val="auto"/>
          <w:sz w:val="32"/>
          <w:szCs w:val="32"/>
        </w:rPr>
        <w:t>·</w:t>
      </w:r>
      <w:r>
        <w:rPr>
          <w:rFonts w:ascii="仿宋_GB2312" w:eastAsia="仿宋_GB2312" w:cs="仿宋_GB2312"/>
          <w:color w:val="auto"/>
          <w:sz w:val="32"/>
          <w:szCs w:val="32"/>
        </w:rPr>
        <w:t>h</w:t>
      </w:r>
      <w:r>
        <w:rPr>
          <w:rFonts w:hint="eastAsia" w:ascii="仿宋_GB2312" w:eastAsia="仿宋_GB2312" w:cs="仿宋_GB2312"/>
          <w:color w:val="auto"/>
          <w:sz w:val="32"/>
          <w:szCs w:val="32"/>
        </w:rPr>
        <w:t>计，每年可为国家节约标煤</w:t>
      </w:r>
      <w:r>
        <w:rPr>
          <w:rFonts w:ascii="仿宋_GB2312" w:eastAsia="仿宋_GB2312" w:cs="仿宋_GB2312"/>
          <w:color w:val="auto"/>
          <w:sz w:val="32"/>
          <w:szCs w:val="32"/>
        </w:rPr>
        <w:t>263.2</w:t>
      </w:r>
      <w:r>
        <w:rPr>
          <w:rFonts w:hint="eastAsia" w:ascii="仿宋_GB2312" w:eastAsia="仿宋_GB2312" w:cs="仿宋_GB2312"/>
          <w:color w:val="auto"/>
          <w:sz w:val="32"/>
          <w:szCs w:val="32"/>
        </w:rPr>
        <w:t>万吨。</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按燃煤火电厂的设计用水量约</w:t>
      </w:r>
      <w:r>
        <w:rPr>
          <w:rFonts w:ascii="仿宋_GB2312" w:eastAsia="仿宋_GB2312" w:cs="仿宋_GB2312"/>
          <w:color w:val="auto"/>
          <w:sz w:val="32"/>
          <w:szCs w:val="32"/>
        </w:rPr>
        <w:t>28.8</w:t>
      </w:r>
      <w:r>
        <w:rPr>
          <w:rFonts w:hint="eastAsia" w:ascii="仿宋_GB2312" w:eastAsia="仿宋_GB2312" w:cs="仿宋_GB2312"/>
          <w:color w:val="auto"/>
          <w:sz w:val="32"/>
          <w:szCs w:val="32"/>
        </w:rPr>
        <w:t>万吨</w:t>
      </w:r>
      <w:r>
        <w:rPr>
          <w:rFonts w:ascii="仿宋_GB2312" w:eastAsia="仿宋_GB2312" w:cs="仿宋_GB2312"/>
          <w:color w:val="auto"/>
          <w:sz w:val="32"/>
          <w:szCs w:val="32"/>
        </w:rPr>
        <w:t>/</w:t>
      </w:r>
      <w:r>
        <w:rPr>
          <w:rFonts w:hint="eastAsia" w:ascii="仿宋_GB2312" w:eastAsia="仿宋_GB2312" w:cs="仿宋_GB2312"/>
          <w:color w:val="auto"/>
          <w:sz w:val="32"/>
          <w:szCs w:val="32"/>
        </w:rPr>
        <w:t>亿</w:t>
      </w:r>
      <w:r>
        <w:rPr>
          <w:rFonts w:ascii="仿宋_GB2312" w:eastAsia="仿宋_GB2312" w:cs="仿宋_GB2312"/>
          <w:color w:val="auto"/>
          <w:sz w:val="32"/>
          <w:szCs w:val="32"/>
        </w:rPr>
        <w:t>kW</w:t>
      </w:r>
      <w:r>
        <w:rPr>
          <w:rFonts w:hint="eastAsia" w:ascii="仿宋_GB2312" w:eastAsia="仿宋_GB2312" w:cs="仿宋_GB2312"/>
          <w:color w:val="auto"/>
          <w:sz w:val="32"/>
          <w:szCs w:val="32"/>
        </w:rPr>
        <w:t>·</w:t>
      </w:r>
      <w:r>
        <w:rPr>
          <w:rFonts w:ascii="仿宋_GB2312" w:eastAsia="仿宋_GB2312" w:cs="仿宋_GB2312"/>
          <w:color w:val="auto"/>
          <w:sz w:val="32"/>
          <w:szCs w:val="32"/>
        </w:rPr>
        <w:t>h</w:t>
      </w:r>
      <w:r>
        <w:rPr>
          <w:rFonts w:hint="eastAsia" w:ascii="仿宋_GB2312" w:eastAsia="仿宋_GB2312" w:cs="仿宋_GB2312"/>
          <w:color w:val="auto"/>
          <w:sz w:val="32"/>
          <w:szCs w:val="32"/>
        </w:rPr>
        <w:t>，可推算出新型清洁能源电站每年能为国家节约水资源</w:t>
      </w:r>
      <w:r>
        <w:rPr>
          <w:rFonts w:ascii="仿宋_GB2312" w:eastAsia="仿宋_GB2312" w:cs="仿宋_GB2312"/>
          <w:color w:val="auto"/>
          <w:sz w:val="32"/>
          <w:szCs w:val="32"/>
        </w:rPr>
        <w:t>2485.7</w:t>
      </w:r>
      <w:r>
        <w:rPr>
          <w:rFonts w:hint="eastAsia" w:ascii="仿宋_GB2312" w:eastAsia="仿宋_GB2312" w:cs="仿宋_GB2312"/>
          <w:color w:val="auto"/>
          <w:sz w:val="32"/>
          <w:szCs w:val="32"/>
        </w:rPr>
        <w:t>万吨。</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相应每年可减少向大气排放其他有害气体及废渣：</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冲灰渣水</w:t>
      </w:r>
      <w:r>
        <w:rPr>
          <w:rFonts w:ascii="仿宋_GB2312" w:eastAsia="仿宋_GB2312" w:cs="仿宋_GB2312"/>
          <w:color w:val="auto"/>
          <w:sz w:val="32"/>
          <w:szCs w:val="32"/>
        </w:rPr>
        <w:t xml:space="preserve">       2.1</w:t>
      </w:r>
      <w:r>
        <w:rPr>
          <w:rFonts w:hint="eastAsia" w:ascii="仿宋_GB2312" w:eastAsia="仿宋_GB2312" w:cs="仿宋_GB2312"/>
          <w:color w:val="auto"/>
          <w:sz w:val="32"/>
          <w:szCs w:val="32"/>
        </w:rPr>
        <w:t>万吨</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烟尘</w:t>
      </w:r>
      <w:r>
        <w:rPr>
          <w:rFonts w:ascii="仿宋_GB2312" w:eastAsia="仿宋_GB2312" w:cs="仿宋_GB2312"/>
          <w:color w:val="auto"/>
          <w:sz w:val="32"/>
          <w:szCs w:val="32"/>
        </w:rPr>
        <w:t xml:space="preserve">           7.08</w:t>
      </w:r>
      <w:r>
        <w:rPr>
          <w:rFonts w:hint="eastAsia" w:ascii="仿宋_GB2312" w:eastAsia="仿宋_GB2312" w:cs="仿宋_GB2312"/>
          <w:color w:val="auto"/>
          <w:sz w:val="32"/>
          <w:szCs w:val="32"/>
        </w:rPr>
        <w:t>万吨</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二氧化硫</w:t>
      </w:r>
      <w:r>
        <w:rPr>
          <w:rFonts w:ascii="仿宋_GB2312" w:eastAsia="仿宋_GB2312" w:cs="仿宋_GB2312"/>
          <w:color w:val="auto"/>
          <w:sz w:val="32"/>
          <w:szCs w:val="32"/>
        </w:rPr>
        <w:t xml:space="preserve">       5.89</w:t>
      </w:r>
      <w:r>
        <w:rPr>
          <w:rFonts w:hint="eastAsia" w:ascii="仿宋_GB2312" w:eastAsia="仿宋_GB2312" w:cs="仿宋_GB2312"/>
          <w:color w:val="auto"/>
          <w:sz w:val="32"/>
          <w:szCs w:val="32"/>
        </w:rPr>
        <w:t>万吨</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二氧化碳</w:t>
      </w:r>
      <w:r>
        <w:rPr>
          <w:rFonts w:ascii="仿宋_GB2312" w:eastAsia="仿宋_GB2312" w:cs="仿宋_GB2312"/>
          <w:color w:val="auto"/>
          <w:sz w:val="32"/>
          <w:szCs w:val="32"/>
        </w:rPr>
        <w:t xml:space="preserve">      694.9</w:t>
      </w:r>
      <w:r>
        <w:rPr>
          <w:rFonts w:hint="eastAsia" w:ascii="仿宋_GB2312" w:eastAsia="仿宋_GB2312" w:cs="仿宋_GB2312"/>
          <w:color w:val="auto"/>
          <w:sz w:val="32"/>
          <w:szCs w:val="32"/>
        </w:rPr>
        <w:t>万吨</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炉渣</w:t>
      </w:r>
      <w:r>
        <w:rPr>
          <w:rFonts w:ascii="仿宋_GB2312" w:eastAsia="仿宋_GB2312" w:cs="仿宋_GB2312"/>
          <w:color w:val="auto"/>
          <w:sz w:val="32"/>
          <w:szCs w:val="32"/>
        </w:rPr>
        <w:t xml:space="preserve">         14.3</w:t>
      </w:r>
      <w:r>
        <w:rPr>
          <w:rFonts w:hint="eastAsia" w:ascii="仿宋_GB2312" w:eastAsia="仿宋_GB2312" w:cs="仿宋_GB2312"/>
          <w:color w:val="auto"/>
          <w:sz w:val="32"/>
          <w:szCs w:val="32"/>
        </w:rPr>
        <w:t>万吨</w:t>
      </w:r>
    </w:p>
    <w:p>
      <w:pPr>
        <w:pStyle w:val="5"/>
        <w:spacing w:beforeLines="50" w:afterLines="50" w:line="600" w:lineRule="exact"/>
        <w:ind w:firstLine="643" w:firstLineChars="200"/>
        <w:jc w:val="both"/>
        <w:rPr>
          <w:rFonts w:ascii="楷体" w:hAnsi="楷体" w:eastAsia="楷体"/>
          <w:color w:val="auto"/>
          <w:sz w:val="32"/>
          <w:szCs w:val="32"/>
        </w:rPr>
      </w:pPr>
      <w:r>
        <w:rPr>
          <w:rFonts w:hint="eastAsia" w:ascii="楷体" w:hAnsi="楷体" w:eastAsia="楷体" w:cs="楷体"/>
          <w:color w:val="auto"/>
          <w:sz w:val="32"/>
          <w:szCs w:val="32"/>
        </w:rPr>
        <w:t>（二）社会效益</w:t>
      </w:r>
      <w:bookmarkEnd w:id="54"/>
      <w:bookmarkEnd w:id="55"/>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w:t>
      </w:r>
      <w:r>
        <w:rPr>
          <w:rFonts w:ascii="仿宋_GB2312" w:eastAsia="仿宋_GB2312" w:cs="仿宋_GB2312"/>
          <w:color w:val="auto"/>
          <w:sz w:val="32"/>
          <w:szCs w:val="32"/>
        </w:rPr>
        <w:t>1</w:t>
      </w:r>
      <w:r>
        <w:rPr>
          <w:rFonts w:hint="eastAsia" w:ascii="仿宋_GB2312" w:eastAsia="仿宋_GB2312" w:cs="仿宋_GB2312"/>
          <w:color w:val="auto"/>
          <w:sz w:val="32"/>
          <w:szCs w:val="32"/>
        </w:rPr>
        <w:t>）新型清洁能源电站的建设，有利于增加当地就业机会，增加税收，带动地区经济发展</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新型清洁能源电站的建设将为当地提供大量的劳动力就业机会，同时，电站运行后仍需补充部分技术工人，亦可增加当地就业机会。</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w:t>
      </w:r>
      <w:r>
        <w:rPr>
          <w:rFonts w:ascii="仿宋_GB2312" w:eastAsia="仿宋_GB2312" w:cs="仿宋_GB2312"/>
          <w:color w:val="auto"/>
          <w:sz w:val="32"/>
          <w:szCs w:val="32"/>
        </w:rPr>
        <w:t>2</w:t>
      </w:r>
      <w:r>
        <w:rPr>
          <w:rFonts w:hint="eastAsia" w:ascii="仿宋_GB2312" w:eastAsia="仿宋_GB2312" w:cs="仿宋_GB2312"/>
          <w:color w:val="auto"/>
          <w:sz w:val="32"/>
          <w:szCs w:val="32"/>
        </w:rPr>
        <w:t>）风力、光伏发电是洁净可再生资源项目，符合国家能源产业政策的发展要求</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风能、太阳能是一种洁净的、可再生的一次能源，风力、光伏发电是一种不消耗矿物质能源、不污染环境、建设周期短、建设规模灵活、具有良好社会效益和经济效益的能源建设项目。抚顺地区风能及太阳能资源丰富，风力、光伏发电在该地区具有较好的发展前景，同时该项目的建设对于拉动地方经济，实施可持续发展也具有十分重要的意义。</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w:t>
      </w:r>
      <w:r>
        <w:rPr>
          <w:rFonts w:ascii="仿宋_GB2312" w:eastAsia="仿宋_GB2312" w:cs="仿宋_GB2312"/>
          <w:color w:val="auto"/>
          <w:sz w:val="32"/>
          <w:szCs w:val="32"/>
        </w:rPr>
        <w:t>3</w:t>
      </w:r>
      <w:r>
        <w:rPr>
          <w:rFonts w:hint="eastAsia" w:ascii="仿宋_GB2312" w:eastAsia="仿宋_GB2312" w:cs="仿宋_GB2312"/>
          <w:color w:val="auto"/>
          <w:sz w:val="32"/>
          <w:szCs w:val="32"/>
        </w:rPr>
        <w:t>）有利于促进风力发电机组及部件的国产化，加快我国风力发电事业的发展</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近年来，风力发电在我国许多地区有了长足的进步和发展，国内组装或生产的风力发电机组也开始大量投入使用。但仍不能满足我国风电发展的需求，通过风电项目，选择适合本地区风能资源特点，性能优良的风力发电机组的制造技术，在引进关键部件的基础上，逐步实现风力发电机组的国产化，从而降低工程造价。</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w:t>
      </w:r>
      <w:r>
        <w:rPr>
          <w:rFonts w:ascii="仿宋_GB2312" w:eastAsia="仿宋_GB2312" w:cs="仿宋_GB2312"/>
          <w:color w:val="auto"/>
          <w:sz w:val="32"/>
          <w:szCs w:val="32"/>
        </w:rPr>
        <w:t>4</w:t>
      </w:r>
      <w:r>
        <w:rPr>
          <w:rFonts w:hint="eastAsia" w:ascii="仿宋_GB2312" w:eastAsia="仿宋_GB2312" w:cs="仿宋_GB2312"/>
          <w:color w:val="auto"/>
          <w:sz w:val="32"/>
          <w:szCs w:val="32"/>
        </w:rPr>
        <w:t>）开发利用生物质能是保护环境、实现可持续发展的重要途径</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我国能源消费结构以煤为主，是世界第一大煤炭生产和消费国。据统计，全国二氧化硫排放总量的</w:t>
      </w:r>
      <w:r>
        <w:rPr>
          <w:rFonts w:ascii="仿宋_GB2312" w:eastAsia="仿宋_GB2312" w:cs="仿宋_GB2312"/>
          <w:color w:val="auto"/>
          <w:sz w:val="32"/>
          <w:szCs w:val="32"/>
        </w:rPr>
        <w:t xml:space="preserve"> 90%</w:t>
      </w:r>
      <w:r>
        <w:rPr>
          <w:rFonts w:hint="eastAsia" w:ascii="仿宋_GB2312" w:eastAsia="仿宋_GB2312" w:cs="仿宋_GB2312"/>
          <w:color w:val="auto"/>
          <w:sz w:val="32"/>
          <w:szCs w:val="32"/>
        </w:rPr>
        <w:t>是由燃煤造成的，二氧化硫污染已成为主要的大气污染源，有三分之一的国土面积受到酸雨污染，生态环境、大气质量问题突出，已严重影响我国经济社会发展和人民生命健康。另外，生物质能源实现了农林业废弃物的高效利用，可消除其带来的环境污染问题，例如秸秆焚烧带来的季节性雾霾问题。加快生物质能开发利用是有效替代化石能源，减少污染物排放、保护环境、实现可持续发展的重要措施。</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因此，建设抽水蓄能、光、生物质、风等新型清洁能源产业不仅具有较好经济效益，同时也具有显著的生态效益和社会效益。</w:t>
      </w:r>
    </w:p>
    <w:p>
      <w:pPr>
        <w:pStyle w:val="3"/>
        <w:jc w:val="both"/>
        <w:rPr>
          <w:rFonts w:eastAsia="宋体"/>
          <w:color w:val="auto"/>
        </w:rPr>
        <w:sectPr>
          <w:footerReference r:id="rId7" w:type="default"/>
          <w:pgSz w:w="11906" w:h="16838"/>
          <w:pgMar w:top="1440" w:right="1800" w:bottom="1440" w:left="1800" w:header="851" w:footer="992" w:gutter="0"/>
          <w:cols w:space="425" w:num="1"/>
          <w:docGrid w:type="lines" w:linePitch="312" w:charSpace="0"/>
        </w:sectPr>
      </w:pPr>
      <w:bookmarkStart w:id="56" w:name="_Toc41374960"/>
    </w:p>
    <w:bookmarkEnd w:id="56"/>
    <w:p>
      <w:pPr>
        <w:autoSpaceDE w:val="0"/>
        <w:autoSpaceDN w:val="0"/>
        <w:adjustRightInd w:val="0"/>
        <w:snapToGrid w:val="0"/>
        <w:spacing w:beforeLines="100" w:afterLines="100" w:line="360" w:lineRule="auto"/>
        <w:jc w:val="center"/>
        <w:outlineLvl w:val="0"/>
        <w:rPr>
          <w:rFonts w:ascii="黑体" w:hAnsi="黑体" w:eastAsia="黑体"/>
          <w:color w:val="auto"/>
          <w:sz w:val="32"/>
          <w:szCs w:val="32"/>
        </w:rPr>
      </w:pPr>
      <w:bookmarkStart w:id="57" w:name="_Toc86233340"/>
      <w:bookmarkStart w:id="58" w:name="_Toc41374948"/>
      <w:r>
        <w:rPr>
          <w:rFonts w:hint="eastAsia" w:ascii="黑体" w:hAnsi="黑体" w:eastAsia="黑体" w:cs="黑体"/>
          <w:color w:val="auto"/>
          <w:sz w:val="32"/>
          <w:szCs w:val="32"/>
        </w:rPr>
        <w:t>第六章</w:t>
      </w:r>
      <w:r>
        <w:rPr>
          <w:rFonts w:ascii="黑体" w:hAnsi="黑体" w:eastAsia="黑体" w:cs="黑体"/>
          <w:color w:val="auto"/>
          <w:sz w:val="32"/>
          <w:szCs w:val="32"/>
        </w:rPr>
        <w:t xml:space="preserve"> </w:t>
      </w:r>
      <w:r>
        <w:rPr>
          <w:rFonts w:hint="eastAsia" w:ascii="黑体" w:hAnsi="黑体" w:eastAsia="黑体" w:cs="黑体"/>
          <w:color w:val="auto"/>
          <w:sz w:val="32"/>
          <w:szCs w:val="32"/>
        </w:rPr>
        <w:t>保障措施</w:t>
      </w:r>
      <w:bookmarkEnd w:id="57"/>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为促进新型清洁能源项目在我市健康有序地发展，按照《新型清洁能源法》及有关政策的规定，辽宁省政府鼓励有志于开发新型清洁能源发电产业的各类企业及民营资本，进行新型清洁能源电站的开发建设。</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为真正有效、有序、合理地开发利用抚顺市的可再生资源，建议加强以下几方面的工作。</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59" w:name="_Toc86233341"/>
      <w:r>
        <w:rPr>
          <w:rFonts w:hint="eastAsia" w:ascii="黑体" w:hAnsi="黑体" w:eastAsia="黑体" w:cs="黑体"/>
          <w:color w:val="auto"/>
          <w:sz w:val="32"/>
          <w:szCs w:val="32"/>
        </w:rPr>
        <w:t>一、加强组织领导</w:t>
      </w:r>
      <w:bookmarkEnd w:id="59"/>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形成推动新型清洁能源产业发展强大合力。成立推进抚顺市新型清洁能源产业发展领导小组。领导小组组长由市委书记、市长共同担任。成员由发改、工信、科技、财政、应急管理、环保、自然资源等市直部门和开发区等相关县区的主要领导组成。领导小组主要统筹协调新型清洁能源发展的全局性工作，研究审议促进新型清洁能源产业发展的专项规划、重大政策和重要工作安排等。领导小组下设办公室，负责组织新型清洁能源产业发展的具体协调实施工作。</w:t>
      </w:r>
    </w:p>
    <w:p>
      <w:pPr>
        <w:snapToGrid w:val="0"/>
        <w:spacing w:line="579" w:lineRule="exact"/>
        <w:ind w:firstLine="640" w:firstLineChars="200"/>
      </w:pPr>
      <w:r>
        <w:rPr>
          <w:rFonts w:hint="eastAsia" w:eastAsia="仿宋_GB2312" w:cs="仿宋_GB2312"/>
          <w:sz w:val="32"/>
          <w:szCs w:val="32"/>
        </w:rPr>
        <w:t>强化要素资源供应与保障，及时解决项目建设遇到的问题，确保项目建设一批、核准一批、前期准备一批。强化项目管理，不断完善工作机制和评价考核体系，着力提高项目质量和成效。</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60" w:name="_Toc86233342"/>
      <w:r>
        <w:rPr>
          <w:rFonts w:hint="eastAsia" w:ascii="黑体" w:hAnsi="黑体" w:eastAsia="黑体" w:cs="黑体"/>
          <w:color w:val="auto"/>
          <w:sz w:val="32"/>
          <w:szCs w:val="32"/>
        </w:rPr>
        <w:t>二、加强政策对接</w:t>
      </w:r>
      <w:bookmarkEnd w:id="60"/>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加强与国家、辽宁省“十四五”能源、新型清洁能源规划等相关规划衔接。加强新型清洁能源产业规划与国家级、区域级规划以及土地、林业、农业、海洋等专项规划的衔接和协调。</w:t>
      </w:r>
      <w:r>
        <w:rPr>
          <w:rFonts w:hint="eastAsia" w:eastAsia="仿宋_GB2312" w:cs="仿宋_GB2312"/>
          <w:sz w:val="32"/>
          <w:szCs w:val="32"/>
        </w:rPr>
        <w:t>加紧研究和制定新型清洁能源消纳、能源</w:t>
      </w:r>
      <w:r>
        <w:rPr>
          <w:rFonts w:eastAsia="仿宋_GB2312"/>
          <w:sz w:val="32"/>
          <w:szCs w:val="32"/>
        </w:rPr>
        <w:t>“</w:t>
      </w:r>
      <w:r>
        <w:rPr>
          <w:rFonts w:hint="eastAsia" w:eastAsia="仿宋_GB2312" w:cs="仿宋_GB2312"/>
          <w:sz w:val="32"/>
          <w:szCs w:val="32"/>
        </w:rPr>
        <w:t>双控</w:t>
      </w:r>
      <w:r>
        <w:rPr>
          <w:rFonts w:eastAsia="仿宋_GB2312"/>
          <w:sz w:val="32"/>
          <w:szCs w:val="32"/>
        </w:rPr>
        <w:t>”</w:t>
      </w:r>
      <w:r>
        <w:rPr>
          <w:rFonts w:hint="eastAsia" w:eastAsia="仿宋_GB2312" w:cs="仿宋_GB2312"/>
          <w:sz w:val="32"/>
          <w:szCs w:val="32"/>
        </w:rPr>
        <w:t>等对地方政府、相关部门的考核评价体系，充分调动地方政府、相关部门和企业主体的积极性。为进一步提升我市对新型清洁能源的消纳能力、缓解电网调峰压力，积极探索</w:t>
      </w:r>
      <w:r>
        <w:rPr>
          <w:rFonts w:hint="eastAsia" w:ascii="仿宋_GB2312" w:eastAsia="仿宋_GB2312" w:cs="仿宋_GB2312"/>
          <w:color w:val="auto"/>
          <w:sz w:val="32"/>
          <w:szCs w:val="32"/>
        </w:rPr>
        <w:t>新型清洁能源电站开展风、光、火、生物质、储一体化电源建设。</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61" w:name="_Toc86233343"/>
      <w:r>
        <w:rPr>
          <w:rFonts w:hint="eastAsia" w:ascii="黑体" w:hAnsi="黑体" w:eastAsia="黑体" w:cs="黑体"/>
          <w:color w:val="auto"/>
          <w:sz w:val="32"/>
          <w:szCs w:val="32"/>
        </w:rPr>
        <w:t>三、做好规划衔接</w:t>
      </w:r>
      <w:bookmarkEnd w:id="61"/>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加强与国家、省相关规划的衔接，做好</w:t>
      </w:r>
      <w:r>
        <w:rPr>
          <w:rFonts w:hint="eastAsia" w:eastAsia="仿宋_GB2312" w:cs="仿宋_GB2312"/>
          <w:sz w:val="32"/>
          <w:szCs w:val="32"/>
        </w:rPr>
        <w:t>与辽宁省国土空间总体规划、抚顺市国民经济和社会发展十四五规划和抚顺市国土空间总体规划的协调对接，</w:t>
      </w:r>
      <w:r>
        <w:rPr>
          <w:rFonts w:hint="eastAsia" w:ascii="仿宋_GB2312" w:eastAsia="仿宋_GB2312" w:cs="仿宋_GB2312"/>
          <w:color w:val="auto"/>
          <w:sz w:val="32"/>
          <w:szCs w:val="32"/>
        </w:rPr>
        <w:t>统筹相关部门专项规划，加强统筹管理和衔接协调，形成科学完整的规划体系。加强规划分工落实，分解规划的主要目标和重点工作，确保全面完成本规划提出的各项任务。</w:t>
      </w:r>
      <w:r>
        <w:rPr>
          <w:rFonts w:hint="eastAsia" w:eastAsia="仿宋_GB2312" w:cs="仿宋_GB2312"/>
          <w:sz w:val="32"/>
          <w:szCs w:val="32"/>
        </w:rPr>
        <w:t>促进新型清洁能源开发利用的高质量发展。</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62" w:name="_Toc86233344"/>
      <w:bookmarkStart w:id="63" w:name="_Toc69378105"/>
      <w:r>
        <w:rPr>
          <w:rFonts w:hint="eastAsia" w:ascii="黑体" w:hAnsi="黑体" w:eastAsia="黑体" w:cs="黑体"/>
          <w:color w:val="auto"/>
          <w:sz w:val="32"/>
          <w:szCs w:val="32"/>
        </w:rPr>
        <w:t>四、强化要素保障</w:t>
      </w:r>
      <w:bookmarkEnd w:id="62"/>
      <w:bookmarkEnd w:id="63"/>
    </w:p>
    <w:p>
      <w:pPr>
        <w:snapToGrid w:val="0"/>
        <w:spacing w:line="579" w:lineRule="exact"/>
        <w:ind w:firstLine="640" w:firstLineChars="200"/>
      </w:pPr>
      <w:r>
        <w:rPr>
          <w:rFonts w:hint="eastAsia" w:eastAsia="仿宋_GB2312" w:cs="仿宋_GB2312"/>
          <w:sz w:val="32"/>
          <w:szCs w:val="32"/>
        </w:rPr>
        <w:t>强化土地要素保障，对县区及相关部门确定的重大新型清洁能源建设项目，在建设用地指标方面给予重点支持，指导地方按照有关规定合理利用采煤沉陷区、</w:t>
      </w:r>
      <w:r>
        <w:rPr>
          <w:rFonts w:hint="eastAsia" w:eastAsia="仿宋_GB2312" w:cs="仿宋_GB2312"/>
          <w:color w:val="auto"/>
          <w:kern w:val="0"/>
          <w:sz w:val="32"/>
          <w:szCs w:val="32"/>
        </w:rPr>
        <w:t>废弃矿区闲置土地</w:t>
      </w:r>
      <w:r>
        <w:rPr>
          <w:rFonts w:hint="eastAsia" w:eastAsia="仿宋_GB2312" w:cs="仿宋_GB2312"/>
          <w:sz w:val="32"/>
          <w:szCs w:val="32"/>
        </w:rPr>
        <w:t>、荒山荒坡、滩涂等资源建设新型清洁能源项目。强化资金要素保障，拓宽投融资渠道，创新适应新型清洁能源产业的融资方式和金融服务模式，</w:t>
      </w:r>
      <w:r>
        <w:rPr>
          <w:rFonts w:hint="eastAsia" w:ascii="仿宋_GB2312" w:eastAsia="仿宋_GB2312" w:cs="仿宋_GB2312"/>
          <w:color w:val="auto"/>
          <w:sz w:val="32"/>
          <w:szCs w:val="32"/>
        </w:rPr>
        <w:t>搭建银企对接合作平台，</w:t>
      </w:r>
      <w:r>
        <w:rPr>
          <w:rFonts w:hint="eastAsia" w:eastAsia="仿宋_GB2312" w:cs="仿宋_GB2312"/>
          <w:sz w:val="32"/>
          <w:szCs w:val="32"/>
        </w:rPr>
        <w:t>建立和完善新型清洁能源产业链企业信用担保体系，提高中小企业融资能力，扩大融资规模，采取多种手段保障资金需求。</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64" w:name="_Toc86233345"/>
      <w:bookmarkStart w:id="65" w:name="_Toc69378106"/>
      <w:r>
        <w:rPr>
          <w:rFonts w:hint="eastAsia" w:ascii="黑体" w:hAnsi="黑体" w:eastAsia="黑体" w:cs="黑体"/>
          <w:color w:val="auto"/>
          <w:sz w:val="32"/>
          <w:szCs w:val="32"/>
        </w:rPr>
        <w:t>五、完善市场环境</w:t>
      </w:r>
      <w:bookmarkEnd w:id="64"/>
      <w:bookmarkEnd w:id="65"/>
    </w:p>
    <w:p>
      <w:pPr>
        <w:spacing w:line="579" w:lineRule="exact"/>
        <w:ind w:firstLine="640" w:firstLineChars="200"/>
      </w:pPr>
      <w:r>
        <w:rPr>
          <w:rFonts w:hint="eastAsia" w:eastAsia="仿宋_GB2312" w:cs="仿宋_GB2312"/>
          <w:sz w:val="32"/>
          <w:szCs w:val="32"/>
        </w:rPr>
        <w:t>加强落实新型清洁能源税收、土地、贷款等方面的优惠政策，营造良好的投资环境，进一步引导社会投资转向新型清洁能源领域，充分发挥公共部门投资新型清洁能源的积极性，营造良好的投资环境吸引国际投资主体。发挥市场配置资源的作用，通过竞争配置方式组织建设项目，以此引领技术进步和产业升级，促进成本下降，减少补贴需求，适应国家新型清洁能源补贴退坡的形势，同时加强新型清洁能源开发利用市场的规范管理，着力营造有序竞争的市场环境。逐步建立完善的电力市场环境，积极衔接、有序推广国家可再生能源绿色电力证书交易，通过市场化方式部分解决可再生能源补贴问题。</w:t>
      </w:r>
      <w:bookmarkStart w:id="66" w:name="_Toc56945790"/>
      <w:bookmarkEnd w:id="66"/>
      <w:bookmarkStart w:id="67" w:name="_Toc56944444"/>
      <w:bookmarkEnd w:id="67"/>
      <w:bookmarkStart w:id="68" w:name="_Toc56943178"/>
      <w:bookmarkEnd w:id="68"/>
      <w:bookmarkStart w:id="69" w:name="_Toc56943179"/>
      <w:bookmarkEnd w:id="69"/>
      <w:bookmarkStart w:id="70" w:name="_Toc56945782"/>
      <w:bookmarkEnd w:id="70"/>
      <w:bookmarkStart w:id="71" w:name="_Toc56943176"/>
      <w:bookmarkEnd w:id="71"/>
      <w:bookmarkStart w:id="72" w:name="_Toc56947028"/>
      <w:bookmarkEnd w:id="72"/>
      <w:bookmarkStart w:id="73" w:name="_Toc56945786"/>
      <w:bookmarkEnd w:id="73"/>
      <w:bookmarkStart w:id="74" w:name="_Toc56959003"/>
      <w:bookmarkEnd w:id="74"/>
      <w:bookmarkStart w:id="75" w:name="_Toc56947027"/>
      <w:bookmarkEnd w:id="75"/>
      <w:bookmarkStart w:id="76" w:name="_Toc56947025"/>
      <w:bookmarkEnd w:id="76"/>
      <w:bookmarkStart w:id="77" w:name="_Toc56944445"/>
      <w:bookmarkEnd w:id="77"/>
      <w:bookmarkStart w:id="78" w:name="_Toc56959002"/>
      <w:bookmarkEnd w:id="78"/>
      <w:bookmarkStart w:id="79" w:name="_Toc56944443"/>
      <w:bookmarkEnd w:id="79"/>
      <w:bookmarkStart w:id="80" w:name="_Toc56947026"/>
      <w:bookmarkEnd w:id="80"/>
      <w:bookmarkStart w:id="81" w:name="_Toc56946954"/>
      <w:bookmarkEnd w:id="81"/>
      <w:bookmarkStart w:id="82" w:name="_Toc56959001"/>
      <w:bookmarkEnd w:id="82"/>
      <w:bookmarkStart w:id="83" w:name="_Toc56944442"/>
      <w:bookmarkEnd w:id="83"/>
      <w:bookmarkStart w:id="84" w:name="_Toc56946955"/>
      <w:bookmarkEnd w:id="84"/>
      <w:bookmarkStart w:id="85" w:name="_Toc56944446"/>
      <w:bookmarkEnd w:id="85"/>
      <w:bookmarkStart w:id="86" w:name="_Toc56943177"/>
      <w:bookmarkEnd w:id="86"/>
      <w:bookmarkStart w:id="87" w:name="_Toc56944447"/>
      <w:bookmarkEnd w:id="87"/>
      <w:bookmarkStart w:id="88" w:name="_Toc56943183"/>
      <w:bookmarkEnd w:id="88"/>
      <w:bookmarkStart w:id="89" w:name="_Toc56946961"/>
      <w:bookmarkEnd w:id="89"/>
      <w:bookmarkStart w:id="90" w:name="_Toc56944449"/>
      <w:bookmarkEnd w:id="90"/>
      <w:bookmarkStart w:id="91" w:name="_Toc56947024"/>
      <w:bookmarkEnd w:id="91"/>
      <w:bookmarkStart w:id="92" w:name="_Toc56946956"/>
      <w:bookmarkEnd w:id="92"/>
      <w:bookmarkStart w:id="93" w:name="_Toc56945788"/>
      <w:bookmarkEnd w:id="93"/>
      <w:bookmarkStart w:id="94" w:name="_Toc56944441"/>
      <w:bookmarkEnd w:id="94"/>
      <w:bookmarkStart w:id="95" w:name="_Toc56945783"/>
      <w:bookmarkEnd w:id="95"/>
      <w:bookmarkStart w:id="96" w:name="_Toc56943175"/>
      <w:bookmarkEnd w:id="96"/>
      <w:bookmarkStart w:id="97" w:name="_Toc56944440"/>
      <w:bookmarkEnd w:id="97"/>
      <w:bookmarkStart w:id="98" w:name="_Toc56943181"/>
      <w:bookmarkEnd w:id="98"/>
      <w:bookmarkStart w:id="99" w:name="_Toc56947032"/>
      <w:bookmarkEnd w:id="99"/>
      <w:bookmarkStart w:id="100" w:name="_Toc56958999"/>
      <w:bookmarkEnd w:id="100"/>
      <w:bookmarkStart w:id="101" w:name="_Toc56959006"/>
      <w:bookmarkEnd w:id="101"/>
      <w:bookmarkStart w:id="102" w:name="_Toc56946953"/>
      <w:bookmarkEnd w:id="102"/>
      <w:bookmarkStart w:id="103" w:name="_Toc56959008"/>
      <w:bookmarkEnd w:id="103"/>
      <w:bookmarkStart w:id="104" w:name="_Toc56947029"/>
      <w:bookmarkEnd w:id="104"/>
      <w:bookmarkStart w:id="105" w:name="_Toc56945785"/>
      <w:bookmarkEnd w:id="105"/>
      <w:bookmarkStart w:id="106" w:name="_Toc56944448"/>
      <w:bookmarkEnd w:id="106"/>
      <w:bookmarkStart w:id="107" w:name="_Toc56947031"/>
      <w:bookmarkEnd w:id="107"/>
      <w:bookmarkStart w:id="108" w:name="_Toc56946958"/>
      <w:bookmarkEnd w:id="108"/>
      <w:bookmarkStart w:id="109" w:name="_Toc56959009"/>
      <w:bookmarkEnd w:id="109"/>
      <w:bookmarkStart w:id="110" w:name="_Toc56946960"/>
      <w:bookmarkEnd w:id="110"/>
      <w:bookmarkStart w:id="111" w:name="_Toc56959004"/>
      <w:bookmarkEnd w:id="111"/>
      <w:bookmarkStart w:id="112" w:name="_Toc56946959"/>
      <w:bookmarkEnd w:id="112"/>
      <w:bookmarkStart w:id="113" w:name="_Toc56947023"/>
      <w:bookmarkEnd w:id="113"/>
      <w:bookmarkStart w:id="114" w:name="_Toc56959000"/>
      <w:bookmarkEnd w:id="114"/>
      <w:bookmarkStart w:id="115" w:name="_Toc56946952"/>
      <w:bookmarkEnd w:id="115"/>
      <w:bookmarkStart w:id="116" w:name="_Toc56943180"/>
      <w:bookmarkEnd w:id="116"/>
      <w:bookmarkStart w:id="117" w:name="_Toc56945789"/>
      <w:bookmarkEnd w:id="117"/>
      <w:bookmarkStart w:id="118" w:name="_Toc56947030"/>
      <w:bookmarkEnd w:id="118"/>
      <w:bookmarkStart w:id="119" w:name="_Toc56943182"/>
      <w:bookmarkEnd w:id="119"/>
      <w:bookmarkStart w:id="120" w:name="_Toc56943174"/>
      <w:bookmarkEnd w:id="120"/>
      <w:bookmarkStart w:id="121" w:name="_Toc56959007"/>
      <w:bookmarkEnd w:id="121"/>
      <w:bookmarkStart w:id="122" w:name="_Toc56959005"/>
      <w:bookmarkEnd w:id="122"/>
      <w:bookmarkStart w:id="123" w:name="_Toc56945787"/>
      <w:bookmarkEnd w:id="123"/>
      <w:bookmarkStart w:id="124" w:name="_Toc56946957"/>
      <w:bookmarkEnd w:id="124"/>
      <w:bookmarkStart w:id="125" w:name="_Toc56945784"/>
      <w:bookmarkEnd w:id="125"/>
      <w:bookmarkStart w:id="126" w:name="_Toc56945781"/>
      <w:bookmarkEnd w:id="126"/>
    </w:p>
    <w:p/>
    <w:p>
      <w:pPr>
        <w:widowControl/>
        <w:jc w:val="left"/>
        <w:rPr>
          <w:color w:val="auto"/>
          <w:sz w:val="24"/>
          <w:szCs w:val="24"/>
        </w:rPr>
      </w:pPr>
      <w:r>
        <w:rPr>
          <w:color w:val="auto"/>
          <w:sz w:val="24"/>
          <w:szCs w:val="24"/>
        </w:rPr>
        <w:br w:type="page"/>
      </w:r>
    </w:p>
    <w:bookmarkEnd w:id="58"/>
    <w:p>
      <w:pPr>
        <w:autoSpaceDE w:val="0"/>
        <w:autoSpaceDN w:val="0"/>
        <w:adjustRightInd w:val="0"/>
        <w:snapToGrid w:val="0"/>
        <w:spacing w:beforeLines="100" w:afterLines="100" w:line="360" w:lineRule="auto"/>
        <w:jc w:val="center"/>
        <w:outlineLvl w:val="0"/>
        <w:rPr>
          <w:rFonts w:ascii="仿宋_GB2312" w:eastAsia="仿宋_GB2312"/>
          <w:color w:val="auto"/>
          <w:sz w:val="32"/>
          <w:szCs w:val="32"/>
        </w:rPr>
      </w:pPr>
      <w:bookmarkStart w:id="127" w:name="_Toc86233346"/>
      <w:r>
        <w:rPr>
          <w:rFonts w:hint="eastAsia" w:ascii="仿宋_GB2312" w:eastAsia="仿宋_GB2312" w:cs="仿宋_GB2312"/>
          <w:color w:val="auto"/>
          <w:sz w:val="32"/>
          <w:szCs w:val="32"/>
        </w:rPr>
        <w:t>附件</w:t>
      </w:r>
      <w:r>
        <w:rPr>
          <w:rFonts w:ascii="仿宋_GB2312" w:eastAsia="仿宋_GB2312" w:cs="仿宋_GB2312"/>
          <w:color w:val="auto"/>
          <w:sz w:val="32"/>
          <w:szCs w:val="32"/>
        </w:rPr>
        <w:t>1</w:t>
      </w:r>
      <w:r>
        <w:rPr>
          <w:rFonts w:hint="eastAsia" w:ascii="仿宋_GB2312" w:eastAsia="仿宋_GB2312" w:cs="仿宋_GB2312"/>
          <w:color w:val="auto"/>
          <w:sz w:val="32"/>
          <w:szCs w:val="32"/>
        </w:rPr>
        <w:t>“十四五”新型清洁能源续建、新开工及包装策划项目清单</w:t>
      </w:r>
      <w:bookmarkEnd w:id="127"/>
    </w:p>
    <w:tbl>
      <w:tblPr>
        <w:tblStyle w:val="52"/>
        <w:tblW w:w="5001" w:type="pct"/>
        <w:tblInd w:w="2" w:type="dxa"/>
        <w:tblLayout w:type="fixed"/>
        <w:tblCellMar>
          <w:top w:w="0" w:type="dxa"/>
          <w:left w:w="108" w:type="dxa"/>
          <w:bottom w:w="0" w:type="dxa"/>
          <w:right w:w="108" w:type="dxa"/>
        </w:tblCellMar>
      </w:tblPr>
      <w:tblGrid>
        <w:gridCol w:w="470"/>
        <w:gridCol w:w="2585"/>
        <w:gridCol w:w="1004"/>
        <w:gridCol w:w="742"/>
        <w:gridCol w:w="1164"/>
        <w:gridCol w:w="1313"/>
        <w:gridCol w:w="1246"/>
      </w:tblGrid>
      <w:tr>
        <w:tblPrEx>
          <w:tblCellMar>
            <w:top w:w="0" w:type="dxa"/>
            <w:left w:w="108" w:type="dxa"/>
            <w:bottom w:w="0" w:type="dxa"/>
            <w:right w:w="108" w:type="dxa"/>
          </w:tblCellMar>
        </w:tblPrEx>
        <w:trPr>
          <w:trHeight w:val="1039" w:hRule="atLeast"/>
        </w:trPr>
        <w:tc>
          <w:tcPr>
            <w:tcW w:w="276" w:type="pct"/>
            <w:vMerge w:val="restart"/>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序号</w:t>
            </w:r>
          </w:p>
        </w:tc>
        <w:tc>
          <w:tcPr>
            <w:tcW w:w="1515" w:type="pct"/>
            <w:vMerge w:val="restart"/>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项目名称</w:t>
            </w:r>
          </w:p>
        </w:tc>
        <w:tc>
          <w:tcPr>
            <w:tcW w:w="588" w:type="pct"/>
            <w:vMerge w:val="restart"/>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项目地点</w:t>
            </w:r>
          </w:p>
        </w:tc>
        <w:tc>
          <w:tcPr>
            <w:tcW w:w="435" w:type="pct"/>
            <w:vMerge w:val="restart"/>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所属行业</w:t>
            </w:r>
          </w:p>
        </w:tc>
        <w:tc>
          <w:tcPr>
            <w:tcW w:w="682" w:type="pct"/>
            <w:vMerge w:val="restart"/>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装机容量（万千瓦）</w:t>
            </w:r>
          </w:p>
        </w:tc>
        <w:tc>
          <w:tcPr>
            <w:tcW w:w="769" w:type="pct"/>
            <w:vMerge w:val="restart"/>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总投资（万元）</w:t>
            </w:r>
          </w:p>
        </w:tc>
        <w:tc>
          <w:tcPr>
            <w:tcW w:w="730" w:type="pct"/>
            <w:vMerge w:val="restart"/>
            <w:tcBorders>
              <w:top w:val="single" w:color="auto" w:sz="4" w:space="0"/>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备注</w:t>
            </w:r>
          </w:p>
        </w:tc>
      </w:tr>
      <w:tr>
        <w:tblPrEx>
          <w:tblCellMar>
            <w:top w:w="0" w:type="dxa"/>
            <w:left w:w="108" w:type="dxa"/>
            <w:bottom w:w="0" w:type="dxa"/>
            <w:right w:w="108" w:type="dxa"/>
          </w:tblCellMar>
        </w:tblPrEx>
        <w:trPr>
          <w:trHeight w:val="414" w:hRule="atLeast"/>
        </w:trPr>
        <w:tc>
          <w:tcPr>
            <w:tcW w:w="276" w:type="pct"/>
            <w:vMerge w:val="continue"/>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p>
        </w:tc>
        <w:tc>
          <w:tcPr>
            <w:tcW w:w="1515" w:type="pct"/>
            <w:vMerge w:val="continue"/>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p>
        </w:tc>
        <w:tc>
          <w:tcPr>
            <w:tcW w:w="588" w:type="pct"/>
            <w:vMerge w:val="continue"/>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p>
        </w:tc>
        <w:tc>
          <w:tcPr>
            <w:tcW w:w="435" w:type="pct"/>
            <w:vMerge w:val="continue"/>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p>
        </w:tc>
        <w:tc>
          <w:tcPr>
            <w:tcW w:w="682" w:type="pct"/>
            <w:vMerge w:val="continue"/>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p>
        </w:tc>
        <w:tc>
          <w:tcPr>
            <w:tcW w:w="769" w:type="pct"/>
            <w:vMerge w:val="continue"/>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p>
        </w:tc>
        <w:tc>
          <w:tcPr>
            <w:tcW w:w="730" w:type="pct"/>
            <w:vMerge w:val="continue"/>
            <w:tcBorders>
              <w:top w:val="single" w:color="auto" w:sz="4" w:space="0"/>
              <w:left w:val="nil"/>
              <w:bottom w:val="single" w:color="auto" w:sz="4" w:space="0"/>
              <w:right w:val="single" w:color="auto" w:sz="4" w:space="0"/>
            </w:tcBorders>
            <w:vAlign w:val="center"/>
          </w:tcPr>
          <w:p>
            <w:pPr>
              <w:jc w:val="center"/>
              <w:rPr>
                <w:rFonts w:ascii="仿宋_GB2312" w:eastAsia="仿宋_GB2312"/>
                <w:color w:val="auto"/>
                <w:sz w:val="24"/>
                <w:szCs w:val="24"/>
              </w:rPr>
            </w:pPr>
          </w:p>
        </w:tc>
      </w:tr>
      <w:tr>
        <w:tblPrEx>
          <w:tblCellMar>
            <w:top w:w="0" w:type="dxa"/>
            <w:left w:w="108" w:type="dxa"/>
            <w:bottom w:w="0" w:type="dxa"/>
            <w:right w:w="108" w:type="dxa"/>
          </w:tblCellMar>
        </w:tblPrEx>
        <w:trPr>
          <w:trHeight w:val="79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合计（</w:t>
            </w:r>
            <w:r>
              <w:rPr>
                <w:rFonts w:ascii="仿宋_GB2312" w:eastAsia="仿宋_GB2312" w:cs="仿宋_GB2312"/>
                <w:color w:val="auto"/>
                <w:sz w:val="24"/>
                <w:szCs w:val="24"/>
              </w:rPr>
              <w:t>32</w:t>
            </w:r>
            <w:r>
              <w:rPr>
                <w:rFonts w:hint="eastAsia" w:ascii="仿宋_GB2312" w:eastAsia="仿宋_GB2312" w:cs="仿宋_GB2312"/>
                <w:color w:val="auto"/>
                <w:sz w:val="24"/>
                <w:szCs w:val="24"/>
              </w:rPr>
              <w:t>个）</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682" w:type="pct"/>
            <w:tcBorders>
              <w:top w:val="nil"/>
              <w:left w:val="nil"/>
              <w:bottom w:val="single" w:color="auto" w:sz="4" w:space="0"/>
              <w:right w:val="single" w:color="auto" w:sz="4" w:space="0"/>
            </w:tcBorders>
            <w:vAlign w:val="center"/>
          </w:tcPr>
          <w:p>
            <w:pPr>
              <w:jc w:val="left"/>
              <w:rPr>
                <w:rFonts w:ascii="仿宋_GB2312" w:eastAsia="仿宋_GB2312" w:cs="仿宋_GB2312"/>
                <w:color w:val="auto"/>
                <w:sz w:val="24"/>
                <w:szCs w:val="24"/>
              </w:rPr>
            </w:pPr>
            <w:r>
              <w:rPr>
                <w:rFonts w:hint="eastAsia" w:ascii="仿宋_GB2312" w:eastAsia="仿宋_GB2312" w:cs="仿宋_GB2312"/>
                <w:color w:val="auto"/>
                <w:sz w:val="24"/>
                <w:szCs w:val="24"/>
              </w:rPr>
              <w:t>　</w:t>
            </w:r>
            <w:r>
              <w:rPr>
                <w:rFonts w:ascii="仿宋_GB2312" w:eastAsia="仿宋_GB2312" w:cs="仿宋_GB2312"/>
                <w:color w:val="auto"/>
                <w:sz w:val="24"/>
                <w:szCs w:val="24"/>
              </w:rPr>
              <w:t>749</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4540099</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79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一、续建项目（</w:t>
            </w:r>
            <w:r>
              <w:rPr>
                <w:rFonts w:ascii="仿宋_GB2312" w:eastAsia="仿宋_GB2312" w:cs="仿宋_GB2312"/>
                <w:color w:val="auto"/>
                <w:sz w:val="24"/>
                <w:szCs w:val="24"/>
              </w:rPr>
              <w:t>4</w:t>
            </w:r>
            <w:r>
              <w:rPr>
                <w:rFonts w:hint="eastAsia" w:ascii="仿宋_GB2312" w:eastAsia="仿宋_GB2312" w:cs="仿宋_GB2312"/>
                <w:color w:val="auto"/>
                <w:sz w:val="24"/>
                <w:szCs w:val="24"/>
              </w:rPr>
              <w:t>个）</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ascii="仿宋_GB2312" w:eastAsia="仿宋_GB2312" w:cs="仿宋_GB2312"/>
                <w:color w:val="auto"/>
                <w:sz w:val="24"/>
                <w:szCs w:val="24"/>
              </w:rPr>
              <w:t>203</w:t>
            </w:r>
            <w:r>
              <w:rPr>
                <w:rFonts w:hint="eastAsia" w:ascii="仿宋_GB2312" w:eastAsia="仿宋_GB2312" w:cs="仿宋_GB2312"/>
                <w:color w:val="auto"/>
                <w:sz w:val="24"/>
                <w:szCs w:val="24"/>
              </w:rPr>
              <w:t>　</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1228783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抚顺市城市生活垃圾焚烧发电项目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望花区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生物质</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57500</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抚矿集团</w:t>
            </w:r>
            <w:r>
              <w:rPr>
                <w:rFonts w:ascii="仿宋_GB2312" w:eastAsia="仿宋_GB2312" w:cs="仿宋_GB2312"/>
                <w:color w:val="auto"/>
                <w:sz w:val="24"/>
                <w:szCs w:val="24"/>
              </w:rPr>
              <w:t>100MW</w:t>
            </w:r>
            <w:r>
              <w:rPr>
                <w:rFonts w:hint="eastAsia" w:ascii="仿宋_GB2312" w:eastAsia="仿宋_GB2312" w:cs="仿宋_GB2312"/>
                <w:color w:val="auto"/>
                <w:sz w:val="24"/>
                <w:szCs w:val="24"/>
              </w:rPr>
              <w:t>光伏发电项目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望花区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41256</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晶科电力</w:t>
            </w:r>
            <w:r>
              <w:rPr>
                <w:rFonts w:ascii="仿宋_GB2312" w:eastAsia="仿宋_GB2312" w:cs="仿宋_GB2312"/>
                <w:color w:val="auto"/>
                <w:sz w:val="24"/>
                <w:szCs w:val="24"/>
              </w:rPr>
              <w:t>100MW</w:t>
            </w:r>
            <w:r>
              <w:rPr>
                <w:rFonts w:hint="eastAsia" w:ascii="仿宋_GB2312" w:eastAsia="仿宋_GB2312" w:cs="仿宋_GB2312"/>
                <w:color w:val="auto"/>
                <w:sz w:val="24"/>
                <w:szCs w:val="24"/>
              </w:rPr>
              <w:t>光伏发电项目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望花区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40026.79</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4</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辽宁清原抽水蓄能电站项目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清原县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抽水蓄能</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180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1090000</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799" w:hRule="atLeast"/>
        </w:trPr>
        <w:tc>
          <w:tcPr>
            <w:tcW w:w="276" w:type="pct"/>
            <w:tcBorders>
              <w:top w:val="nil"/>
              <w:left w:val="single" w:color="auto" w:sz="4" w:space="0"/>
              <w:bottom w:val="single" w:color="auto" w:sz="4" w:space="0"/>
              <w:right w:val="single" w:color="auto" w:sz="4" w:space="0"/>
            </w:tcBorders>
            <w:noWrap/>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1515" w:type="pct"/>
            <w:tcBorders>
              <w:top w:val="nil"/>
              <w:left w:val="nil"/>
              <w:bottom w:val="single" w:color="auto" w:sz="4" w:space="0"/>
              <w:right w:val="single" w:color="auto" w:sz="4" w:space="0"/>
            </w:tcBorders>
            <w:noWrap/>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二、新开工项目（</w:t>
            </w:r>
            <w:r>
              <w:rPr>
                <w:rFonts w:ascii="仿宋_GB2312" w:eastAsia="仿宋_GB2312" w:cs="仿宋_GB2312"/>
                <w:color w:val="auto"/>
                <w:sz w:val="24"/>
                <w:szCs w:val="24"/>
              </w:rPr>
              <w:t>5</w:t>
            </w:r>
            <w:r>
              <w:rPr>
                <w:rFonts w:hint="eastAsia" w:ascii="仿宋_GB2312" w:eastAsia="仿宋_GB2312" w:cs="仿宋_GB2312"/>
                <w:color w:val="auto"/>
                <w:sz w:val="24"/>
                <w:szCs w:val="24"/>
              </w:rPr>
              <w:t>个）</w:t>
            </w:r>
          </w:p>
        </w:tc>
        <w:tc>
          <w:tcPr>
            <w:tcW w:w="588" w:type="pct"/>
            <w:tcBorders>
              <w:top w:val="nil"/>
              <w:left w:val="nil"/>
              <w:bottom w:val="single" w:color="auto" w:sz="4" w:space="0"/>
              <w:right w:val="single" w:color="auto" w:sz="4" w:space="0"/>
            </w:tcBorders>
            <w:noWrap/>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435" w:type="pct"/>
            <w:tcBorders>
              <w:top w:val="nil"/>
              <w:left w:val="nil"/>
              <w:bottom w:val="single" w:color="auto" w:sz="4" w:space="0"/>
              <w:right w:val="single" w:color="auto" w:sz="4" w:space="0"/>
            </w:tcBorders>
            <w:noWrap/>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682" w:type="pct"/>
            <w:tcBorders>
              <w:top w:val="nil"/>
              <w:left w:val="nil"/>
              <w:bottom w:val="single" w:color="auto" w:sz="4" w:space="0"/>
              <w:right w:val="single" w:color="auto" w:sz="4" w:space="0"/>
            </w:tcBorders>
            <w:noWrap/>
            <w:vAlign w:val="center"/>
          </w:tcPr>
          <w:p>
            <w:pPr>
              <w:jc w:val="center"/>
              <w:rPr>
                <w:rFonts w:ascii="仿宋_GB2312" w:eastAsia="仿宋_GB2312"/>
                <w:color w:val="auto"/>
                <w:sz w:val="24"/>
                <w:szCs w:val="24"/>
              </w:rPr>
            </w:pPr>
            <w:r>
              <w:rPr>
                <w:rFonts w:ascii="仿宋_GB2312" w:eastAsia="仿宋_GB2312" w:cs="仿宋_GB2312"/>
                <w:color w:val="auto"/>
                <w:sz w:val="24"/>
                <w:szCs w:val="24"/>
              </w:rPr>
              <w:t>28</w:t>
            </w:r>
            <w:r>
              <w:rPr>
                <w:rFonts w:hint="eastAsia" w:ascii="仿宋_GB2312" w:eastAsia="仿宋_GB2312" w:cs="仿宋_GB2312"/>
                <w:color w:val="auto"/>
                <w:sz w:val="24"/>
                <w:szCs w:val="24"/>
              </w:rPr>
              <w:t>　</w:t>
            </w:r>
          </w:p>
        </w:tc>
        <w:tc>
          <w:tcPr>
            <w:tcW w:w="769" w:type="pct"/>
            <w:tcBorders>
              <w:top w:val="nil"/>
              <w:left w:val="nil"/>
              <w:bottom w:val="single" w:color="auto" w:sz="4" w:space="0"/>
              <w:right w:val="single" w:color="auto" w:sz="4" w:space="0"/>
            </w:tcBorders>
            <w:noWrap/>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136116</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5</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抚矿集团西舍场另外</w:t>
            </w:r>
            <w:r>
              <w:rPr>
                <w:rFonts w:ascii="仿宋_GB2312" w:eastAsia="仿宋_GB2312" w:cs="仿宋_GB2312"/>
                <w:color w:val="auto"/>
                <w:sz w:val="24"/>
                <w:szCs w:val="24"/>
              </w:rPr>
              <w:t>10</w:t>
            </w:r>
            <w:r>
              <w:rPr>
                <w:rFonts w:hint="eastAsia" w:ascii="仿宋_GB2312" w:eastAsia="仿宋_GB2312" w:cs="仿宋_GB2312"/>
                <w:color w:val="auto"/>
                <w:sz w:val="24"/>
                <w:szCs w:val="24"/>
              </w:rPr>
              <w:t>万千瓦光伏项目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望花区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40000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6</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西舍场外新选址</w:t>
            </w:r>
            <w:r>
              <w:rPr>
                <w:rFonts w:ascii="仿宋_GB2312" w:eastAsia="仿宋_GB2312" w:cs="仿宋_GB2312"/>
                <w:color w:val="auto"/>
                <w:sz w:val="24"/>
                <w:szCs w:val="24"/>
              </w:rPr>
              <w:t>10</w:t>
            </w:r>
            <w:r>
              <w:rPr>
                <w:rFonts w:hint="eastAsia" w:ascii="仿宋_GB2312" w:eastAsia="仿宋_GB2312" w:cs="仿宋_GB2312"/>
                <w:color w:val="auto"/>
                <w:sz w:val="24"/>
                <w:szCs w:val="24"/>
              </w:rPr>
              <w:t>万千瓦光伏项目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新抚区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40000</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7</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中能建投清原</w:t>
            </w:r>
            <w:r>
              <w:rPr>
                <w:rFonts w:ascii="仿宋_GB2312" w:eastAsia="仿宋_GB2312" w:cs="仿宋_GB2312"/>
                <w:color w:val="auto"/>
                <w:sz w:val="24"/>
                <w:szCs w:val="24"/>
              </w:rPr>
              <w:t>40MW</w:t>
            </w:r>
            <w:r>
              <w:rPr>
                <w:rFonts w:hint="eastAsia" w:ascii="仿宋_GB2312" w:eastAsia="仿宋_GB2312" w:cs="仿宋_GB2312"/>
                <w:color w:val="auto"/>
                <w:sz w:val="24"/>
                <w:szCs w:val="24"/>
              </w:rPr>
              <w:t>生物质热电联产项目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清原县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生物质</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4</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40000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8</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清原东仪光伏发电项目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清原县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8000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9</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抚矿南舍场二期平价光伏项目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东洲区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8116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799" w:hRule="atLeast"/>
        </w:trPr>
        <w:tc>
          <w:tcPr>
            <w:tcW w:w="276" w:type="pct"/>
            <w:tcBorders>
              <w:top w:val="nil"/>
              <w:left w:val="single" w:color="auto" w:sz="4" w:space="0"/>
              <w:bottom w:val="single" w:color="auto" w:sz="4" w:space="0"/>
              <w:right w:val="single" w:color="auto" w:sz="4" w:space="0"/>
            </w:tcBorders>
            <w:noWrap/>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1515" w:type="pct"/>
            <w:tcBorders>
              <w:top w:val="nil"/>
              <w:left w:val="nil"/>
              <w:bottom w:val="single" w:color="auto" w:sz="4" w:space="0"/>
              <w:right w:val="single" w:color="auto" w:sz="4" w:space="0"/>
            </w:tcBorders>
            <w:noWrap/>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三、储备项目（</w:t>
            </w:r>
            <w:r>
              <w:rPr>
                <w:rFonts w:ascii="仿宋_GB2312" w:eastAsia="仿宋_GB2312" w:cs="仿宋_GB2312"/>
                <w:color w:val="auto"/>
                <w:sz w:val="24"/>
                <w:szCs w:val="24"/>
              </w:rPr>
              <w:t>23</w:t>
            </w:r>
            <w:r>
              <w:rPr>
                <w:rFonts w:hint="eastAsia" w:ascii="仿宋_GB2312" w:eastAsia="仿宋_GB2312" w:cs="仿宋_GB2312"/>
                <w:color w:val="auto"/>
                <w:sz w:val="24"/>
                <w:szCs w:val="24"/>
              </w:rPr>
              <w:t>个）</w:t>
            </w:r>
          </w:p>
        </w:tc>
        <w:tc>
          <w:tcPr>
            <w:tcW w:w="588" w:type="pct"/>
            <w:tcBorders>
              <w:top w:val="nil"/>
              <w:left w:val="nil"/>
              <w:bottom w:val="single" w:color="auto" w:sz="4" w:space="0"/>
              <w:right w:val="single" w:color="auto" w:sz="4" w:space="0"/>
            </w:tcBorders>
            <w:noWrap/>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435" w:type="pct"/>
            <w:tcBorders>
              <w:top w:val="nil"/>
              <w:left w:val="nil"/>
              <w:bottom w:val="single" w:color="auto" w:sz="4" w:space="0"/>
              <w:right w:val="single" w:color="auto" w:sz="4" w:space="0"/>
            </w:tcBorders>
            <w:noWrap/>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682" w:type="pct"/>
            <w:tcBorders>
              <w:top w:val="nil"/>
              <w:left w:val="nil"/>
              <w:bottom w:val="single" w:color="auto" w:sz="4" w:space="0"/>
              <w:right w:val="single" w:color="auto" w:sz="4" w:space="0"/>
            </w:tcBorders>
            <w:noWrap/>
            <w:vAlign w:val="center"/>
          </w:tcPr>
          <w:p>
            <w:pPr>
              <w:jc w:val="center"/>
              <w:rPr>
                <w:rFonts w:ascii="仿宋_GB2312" w:eastAsia="仿宋_GB2312"/>
                <w:color w:val="auto"/>
                <w:sz w:val="24"/>
                <w:szCs w:val="24"/>
              </w:rPr>
            </w:pPr>
            <w:r>
              <w:rPr>
                <w:rFonts w:ascii="仿宋_GB2312" w:eastAsia="仿宋_GB2312" w:cs="仿宋_GB2312"/>
                <w:color w:val="auto"/>
                <w:sz w:val="24"/>
                <w:szCs w:val="24"/>
              </w:rPr>
              <w:t>518</w:t>
            </w:r>
            <w:r>
              <w:rPr>
                <w:rFonts w:hint="eastAsia" w:ascii="仿宋_GB2312" w:eastAsia="仿宋_GB2312" w:cs="仿宋_GB2312"/>
                <w:color w:val="auto"/>
                <w:sz w:val="24"/>
                <w:szCs w:val="24"/>
              </w:rPr>
              <w:t>　</w:t>
            </w:r>
          </w:p>
        </w:tc>
        <w:tc>
          <w:tcPr>
            <w:tcW w:w="769" w:type="pct"/>
            <w:tcBorders>
              <w:top w:val="nil"/>
              <w:left w:val="nil"/>
              <w:bottom w:val="single" w:color="auto" w:sz="4" w:space="0"/>
              <w:right w:val="single" w:color="auto" w:sz="4" w:space="0"/>
            </w:tcBorders>
            <w:noWrap/>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3175200</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抚顺县</w:t>
            </w:r>
            <w:r>
              <w:rPr>
                <w:rFonts w:ascii="仿宋_GB2312" w:eastAsia="仿宋_GB2312" w:cs="仿宋_GB2312"/>
                <w:color w:val="auto"/>
                <w:sz w:val="24"/>
                <w:szCs w:val="24"/>
              </w:rPr>
              <w:t>200MW</w:t>
            </w:r>
            <w:r>
              <w:rPr>
                <w:rFonts w:hint="eastAsia" w:ascii="仿宋_GB2312" w:eastAsia="仿宋_GB2312" w:cs="仿宋_GB2312"/>
                <w:color w:val="auto"/>
                <w:sz w:val="24"/>
                <w:szCs w:val="24"/>
              </w:rPr>
              <w:t>平价示范风电项目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风电</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160000</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正在推进前期工作</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11</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抚顺市千金乡风力发电项目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新抚区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风电</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160000</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正在推进前期工作</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12</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抚顺上电东洲兰山乡风力发电项目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东洲区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风电</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60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380000</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正在推进前期工作</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13</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抚顺市采煤沉陷区生态综合治理光伏发电项目一期</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新抚区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40000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正在推进前期工作</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14</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抚顺市采煤沉陷区生态综合治理光伏发电项目二期</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新抚区、东洲区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40000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正在推进前期工作</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15</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辽宁大唐清原县红透山镇</w:t>
            </w:r>
            <w:r>
              <w:rPr>
                <w:rFonts w:ascii="仿宋_GB2312" w:eastAsia="仿宋_GB2312" w:cs="仿宋_GB2312"/>
                <w:color w:val="auto"/>
                <w:sz w:val="24"/>
                <w:szCs w:val="24"/>
              </w:rPr>
              <w:t>200MW</w:t>
            </w:r>
            <w:r>
              <w:rPr>
                <w:rFonts w:hint="eastAsia" w:ascii="仿宋_GB2312" w:eastAsia="仿宋_GB2312" w:cs="仿宋_GB2312"/>
                <w:color w:val="auto"/>
                <w:sz w:val="24"/>
                <w:szCs w:val="24"/>
              </w:rPr>
              <w:t>农光互补光伏发电项目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清原县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92000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正在推进前期工作</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16</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辽宁清原抽水蓄能电站二期</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清原县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抽水蓄能</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120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710000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正在推进前期工作</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17</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中能建投红透山</w:t>
            </w:r>
            <w:r>
              <w:rPr>
                <w:rFonts w:ascii="仿宋_GB2312" w:eastAsia="仿宋_GB2312" w:cs="仿宋_GB2312"/>
                <w:color w:val="auto"/>
                <w:sz w:val="24"/>
                <w:szCs w:val="24"/>
              </w:rPr>
              <w:t>100MW</w:t>
            </w:r>
            <w:r>
              <w:rPr>
                <w:rFonts w:hint="eastAsia" w:ascii="仿宋_GB2312" w:eastAsia="仿宋_GB2312" w:cs="仿宋_GB2312"/>
                <w:color w:val="auto"/>
                <w:sz w:val="24"/>
                <w:szCs w:val="24"/>
              </w:rPr>
              <w:t>综合治理光伏发电项目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清原县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40000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正在推进前期工作</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18</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抚顺市新宾县旺清门镇</w:t>
            </w:r>
            <w:r>
              <w:rPr>
                <w:rFonts w:ascii="仿宋_GB2312" w:eastAsia="仿宋_GB2312" w:cs="仿宋_GB2312"/>
                <w:color w:val="auto"/>
                <w:sz w:val="24"/>
                <w:szCs w:val="24"/>
              </w:rPr>
              <w:t>100MW</w:t>
            </w:r>
            <w:r>
              <w:rPr>
                <w:rFonts w:hint="eastAsia" w:ascii="仿宋_GB2312" w:eastAsia="仿宋_GB2312" w:cs="仿宋_GB2312"/>
                <w:color w:val="auto"/>
                <w:sz w:val="24"/>
                <w:szCs w:val="24"/>
              </w:rPr>
              <w:t>光伏发电项目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新宾县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40000</w:t>
            </w:r>
          </w:p>
        </w:tc>
        <w:tc>
          <w:tcPr>
            <w:tcW w:w="730" w:type="pct"/>
            <w:vMerge w:val="restar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均为农光互补项目，目前不符合省发改委提出的地类（矿区废弃地、确权的滩涂和荒漠化土地）要求，已基本完成项目申请报告编制，部分项目取得相关部门支持意见，待省政策放宽后可进一步争取</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19</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抚顺市新宾县刘家村</w:t>
            </w:r>
            <w:r>
              <w:rPr>
                <w:rFonts w:ascii="仿宋_GB2312" w:eastAsia="仿宋_GB2312" w:cs="仿宋_GB2312"/>
                <w:color w:val="auto"/>
                <w:sz w:val="24"/>
                <w:szCs w:val="24"/>
              </w:rPr>
              <w:t>200MW</w:t>
            </w:r>
            <w:r>
              <w:rPr>
                <w:rFonts w:hint="eastAsia" w:ascii="仿宋_GB2312" w:eastAsia="仿宋_GB2312" w:cs="仿宋_GB2312"/>
                <w:color w:val="auto"/>
                <w:sz w:val="24"/>
                <w:szCs w:val="24"/>
              </w:rPr>
              <w:t>光伏发电项目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新宾县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80000</w:t>
            </w:r>
          </w:p>
        </w:tc>
        <w:tc>
          <w:tcPr>
            <w:tcW w:w="730" w:type="pct"/>
            <w:vMerge w:val="continue"/>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20</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抚顺市新宾县下夹河乡</w:t>
            </w:r>
            <w:r>
              <w:rPr>
                <w:rFonts w:ascii="仿宋_GB2312" w:eastAsia="仿宋_GB2312" w:cs="仿宋_GB2312"/>
                <w:color w:val="auto"/>
                <w:sz w:val="24"/>
                <w:szCs w:val="24"/>
              </w:rPr>
              <w:t>10</w:t>
            </w:r>
            <w:r>
              <w:rPr>
                <w:rFonts w:hint="eastAsia" w:ascii="仿宋_GB2312" w:eastAsia="仿宋_GB2312" w:cs="仿宋_GB2312"/>
                <w:color w:val="auto"/>
                <w:sz w:val="24"/>
                <w:szCs w:val="24"/>
              </w:rPr>
              <w:t>万千瓦光伏发电项目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新宾县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40000 </w:t>
            </w:r>
          </w:p>
        </w:tc>
        <w:tc>
          <w:tcPr>
            <w:tcW w:w="730" w:type="pct"/>
            <w:vMerge w:val="continue"/>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21</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抚顺市新宾县永陵镇</w:t>
            </w:r>
            <w:r>
              <w:rPr>
                <w:rFonts w:ascii="仿宋_GB2312" w:eastAsia="仿宋_GB2312" w:cs="仿宋_GB2312"/>
                <w:color w:val="auto"/>
                <w:sz w:val="24"/>
                <w:szCs w:val="24"/>
              </w:rPr>
              <w:t>200MW</w:t>
            </w:r>
            <w:r>
              <w:rPr>
                <w:rFonts w:hint="eastAsia" w:ascii="仿宋_GB2312" w:eastAsia="仿宋_GB2312" w:cs="仿宋_GB2312"/>
                <w:color w:val="auto"/>
                <w:sz w:val="24"/>
                <w:szCs w:val="24"/>
              </w:rPr>
              <w:t>光伏发电项目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新宾县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80000</w:t>
            </w:r>
          </w:p>
        </w:tc>
        <w:tc>
          <w:tcPr>
            <w:tcW w:w="730" w:type="pct"/>
            <w:vMerge w:val="continue"/>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22</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抚顺市新宾县苇子峪镇</w:t>
            </w:r>
            <w:r>
              <w:rPr>
                <w:rFonts w:ascii="仿宋_GB2312" w:eastAsia="仿宋_GB2312" w:cs="仿宋_GB2312"/>
                <w:color w:val="auto"/>
                <w:sz w:val="24"/>
                <w:szCs w:val="24"/>
              </w:rPr>
              <w:t>20</w:t>
            </w:r>
            <w:r>
              <w:rPr>
                <w:rFonts w:hint="eastAsia" w:ascii="仿宋_GB2312" w:eastAsia="仿宋_GB2312" w:cs="仿宋_GB2312"/>
                <w:color w:val="auto"/>
                <w:sz w:val="24"/>
                <w:szCs w:val="24"/>
              </w:rPr>
              <w:t>万千瓦光伏发电项目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新宾县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80000</w:t>
            </w:r>
          </w:p>
        </w:tc>
        <w:tc>
          <w:tcPr>
            <w:tcW w:w="730" w:type="pct"/>
            <w:vMerge w:val="continue"/>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23</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抚顺市东洲区</w:t>
            </w:r>
            <w:r>
              <w:rPr>
                <w:rFonts w:ascii="仿宋_GB2312" w:eastAsia="仿宋_GB2312" w:cs="仿宋_GB2312"/>
                <w:color w:val="auto"/>
                <w:sz w:val="24"/>
                <w:szCs w:val="24"/>
              </w:rPr>
              <w:t>250MW</w:t>
            </w:r>
            <w:r>
              <w:rPr>
                <w:rFonts w:hint="eastAsia" w:ascii="仿宋_GB2312" w:eastAsia="仿宋_GB2312" w:cs="仿宋_GB2312"/>
                <w:color w:val="auto"/>
                <w:sz w:val="24"/>
                <w:szCs w:val="24"/>
              </w:rPr>
              <w:t>多能互补</w:t>
            </w:r>
            <w:r>
              <w:rPr>
                <w:rFonts w:ascii="仿宋_GB2312" w:eastAsia="仿宋_GB2312" w:cs="仿宋_GB2312"/>
                <w:color w:val="auto"/>
                <w:sz w:val="24"/>
                <w:szCs w:val="24"/>
              </w:rPr>
              <w:t>+</w:t>
            </w:r>
            <w:r>
              <w:rPr>
                <w:rFonts w:hint="eastAsia" w:ascii="仿宋_GB2312" w:eastAsia="仿宋_GB2312" w:cs="仿宋_GB2312"/>
                <w:color w:val="auto"/>
                <w:sz w:val="24"/>
                <w:szCs w:val="24"/>
              </w:rPr>
              <w:t>特色旅游一体化发电示范项目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东洲区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两个一体化</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25</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117700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初步达到可研水平</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24</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中信泰富抚顺</w:t>
            </w:r>
            <w:r>
              <w:rPr>
                <w:rFonts w:ascii="仿宋_GB2312" w:eastAsia="仿宋_GB2312" w:cs="仿宋_GB2312"/>
                <w:color w:val="auto"/>
                <w:sz w:val="24"/>
                <w:szCs w:val="24"/>
              </w:rPr>
              <w:t>300MW</w:t>
            </w:r>
            <w:r>
              <w:rPr>
                <w:rFonts w:hint="eastAsia" w:ascii="仿宋_GB2312" w:eastAsia="仿宋_GB2312" w:cs="仿宋_GB2312"/>
                <w:color w:val="auto"/>
                <w:sz w:val="24"/>
                <w:szCs w:val="24"/>
              </w:rPr>
              <w:t>电网友好型“源网荷储”一体化项目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两个一体化</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211800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初步达到可研水平</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25</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抚顺县救兵</w:t>
            </w:r>
            <w:r>
              <w:rPr>
                <w:rFonts w:ascii="仿宋_GB2312" w:eastAsia="仿宋_GB2312" w:cs="仿宋_GB2312"/>
                <w:color w:val="auto"/>
                <w:sz w:val="24"/>
                <w:szCs w:val="24"/>
              </w:rPr>
              <w:t>30</w:t>
            </w:r>
            <w:r>
              <w:rPr>
                <w:rFonts w:hint="eastAsia" w:ascii="仿宋_GB2312" w:eastAsia="仿宋_GB2312" w:cs="仿宋_GB2312"/>
                <w:color w:val="auto"/>
                <w:sz w:val="24"/>
                <w:szCs w:val="24"/>
              </w:rPr>
              <w:t>兆瓦生物质热电联产项目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生物质</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30000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26</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抚顺清原草市镇</w:t>
            </w:r>
            <w:r>
              <w:rPr>
                <w:rFonts w:ascii="仿宋_GB2312" w:eastAsia="仿宋_GB2312" w:cs="仿宋_GB2312"/>
                <w:color w:val="auto"/>
                <w:sz w:val="24"/>
                <w:szCs w:val="24"/>
              </w:rPr>
              <w:t>0.3</w:t>
            </w:r>
            <w:r>
              <w:rPr>
                <w:rFonts w:hint="eastAsia" w:ascii="仿宋_GB2312" w:eastAsia="仿宋_GB2312" w:cs="仿宋_GB2312"/>
                <w:color w:val="auto"/>
                <w:sz w:val="24"/>
                <w:szCs w:val="24"/>
              </w:rPr>
              <w:t>万千瓦生物质热电联产项目</w:t>
            </w:r>
          </w:p>
        </w:tc>
        <w:tc>
          <w:tcPr>
            <w:tcW w:w="588" w:type="pct"/>
            <w:tcBorders>
              <w:top w:val="nil"/>
              <w:left w:val="nil"/>
              <w:bottom w:val="single" w:color="auto" w:sz="4" w:space="0"/>
              <w:right w:val="single" w:color="auto" w:sz="4" w:space="0"/>
            </w:tcBorders>
            <w:vAlign w:val="center"/>
          </w:tcPr>
          <w:p>
            <w:pPr>
              <w:jc w:val="center"/>
            </w:pPr>
            <w:r>
              <w:rPr>
                <w:rFonts w:hint="eastAsia" w:ascii="仿宋_GB2312" w:eastAsia="仿宋_GB2312" w:cs="仿宋_GB2312"/>
                <w:color w:val="auto"/>
                <w:sz w:val="24"/>
                <w:szCs w:val="24"/>
              </w:rPr>
              <w:t>清原县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生物质</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0.3</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4000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27</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抚顺清原夏家堡镇</w:t>
            </w:r>
            <w:r>
              <w:rPr>
                <w:rFonts w:ascii="仿宋_GB2312" w:eastAsia="仿宋_GB2312" w:cs="仿宋_GB2312"/>
                <w:color w:val="auto"/>
                <w:sz w:val="24"/>
                <w:szCs w:val="24"/>
              </w:rPr>
              <w:t>1</w:t>
            </w:r>
            <w:r>
              <w:rPr>
                <w:rFonts w:hint="eastAsia" w:ascii="仿宋_GB2312" w:eastAsia="仿宋_GB2312" w:cs="仿宋_GB2312"/>
                <w:color w:val="auto"/>
                <w:sz w:val="24"/>
                <w:szCs w:val="24"/>
              </w:rPr>
              <w:t>万千瓦生物质热电联产项目</w:t>
            </w:r>
          </w:p>
        </w:tc>
        <w:tc>
          <w:tcPr>
            <w:tcW w:w="588" w:type="pct"/>
            <w:tcBorders>
              <w:top w:val="nil"/>
              <w:left w:val="nil"/>
              <w:bottom w:val="single" w:color="auto" w:sz="4" w:space="0"/>
              <w:right w:val="single" w:color="auto" w:sz="4" w:space="0"/>
            </w:tcBorders>
            <w:vAlign w:val="center"/>
          </w:tcPr>
          <w:p>
            <w:pPr>
              <w:jc w:val="center"/>
            </w:pPr>
            <w:r>
              <w:rPr>
                <w:rFonts w:hint="eastAsia" w:ascii="仿宋_GB2312" w:eastAsia="仿宋_GB2312" w:cs="仿宋_GB2312"/>
                <w:color w:val="auto"/>
                <w:sz w:val="24"/>
                <w:szCs w:val="24"/>
              </w:rPr>
              <w:t>清原县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生物质</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10000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28</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抚顺清原湾甸子镇</w:t>
            </w:r>
            <w:r>
              <w:rPr>
                <w:rFonts w:ascii="仿宋_GB2312" w:eastAsia="仿宋_GB2312" w:cs="仿宋_GB2312"/>
                <w:color w:val="auto"/>
                <w:sz w:val="24"/>
                <w:szCs w:val="24"/>
              </w:rPr>
              <w:t>1</w:t>
            </w:r>
            <w:r>
              <w:rPr>
                <w:rFonts w:hint="eastAsia" w:ascii="仿宋_GB2312" w:eastAsia="仿宋_GB2312" w:cs="仿宋_GB2312"/>
                <w:color w:val="auto"/>
                <w:sz w:val="24"/>
                <w:szCs w:val="24"/>
              </w:rPr>
              <w:t>万千瓦生物质热电联产项目</w:t>
            </w:r>
          </w:p>
        </w:tc>
        <w:tc>
          <w:tcPr>
            <w:tcW w:w="588" w:type="pct"/>
            <w:tcBorders>
              <w:top w:val="nil"/>
              <w:left w:val="nil"/>
              <w:bottom w:val="single" w:color="auto" w:sz="4" w:space="0"/>
              <w:right w:val="single" w:color="auto" w:sz="4" w:space="0"/>
            </w:tcBorders>
            <w:vAlign w:val="center"/>
          </w:tcPr>
          <w:p>
            <w:pPr>
              <w:jc w:val="center"/>
            </w:pPr>
            <w:r>
              <w:rPr>
                <w:rFonts w:hint="eastAsia" w:ascii="仿宋_GB2312" w:eastAsia="仿宋_GB2312" w:cs="仿宋_GB2312"/>
                <w:color w:val="auto"/>
                <w:sz w:val="24"/>
                <w:szCs w:val="24"/>
              </w:rPr>
              <w:t>清原县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生物质</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10000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29</w:t>
            </w:r>
          </w:p>
        </w:tc>
        <w:tc>
          <w:tcPr>
            <w:tcW w:w="1515" w:type="pct"/>
            <w:tcBorders>
              <w:top w:val="nil"/>
              <w:left w:val="nil"/>
              <w:bottom w:val="nil"/>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东洲高新技术园区</w:t>
            </w:r>
            <w:r>
              <w:rPr>
                <w:rFonts w:ascii="仿宋_GB2312" w:eastAsia="仿宋_GB2312" w:cs="仿宋_GB2312"/>
                <w:color w:val="auto"/>
                <w:sz w:val="24"/>
                <w:szCs w:val="24"/>
              </w:rPr>
              <w:t>3.5</w:t>
            </w:r>
            <w:r>
              <w:rPr>
                <w:rFonts w:hint="eastAsia" w:ascii="仿宋_GB2312" w:eastAsia="仿宋_GB2312" w:cs="仿宋_GB2312"/>
                <w:color w:val="auto"/>
                <w:sz w:val="24"/>
                <w:szCs w:val="24"/>
              </w:rPr>
              <w:t>万千瓦生物质热电联产项目</w:t>
            </w:r>
          </w:p>
        </w:tc>
        <w:tc>
          <w:tcPr>
            <w:tcW w:w="588" w:type="pct"/>
            <w:tcBorders>
              <w:top w:val="nil"/>
              <w:left w:val="nil"/>
              <w:bottom w:val="nil"/>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东洲区</w:t>
            </w:r>
          </w:p>
        </w:tc>
        <w:tc>
          <w:tcPr>
            <w:tcW w:w="435" w:type="pct"/>
            <w:tcBorders>
              <w:top w:val="nil"/>
              <w:left w:val="nil"/>
              <w:bottom w:val="nil"/>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生物质</w:t>
            </w:r>
          </w:p>
        </w:tc>
        <w:tc>
          <w:tcPr>
            <w:tcW w:w="682" w:type="pct"/>
            <w:tcBorders>
              <w:top w:val="nil"/>
              <w:left w:val="nil"/>
              <w:bottom w:val="nil"/>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3.5</w:t>
            </w:r>
          </w:p>
        </w:tc>
        <w:tc>
          <w:tcPr>
            <w:tcW w:w="769" w:type="pct"/>
            <w:tcBorders>
              <w:top w:val="nil"/>
              <w:left w:val="nil"/>
              <w:bottom w:val="nil"/>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80000</w:t>
            </w:r>
          </w:p>
        </w:tc>
        <w:tc>
          <w:tcPr>
            <w:tcW w:w="730" w:type="pct"/>
            <w:tcBorders>
              <w:top w:val="nil"/>
              <w:left w:val="nil"/>
              <w:bottom w:val="nil"/>
              <w:right w:val="single" w:color="auto" w:sz="4" w:space="0"/>
            </w:tcBorders>
            <w:noWrap/>
            <w:vAlign w:val="center"/>
          </w:tcPr>
          <w:p>
            <w:pPr>
              <w:jc w:val="left"/>
              <w:rPr>
                <w:rFonts w:ascii="仿宋_GB2312" w:eastAsia="仿宋_GB2312"/>
                <w:color w:val="auto"/>
                <w:sz w:val="24"/>
                <w:szCs w:val="24"/>
              </w:rPr>
            </w:pPr>
          </w:p>
        </w:tc>
      </w:tr>
      <w:tr>
        <w:tblPrEx>
          <w:tblCellMar>
            <w:top w:w="0" w:type="dxa"/>
            <w:left w:w="108" w:type="dxa"/>
            <w:bottom w:w="0" w:type="dxa"/>
            <w:right w:w="108" w:type="dxa"/>
          </w:tblCellMar>
        </w:tblPrEx>
        <w:trPr>
          <w:trHeight w:val="103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30</w:t>
            </w:r>
          </w:p>
        </w:tc>
        <w:tc>
          <w:tcPr>
            <w:tcW w:w="1515" w:type="pct"/>
            <w:tcBorders>
              <w:top w:val="single" w:color="auto" w:sz="4" w:space="0"/>
              <w:left w:val="nil"/>
              <w:bottom w:val="single" w:color="auto" w:sz="4" w:space="0"/>
              <w:right w:val="nil"/>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屋顶分布式光伏试点项目</w:t>
            </w:r>
          </w:p>
        </w:tc>
        <w:tc>
          <w:tcPr>
            <w:tcW w:w="588" w:type="pct"/>
            <w:tcBorders>
              <w:top w:val="single" w:color="auto" w:sz="4" w:space="0"/>
              <w:left w:val="single" w:color="auto" w:sz="4" w:space="0"/>
              <w:bottom w:val="single" w:color="auto" w:sz="4" w:space="0"/>
              <w:right w:val="nil"/>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新抚区</w:t>
            </w:r>
          </w:p>
        </w:tc>
        <w:tc>
          <w:tcPr>
            <w:tcW w:w="435" w:type="pct"/>
            <w:tcBorders>
              <w:top w:val="single" w:color="auto" w:sz="4" w:space="0"/>
              <w:left w:val="single" w:color="auto" w:sz="4" w:space="0"/>
              <w:bottom w:val="single" w:color="auto" w:sz="4" w:space="0"/>
              <w:right w:val="nil"/>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single" w:color="auto" w:sz="4" w:space="0"/>
              <w:left w:val="single" w:color="auto" w:sz="4" w:space="0"/>
              <w:bottom w:val="single" w:color="auto" w:sz="4" w:space="0"/>
              <w:right w:val="nil"/>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2.2</w:t>
            </w:r>
          </w:p>
        </w:tc>
        <w:tc>
          <w:tcPr>
            <w:tcW w:w="769" w:type="pct"/>
            <w:tcBorders>
              <w:top w:val="single" w:color="auto" w:sz="4" w:space="0"/>
              <w:left w:val="single" w:color="auto" w:sz="4" w:space="0"/>
              <w:bottom w:val="single" w:color="auto" w:sz="4" w:space="0"/>
              <w:right w:val="nil"/>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9700 </w:t>
            </w:r>
          </w:p>
        </w:tc>
        <w:tc>
          <w:tcPr>
            <w:tcW w:w="730" w:type="pct"/>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完成项目申请报告编制，取得市供电公司支持意见，作为抚顺市推举试点项目报送省发改委</w:t>
            </w:r>
          </w:p>
        </w:tc>
      </w:tr>
      <w:tr>
        <w:tblPrEx>
          <w:tblCellMar>
            <w:top w:w="0" w:type="dxa"/>
            <w:left w:w="108" w:type="dxa"/>
            <w:bottom w:w="0" w:type="dxa"/>
            <w:right w:w="108" w:type="dxa"/>
          </w:tblCellMar>
        </w:tblPrEx>
        <w:trPr>
          <w:trHeight w:val="840"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31</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顺城区屋顶分布式光伏项目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顺城区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10000</w:t>
            </w:r>
          </w:p>
        </w:tc>
        <w:tc>
          <w:tcPr>
            <w:tcW w:w="730"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投资单位已与相关企业逐户对接，已编制完成相关报告</w:t>
            </w:r>
          </w:p>
        </w:tc>
      </w:tr>
      <w:tr>
        <w:tblPrEx>
          <w:tblCellMar>
            <w:top w:w="0" w:type="dxa"/>
            <w:left w:w="108" w:type="dxa"/>
            <w:bottom w:w="0" w:type="dxa"/>
            <w:right w:w="108" w:type="dxa"/>
          </w:tblCellMar>
        </w:tblPrEx>
        <w:trPr>
          <w:trHeight w:val="840"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32</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西露天矿抽水蓄能电站项目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新抚区、望花区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抽水蓄能</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750000</w:t>
            </w:r>
          </w:p>
        </w:tc>
        <w:tc>
          <w:tcPr>
            <w:tcW w:w="730"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r>
    </w:tbl>
    <w:p>
      <w:pPr>
        <w:pStyle w:val="2"/>
        <w:rPr>
          <w:rFonts w:cs="Times New Roman"/>
        </w:rPr>
      </w:pPr>
    </w:p>
    <w:p>
      <w:pPr>
        <w:pStyle w:val="2"/>
        <w:rPr>
          <w:rFonts w:cs="Times New Roman"/>
        </w:rPr>
      </w:pPr>
    </w:p>
    <w:p>
      <w:pPr>
        <w:pStyle w:val="2"/>
        <w:rPr>
          <w:rFonts w:cs="Times New Roman"/>
        </w:rPr>
      </w:pPr>
    </w:p>
    <w:p>
      <w:pPr>
        <w:pStyle w:val="2"/>
        <w:rPr>
          <w:rFonts w:cs="Times New Roman"/>
        </w:rPr>
      </w:pPr>
    </w:p>
    <w:p>
      <w:pPr>
        <w:pStyle w:val="2"/>
        <w:rPr>
          <w:rFonts w:cs="Times New Roman"/>
        </w:rPr>
      </w:pPr>
    </w:p>
    <w:p>
      <w:pPr>
        <w:pStyle w:val="2"/>
        <w:rPr>
          <w:rFonts w:cs="Times New Roman"/>
        </w:rPr>
      </w:pPr>
    </w:p>
    <w:p>
      <w:pPr>
        <w:pStyle w:val="2"/>
        <w:rPr>
          <w:rFonts w:cs="Times New Roman"/>
        </w:rPr>
      </w:pPr>
    </w:p>
    <w:p>
      <w:pPr>
        <w:pStyle w:val="2"/>
        <w:rPr>
          <w:rFonts w:cs="Times New Roman"/>
        </w:rPr>
      </w:pPr>
    </w:p>
    <w:p>
      <w:pPr>
        <w:pStyle w:val="2"/>
        <w:rPr>
          <w:rFonts w:cs="Times New Roman"/>
        </w:rPr>
      </w:pPr>
    </w:p>
    <w:p>
      <w:pPr>
        <w:pStyle w:val="2"/>
        <w:rPr>
          <w:rFonts w:cs="Times New Roman"/>
        </w:rPr>
      </w:pPr>
    </w:p>
    <w:p>
      <w:pPr>
        <w:autoSpaceDE w:val="0"/>
        <w:autoSpaceDN w:val="0"/>
        <w:adjustRightInd w:val="0"/>
        <w:snapToGrid w:val="0"/>
        <w:spacing w:beforeLines="100" w:afterLines="100" w:line="360" w:lineRule="auto"/>
        <w:jc w:val="center"/>
        <w:outlineLvl w:val="0"/>
        <w:rPr>
          <w:rFonts w:ascii="仿宋_GB2312" w:eastAsia="仿宋_GB2312"/>
          <w:color w:val="auto"/>
          <w:sz w:val="32"/>
          <w:szCs w:val="32"/>
        </w:rPr>
      </w:pPr>
      <w:bookmarkStart w:id="128" w:name="_Toc86233347"/>
      <w:r>
        <w:rPr>
          <w:rFonts w:hint="eastAsia" w:ascii="仿宋_GB2312" w:eastAsia="仿宋_GB2312" w:cs="仿宋_GB2312"/>
          <w:color w:val="auto"/>
          <w:sz w:val="32"/>
          <w:szCs w:val="32"/>
        </w:rPr>
        <w:t>附件</w:t>
      </w:r>
      <w:r>
        <w:rPr>
          <w:rFonts w:ascii="仿宋_GB2312" w:eastAsia="仿宋_GB2312" w:cs="仿宋_GB2312"/>
          <w:color w:val="auto"/>
          <w:sz w:val="32"/>
          <w:szCs w:val="32"/>
        </w:rPr>
        <w:t xml:space="preserve">2 </w:t>
      </w:r>
      <w:r>
        <w:rPr>
          <w:rFonts w:hint="eastAsia" w:ascii="仿宋_GB2312" w:eastAsia="仿宋_GB2312" w:cs="仿宋_GB2312"/>
          <w:color w:val="auto"/>
          <w:sz w:val="32"/>
          <w:szCs w:val="32"/>
        </w:rPr>
        <w:t>“十四五”新型清洁能源建议开发时序</w:t>
      </w:r>
      <w:bookmarkEnd w:id="128"/>
    </w:p>
    <w:tbl>
      <w:tblPr>
        <w:tblStyle w:val="52"/>
        <w:tblW w:w="5000" w:type="pct"/>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4"/>
        <w:gridCol w:w="469"/>
        <w:gridCol w:w="3472"/>
        <w:gridCol w:w="1457"/>
        <w:gridCol w:w="728"/>
        <w:gridCol w:w="1021"/>
        <w:gridCol w:w="6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Align w:val="center"/>
          </w:tcPr>
          <w:p>
            <w:pPr>
              <w:spacing w:beforeLines="50"/>
              <w:jc w:val="center"/>
              <w:rPr>
                <w:sz w:val="24"/>
                <w:szCs w:val="24"/>
              </w:rPr>
            </w:pPr>
            <w:r>
              <w:rPr>
                <w:rFonts w:hint="eastAsia" w:ascii="仿宋_GB2312" w:hAnsi="??" w:eastAsia="仿宋_GB2312" w:cs="仿宋_GB2312"/>
                <w:sz w:val="24"/>
                <w:szCs w:val="24"/>
              </w:rPr>
              <w:t>建议开发时间</w:t>
            </w:r>
          </w:p>
        </w:tc>
        <w:tc>
          <w:tcPr>
            <w:tcW w:w="275" w:type="pct"/>
            <w:vAlign w:val="center"/>
          </w:tcPr>
          <w:p>
            <w:pPr>
              <w:widowControl/>
              <w:jc w:val="center"/>
              <w:rPr>
                <w:rFonts w:ascii="仿宋_GB2312" w:hAnsi="??" w:eastAsia="仿宋_GB2312"/>
                <w:color w:val="auto"/>
                <w:kern w:val="0"/>
                <w:sz w:val="24"/>
                <w:szCs w:val="24"/>
              </w:rPr>
            </w:pPr>
            <w:r>
              <w:rPr>
                <w:rFonts w:hint="eastAsia" w:ascii="仿宋_GB2312" w:hAnsi="??" w:eastAsia="仿宋_GB2312" w:cs="仿宋_GB2312"/>
                <w:sz w:val="24"/>
                <w:szCs w:val="24"/>
              </w:rPr>
              <w:t>序号</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项目名称</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项目地点</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所属行业</w:t>
            </w:r>
          </w:p>
        </w:tc>
        <w:tc>
          <w:tcPr>
            <w:tcW w:w="599"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装机容量（万千瓦）</w:t>
            </w:r>
          </w:p>
        </w:tc>
        <w:tc>
          <w:tcPr>
            <w:tcW w:w="388"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restart"/>
            <w:vAlign w:val="center"/>
          </w:tcPr>
          <w:p>
            <w:pPr>
              <w:jc w:val="center"/>
              <w:rPr>
                <w:rFonts w:ascii="仿宋_GB2312" w:hAnsi="??" w:eastAsia="仿宋_GB2312" w:cs="仿宋_GB2312"/>
                <w:sz w:val="24"/>
                <w:szCs w:val="24"/>
              </w:rPr>
            </w:pPr>
            <w:r>
              <w:rPr>
                <w:rFonts w:ascii="仿宋_GB2312" w:hAnsi="??" w:eastAsia="仿宋_GB2312" w:cs="仿宋_GB2312"/>
                <w:sz w:val="24"/>
                <w:szCs w:val="24"/>
              </w:rPr>
              <w:t>2021</w:t>
            </w:r>
          </w:p>
        </w:tc>
        <w:tc>
          <w:tcPr>
            <w:tcW w:w="275" w:type="pct"/>
            <w:vAlign w:val="center"/>
          </w:tcPr>
          <w:p>
            <w:pPr>
              <w:jc w:val="center"/>
              <w:rPr>
                <w:rFonts w:ascii="仿宋_GB2312" w:hAnsi="??" w:eastAsia="仿宋_GB2312" w:cs="仿宋_GB2312"/>
                <w:sz w:val="24"/>
                <w:szCs w:val="24"/>
              </w:rPr>
            </w:pPr>
            <w:r>
              <w:rPr>
                <w:rFonts w:ascii="仿宋_GB2312" w:hAnsi="??" w:eastAsia="仿宋_GB2312" w:cs="仿宋_GB2312"/>
                <w:sz w:val="24"/>
                <w:szCs w:val="24"/>
              </w:rPr>
              <w:t>1</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抚顺市城市生活垃圾焚烧发电项目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望花区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生物质</w:t>
            </w:r>
          </w:p>
        </w:tc>
        <w:tc>
          <w:tcPr>
            <w:tcW w:w="599" w:type="pct"/>
            <w:vAlign w:val="center"/>
          </w:tcPr>
          <w:p>
            <w:pPr>
              <w:jc w:val="center"/>
              <w:rPr>
                <w:rFonts w:ascii="仿宋_GB2312" w:hAnsi="??" w:eastAsia="仿宋_GB2312" w:cs="仿宋_GB2312"/>
                <w:sz w:val="24"/>
                <w:szCs w:val="24"/>
              </w:rPr>
            </w:pPr>
            <w:r>
              <w:rPr>
                <w:rFonts w:ascii="仿宋_GB2312" w:hAnsi="??" w:eastAsia="仿宋_GB2312" w:cs="仿宋_GB2312"/>
                <w:sz w:val="24"/>
                <w:szCs w:val="24"/>
              </w:rPr>
              <w:t>3</w:t>
            </w:r>
          </w:p>
        </w:tc>
        <w:tc>
          <w:tcPr>
            <w:tcW w:w="388" w:type="pct"/>
            <w:vMerge w:val="restart"/>
            <w:vAlign w:val="center"/>
          </w:tcPr>
          <w:p>
            <w:pPr>
              <w:jc w:val="center"/>
              <w:rPr>
                <w:rFonts w:ascii="仿宋_GB2312" w:hAnsi="??" w:eastAsia="仿宋_GB2312"/>
                <w:sz w:val="24"/>
                <w:szCs w:val="24"/>
              </w:rPr>
            </w:pPr>
            <w:r>
              <w:rPr>
                <w:rFonts w:hint="eastAsia" w:ascii="仿宋_GB2312" w:hAnsi="??" w:eastAsia="仿宋_GB2312" w:cs="仿宋_GB2312"/>
                <w:sz w:val="24"/>
                <w:szCs w:val="24"/>
              </w:rPr>
              <w:t>续建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jc w:val="center"/>
              <w:rPr>
                <w:rFonts w:ascii="仿宋_GB2312" w:hAnsi="??" w:eastAsia="仿宋_GB2312"/>
                <w:sz w:val="24"/>
                <w:szCs w:val="24"/>
              </w:rPr>
            </w:pPr>
          </w:p>
        </w:tc>
        <w:tc>
          <w:tcPr>
            <w:tcW w:w="275" w:type="pct"/>
            <w:vAlign w:val="center"/>
          </w:tcPr>
          <w:p>
            <w:pPr>
              <w:jc w:val="center"/>
              <w:rPr>
                <w:rFonts w:ascii="仿宋_GB2312" w:hAnsi="??" w:eastAsia="仿宋_GB2312" w:cs="仿宋_GB2312"/>
                <w:sz w:val="24"/>
                <w:szCs w:val="24"/>
              </w:rPr>
            </w:pPr>
            <w:r>
              <w:rPr>
                <w:rFonts w:ascii="仿宋_GB2312" w:hAnsi="??" w:eastAsia="仿宋_GB2312" w:cs="仿宋_GB2312"/>
                <w:sz w:val="24"/>
                <w:szCs w:val="24"/>
              </w:rPr>
              <w:t>2</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辽宁清原抽水蓄能电站项目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抽水蓄能</w:t>
            </w:r>
          </w:p>
        </w:tc>
        <w:tc>
          <w:tcPr>
            <w:tcW w:w="599" w:type="pct"/>
            <w:vAlign w:val="center"/>
          </w:tcPr>
          <w:p>
            <w:pPr>
              <w:jc w:val="center"/>
              <w:rPr>
                <w:rFonts w:ascii="仿宋_GB2312" w:hAnsi="??" w:eastAsia="仿宋_GB2312" w:cs="仿宋_GB2312"/>
                <w:sz w:val="24"/>
                <w:szCs w:val="24"/>
              </w:rPr>
            </w:pPr>
            <w:r>
              <w:rPr>
                <w:rFonts w:ascii="仿宋_GB2312" w:hAnsi="??" w:eastAsia="仿宋_GB2312" w:cs="仿宋_GB2312"/>
                <w:sz w:val="24"/>
                <w:szCs w:val="24"/>
              </w:rPr>
              <w:t>180</w:t>
            </w:r>
          </w:p>
        </w:tc>
        <w:tc>
          <w:tcPr>
            <w:tcW w:w="388" w:type="pct"/>
            <w:vMerge w:val="continue"/>
            <w:vAlign w:val="center"/>
          </w:tcPr>
          <w:p>
            <w:pPr>
              <w:jc w:val="center"/>
              <w:rPr>
                <w:rFonts w:ascii="仿宋_GB2312" w:hAnsi="??" w:eastAsia="仿宋_GB2312"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19" w:type="pct"/>
            <w:vMerge w:val="continue"/>
            <w:vAlign w:val="center"/>
          </w:tcPr>
          <w:p>
            <w:pPr>
              <w:jc w:val="center"/>
              <w:rPr>
                <w:rFonts w:ascii="仿宋_GB2312" w:hAnsi="??" w:eastAsia="仿宋_GB2312"/>
                <w:sz w:val="24"/>
                <w:szCs w:val="24"/>
              </w:rPr>
            </w:pPr>
          </w:p>
        </w:tc>
        <w:tc>
          <w:tcPr>
            <w:tcW w:w="275" w:type="pct"/>
            <w:vAlign w:val="center"/>
          </w:tcPr>
          <w:p>
            <w:pPr>
              <w:jc w:val="center"/>
              <w:rPr>
                <w:rFonts w:ascii="仿宋_GB2312" w:hAnsi="??" w:eastAsia="仿宋_GB2312" w:cs="仿宋_GB2312"/>
                <w:sz w:val="24"/>
                <w:szCs w:val="24"/>
              </w:rPr>
            </w:pPr>
            <w:r>
              <w:rPr>
                <w:rFonts w:ascii="仿宋_GB2312" w:hAnsi="??" w:eastAsia="仿宋_GB2312" w:cs="仿宋_GB2312"/>
                <w:sz w:val="24"/>
                <w:szCs w:val="24"/>
              </w:rPr>
              <w:t>3</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晶科电力</w:t>
            </w:r>
            <w:r>
              <w:rPr>
                <w:rFonts w:ascii="仿宋_GB2312" w:hAnsi="??" w:eastAsia="仿宋_GB2312" w:cs="仿宋_GB2312"/>
                <w:sz w:val="24"/>
                <w:szCs w:val="24"/>
              </w:rPr>
              <w:t>100MW</w:t>
            </w:r>
            <w:r>
              <w:rPr>
                <w:rFonts w:hint="eastAsia" w:ascii="仿宋_GB2312" w:hAnsi="??" w:eastAsia="仿宋_GB2312" w:cs="仿宋_GB2312"/>
                <w:sz w:val="24"/>
                <w:szCs w:val="24"/>
              </w:rPr>
              <w:t>光伏发电项目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望花区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jc w:val="center"/>
              <w:rPr>
                <w:rFonts w:ascii="仿宋_GB2312" w:hAnsi="??" w:eastAsia="仿宋_GB2312" w:cs="仿宋_GB2312"/>
                <w:sz w:val="24"/>
                <w:szCs w:val="24"/>
              </w:rPr>
            </w:pPr>
            <w:r>
              <w:rPr>
                <w:rFonts w:ascii="仿宋_GB2312" w:hAnsi="??" w:eastAsia="仿宋_GB2312" w:cs="仿宋_GB2312"/>
                <w:sz w:val="24"/>
                <w:szCs w:val="24"/>
              </w:rPr>
              <w:t>10</w:t>
            </w:r>
          </w:p>
        </w:tc>
        <w:tc>
          <w:tcPr>
            <w:tcW w:w="388" w:type="pct"/>
            <w:vMerge w:val="restart"/>
            <w:vAlign w:val="center"/>
          </w:tcPr>
          <w:p>
            <w:pPr>
              <w:jc w:val="center"/>
              <w:rPr>
                <w:rFonts w:ascii="仿宋_GB2312" w:hAnsi="??" w:eastAsia="仿宋_GB2312"/>
                <w:sz w:val="24"/>
                <w:szCs w:val="24"/>
              </w:rPr>
            </w:pPr>
            <w:r>
              <w:rPr>
                <w:rFonts w:hint="eastAsia" w:ascii="仿宋_GB2312" w:hAnsi="??" w:eastAsia="仿宋_GB2312" w:cs="仿宋_GB2312"/>
                <w:sz w:val="24"/>
                <w:szCs w:val="24"/>
              </w:rPr>
              <w:t>新开工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19" w:type="pct"/>
            <w:vMerge w:val="continue"/>
            <w:vAlign w:val="center"/>
          </w:tcPr>
          <w:p>
            <w:pPr>
              <w:jc w:val="center"/>
              <w:rPr>
                <w:rFonts w:ascii="仿宋_GB2312" w:hAnsi="??" w:eastAsia="仿宋_GB2312"/>
                <w:sz w:val="24"/>
                <w:szCs w:val="24"/>
              </w:rPr>
            </w:pPr>
          </w:p>
        </w:tc>
        <w:tc>
          <w:tcPr>
            <w:tcW w:w="275" w:type="pct"/>
            <w:vAlign w:val="center"/>
          </w:tcPr>
          <w:p>
            <w:pPr>
              <w:jc w:val="center"/>
              <w:rPr>
                <w:rFonts w:ascii="仿宋_GB2312" w:hAnsi="??" w:eastAsia="仿宋_GB2312" w:cs="仿宋_GB2312"/>
                <w:sz w:val="24"/>
                <w:szCs w:val="24"/>
              </w:rPr>
            </w:pPr>
            <w:r>
              <w:rPr>
                <w:rFonts w:ascii="仿宋_GB2312" w:hAnsi="??" w:eastAsia="仿宋_GB2312" w:cs="仿宋_GB2312"/>
                <w:sz w:val="24"/>
                <w:szCs w:val="24"/>
              </w:rPr>
              <w:t>4</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抚矿集团</w:t>
            </w:r>
            <w:r>
              <w:rPr>
                <w:rFonts w:ascii="仿宋_GB2312" w:hAnsi="??" w:eastAsia="仿宋_GB2312" w:cs="仿宋_GB2312"/>
                <w:sz w:val="24"/>
                <w:szCs w:val="24"/>
              </w:rPr>
              <w:t>100MW</w:t>
            </w:r>
            <w:r>
              <w:rPr>
                <w:rFonts w:hint="eastAsia" w:ascii="仿宋_GB2312" w:hAnsi="??" w:eastAsia="仿宋_GB2312" w:cs="仿宋_GB2312"/>
                <w:sz w:val="24"/>
                <w:szCs w:val="24"/>
              </w:rPr>
              <w:t>光伏发电项目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望花区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jc w:val="center"/>
            </w:pPr>
            <w:r>
              <w:rPr>
                <w:rFonts w:ascii="仿宋_GB2312" w:hAnsi="??" w:eastAsia="仿宋_GB2312" w:cs="仿宋_GB2312"/>
                <w:sz w:val="24"/>
                <w:szCs w:val="24"/>
              </w:rPr>
              <w:t>10</w:t>
            </w:r>
          </w:p>
        </w:tc>
        <w:tc>
          <w:tcPr>
            <w:tcW w:w="388" w:type="pct"/>
            <w:vMerge w:val="continue"/>
            <w:vAlign w:val="center"/>
          </w:tcPr>
          <w:p>
            <w:pPr>
              <w:jc w:val="center"/>
              <w:rPr>
                <w:rFonts w:ascii="仿宋_GB2312" w:hAnsi="??"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419" w:type="pct"/>
            <w:vMerge w:val="continue"/>
            <w:vAlign w:val="center"/>
          </w:tcPr>
          <w:p>
            <w:pPr>
              <w:jc w:val="center"/>
              <w:rPr>
                <w:rFonts w:ascii="仿宋_GB2312" w:hAnsi="??" w:eastAsia="仿宋_GB2312"/>
                <w:sz w:val="24"/>
                <w:szCs w:val="24"/>
              </w:rPr>
            </w:pPr>
          </w:p>
        </w:tc>
        <w:tc>
          <w:tcPr>
            <w:tcW w:w="275" w:type="pct"/>
            <w:vAlign w:val="center"/>
          </w:tcPr>
          <w:p>
            <w:pPr>
              <w:jc w:val="center"/>
              <w:rPr>
                <w:rFonts w:ascii="仿宋_GB2312" w:hAnsi="??" w:eastAsia="仿宋_GB2312" w:cs="仿宋_GB2312"/>
                <w:sz w:val="24"/>
                <w:szCs w:val="24"/>
              </w:rPr>
            </w:pPr>
            <w:r>
              <w:rPr>
                <w:rFonts w:ascii="仿宋_GB2312" w:hAnsi="??" w:eastAsia="仿宋_GB2312" w:cs="仿宋_GB2312"/>
                <w:sz w:val="24"/>
                <w:szCs w:val="24"/>
              </w:rPr>
              <w:t>5</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中能建投清原</w:t>
            </w:r>
            <w:r>
              <w:rPr>
                <w:rFonts w:ascii="仿宋_GB2312" w:hAnsi="??" w:eastAsia="仿宋_GB2312" w:cs="仿宋_GB2312"/>
                <w:sz w:val="24"/>
                <w:szCs w:val="24"/>
              </w:rPr>
              <w:t>40MW</w:t>
            </w:r>
            <w:r>
              <w:rPr>
                <w:rFonts w:hint="eastAsia" w:ascii="仿宋_GB2312" w:hAnsi="??" w:eastAsia="仿宋_GB2312" w:cs="仿宋_GB2312"/>
                <w:sz w:val="24"/>
                <w:szCs w:val="24"/>
              </w:rPr>
              <w:t>生物质热电联产项目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生物质</w:t>
            </w:r>
          </w:p>
        </w:tc>
        <w:tc>
          <w:tcPr>
            <w:tcW w:w="599" w:type="pct"/>
            <w:vAlign w:val="center"/>
          </w:tcPr>
          <w:p>
            <w:pPr>
              <w:jc w:val="center"/>
              <w:rPr>
                <w:rFonts w:ascii="仿宋_GB2312" w:hAnsi="??" w:eastAsia="仿宋_GB2312"/>
                <w:sz w:val="24"/>
                <w:szCs w:val="24"/>
              </w:rPr>
            </w:pPr>
            <w:r>
              <w:rPr>
                <w:rFonts w:hAnsi="??"/>
                <w:sz w:val="24"/>
                <w:szCs w:val="24"/>
              </w:rPr>
              <w:t>4</w:t>
            </w:r>
          </w:p>
        </w:tc>
        <w:tc>
          <w:tcPr>
            <w:tcW w:w="388" w:type="pct"/>
            <w:vMerge w:val="continue"/>
            <w:vAlign w:val="center"/>
          </w:tcPr>
          <w:p>
            <w:pPr>
              <w:spacing w:beforeLines="100"/>
              <w:jc w:val="center"/>
              <w:rPr>
                <w:rFonts w:ascii="仿宋_GB2312" w:hAnsi="??"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419" w:type="pct"/>
            <w:vMerge w:val="continue"/>
            <w:vAlign w:val="center"/>
          </w:tcPr>
          <w:p>
            <w:pPr>
              <w:jc w:val="center"/>
              <w:rPr>
                <w:rFonts w:ascii="仿宋_GB2312" w:hAnsi="??" w:eastAsia="仿宋_GB2312"/>
                <w:sz w:val="24"/>
                <w:szCs w:val="24"/>
              </w:rPr>
            </w:pPr>
          </w:p>
        </w:tc>
        <w:tc>
          <w:tcPr>
            <w:tcW w:w="275" w:type="pct"/>
            <w:vAlign w:val="center"/>
          </w:tcPr>
          <w:p>
            <w:pPr>
              <w:jc w:val="center"/>
              <w:rPr>
                <w:rFonts w:ascii="仿宋_GB2312" w:hAnsi="??" w:eastAsia="仿宋_GB2312" w:cs="仿宋_GB2312"/>
                <w:sz w:val="24"/>
                <w:szCs w:val="24"/>
              </w:rPr>
            </w:pPr>
            <w:r>
              <w:rPr>
                <w:rFonts w:ascii="仿宋_GB2312" w:hAnsi="??" w:eastAsia="仿宋_GB2312" w:cs="仿宋_GB2312"/>
                <w:sz w:val="24"/>
                <w:szCs w:val="24"/>
              </w:rPr>
              <w:t>6</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清原东仪光伏发电项目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jc w:val="center"/>
              <w:rPr>
                <w:rFonts w:hAnsi="??"/>
                <w:sz w:val="24"/>
                <w:szCs w:val="24"/>
              </w:rPr>
            </w:pPr>
            <w:r>
              <w:rPr>
                <w:rFonts w:hAnsi="??"/>
                <w:sz w:val="24"/>
                <w:szCs w:val="24"/>
              </w:rPr>
              <w:t>2</w:t>
            </w:r>
          </w:p>
        </w:tc>
        <w:tc>
          <w:tcPr>
            <w:tcW w:w="388" w:type="pct"/>
            <w:vMerge w:val="continue"/>
            <w:vAlign w:val="center"/>
          </w:tcPr>
          <w:p>
            <w:pPr>
              <w:jc w:val="center"/>
              <w:rPr>
                <w:rFonts w:hAns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 w:hRule="atLeast"/>
        </w:trPr>
        <w:tc>
          <w:tcPr>
            <w:tcW w:w="419" w:type="pct"/>
            <w:vMerge w:val="continue"/>
            <w:vAlign w:val="center"/>
          </w:tcPr>
          <w:p>
            <w:pPr>
              <w:jc w:val="center"/>
              <w:rPr>
                <w:rFonts w:ascii="仿宋_GB2312" w:hAnsi="??" w:eastAsia="仿宋_GB2312"/>
                <w:sz w:val="24"/>
                <w:szCs w:val="24"/>
              </w:rPr>
            </w:pPr>
          </w:p>
        </w:tc>
        <w:tc>
          <w:tcPr>
            <w:tcW w:w="275" w:type="pct"/>
            <w:vAlign w:val="center"/>
          </w:tcPr>
          <w:p>
            <w:pPr>
              <w:jc w:val="center"/>
              <w:rPr>
                <w:rFonts w:ascii="仿宋_GB2312" w:hAnsi="??" w:eastAsia="仿宋_GB2312" w:cs="仿宋_GB2312"/>
                <w:sz w:val="24"/>
                <w:szCs w:val="24"/>
              </w:rPr>
            </w:pPr>
            <w:r>
              <w:rPr>
                <w:rFonts w:ascii="仿宋_GB2312" w:hAnsi="??" w:eastAsia="仿宋_GB2312" w:cs="仿宋_GB2312"/>
                <w:sz w:val="24"/>
                <w:szCs w:val="24"/>
              </w:rPr>
              <w:t>7</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抚矿南舍场二期平价光伏项目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东洲区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jc w:val="center"/>
              <w:rPr>
                <w:rFonts w:hAnsi="??"/>
                <w:sz w:val="24"/>
                <w:szCs w:val="24"/>
              </w:rPr>
            </w:pPr>
            <w:r>
              <w:rPr>
                <w:rFonts w:hAnsi="??"/>
                <w:sz w:val="24"/>
                <w:szCs w:val="24"/>
              </w:rPr>
              <w:t>2</w:t>
            </w:r>
          </w:p>
        </w:tc>
        <w:tc>
          <w:tcPr>
            <w:tcW w:w="388" w:type="pct"/>
            <w:vMerge w:val="continue"/>
            <w:vAlign w:val="center"/>
          </w:tcPr>
          <w:p>
            <w:pPr>
              <w:jc w:val="center"/>
              <w:rPr>
                <w:rFonts w:hAns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419" w:type="pct"/>
            <w:vMerge w:val="restart"/>
            <w:vAlign w:val="center"/>
          </w:tcPr>
          <w:p>
            <w:pPr>
              <w:pStyle w:val="2"/>
              <w:jc w:val="center"/>
              <w:rPr>
                <w:kern w:val="2"/>
              </w:rPr>
            </w:pPr>
            <w:r>
              <w:rPr>
                <w:kern w:val="2"/>
              </w:rPr>
              <w:t>2022</w:t>
            </w: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8</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晶科电力</w:t>
            </w:r>
            <w:r>
              <w:rPr>
                <w:rFonts w:ascii="仿宋_GB2312" w:hAnsi="??" w:eastAsia="仿宋_GB2312" w:cs="仿宋_GB2312"/>
                <w:sz w:val="24"/>
                <w:szCs w:val="24"/>
              </w:rPr>
              <w:t>100MW</w:t>
            </w:r>
            <w:r>
              <w:rPr>
                <w:rFonts w:hint="eastAsia" w:ascii="仿宋_GB2312" w:hAnsi="??" w:eastAsia="仿宋_GB2312" w:cs="仿宋_GB2312"/>
                <w:sz w:val="24"/>
                <w:szCs w:val="24"/>
              </w:rPr>
              <w:t>光伏发电项目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望花区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jc w:val="center"/>
            </w:pPr>
            <w:r>
              <w:rPr>
                <w:rFonts w:ascii="仿宋_GB2312" w:hAnsi="??" w:eastAsia="仿宋_GB2312" w:cs="仿宋_GB2312"/>
                <w:sz w:val="24"/>
                <w:szCs w:val="24"/>
              </w:rPr>
              <w:t>10</w:t>
            </w:r>
          </w:p>
        </w:tc>
        <w:tc>
          <w:tcPr>
            <w:tcW w:w="388" w:type="pct"/>
            <w:vMerge w:val="restart"/>
            <w:vAlign w:val="center"/>
          </w:tcPr>
          <w:p>
            <w:pPr>
              <w:jc w:val="center"/>
              <w:rPr>
                <w:rFonts w:hAnsi="??"/>
                <w:sz w:val="24"/>
                <w:szCs w:val="24"/>
              </w:rPr>
            </w:pPr>
            <w:r>
              <w:rPr>
                <w:rFonts w:hint="eastAsia" w:ascii="仿宋_GB2312" w:hAnsi="??" w:eastAsia="仿宋_GB2312" w:cs="仿宋_GB2312"/>
                <w:sz w:val="24"/>
                <w:szCs w:val="24"/>
              </w:rPr>
              <w:t>续建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7" w:hRule="atLeast"/>
        </w:trPr>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9</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辽宁清原抽水蓄能电站项目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抽水蓄能</w:t>
            </w:r>
          </w:p>
        </w:tc>
        <w:tc>
          <w:tcPr>
            <w:tcW w:w="599" w:type="pct"/>
            <w:vAlign w:val="center"/>
          </w:tcPr>
          <w:p>
            <w:pPr>
              <w:jc w:val="center"/>
            </w:pPr>
            <w:r>
              <w:rPr>
                <w:rFonts w:ascii="仿宋_GB2312" w:hAnsi="??" w:eastAsia="仿宋_GB2312" w:cs="仿宋_GB2312"/>
                <w:sz w:val="24"/>
                <w:szCs w:val="24"/>
              </w:rPr>
              <w:t>180</w:t>
            </w:r>
          </w:p>
        </w:tc>
        <w:tc>
          <w:tcPr>
            <w:tcW w:w="388" w:type="pct"/>
            <w:vMerge w:val="continue"/>
            <w:vAlign w:val="center"/>
          </w:tcPr>
          <w:p>
            <w:pPr>
              <w:jc w:val="center"/>
              <w:rPr>
                <w:rFonts w:hAns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7" w:hRule="atLeast"/>
        </w:trPr>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中能建投清原</w:t>
            </w:r>
            <w:r>
              <w:rPr>
                <w:rFonts w:ascii="仿宋_GB2312" w:hAnsi="??" w:eastAsia="仿宋_GB2312" w:cs="仿宋_GB2312"/>
                <w:sz w:val="24"/>
                <w:szCs w:val="24"/>
              </w:rPr>
              <w:t>40MW</w:t>
            </w:r>
            <w:r>
              <w:rPr>
                <w:rFonts w:hint="eastAsia" w:ascii="仿宋_GB2312" w:hAnsi="??" w:eastAsia="仿宋_GB2312" w:cs="仿宋_GB2312"/>
                <w:sz w:val="24"/>
                <w:szCs w:val="24"/>
              </w:rPr>
              <w:t>生物质热电联产项目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生物质</w:t>
            </w:r>
          </w:p>
        </w:tc>
        <w:tc>
          <w:tcPr>
            <w:tcW w:w="599" w:type="pct"/>
            <w:vAlign w:val="center"/>
          </w:tcPr>
          <w:p>
            <w:pPr>
              <w:jc w:val="center"/>
              <w:rPr>
                <w:rFonts w:hAnsi="??"/>
                <w:sz w:val="24"/>
                <w:szCs w:val="24"/>
              </w:rPr>
            </w:pPr>
            <w:r>
              <w:rPr>
                <w:rFonts w:hAnsi="??"/>
                <w:sz w:val="24"/>
                <w:szCs w:val="24"/>
              </w:rPr>
              <w:t>4</w:t>
            </w:r>
          </w:p>
        </w:tc>
        <w:tc>
          <w:tcPr>
            <w:tcW w:w="388" w:type="pct"/>
            <w:vMerge w:val="continue"/>
            <w:vAlign w:val="center"/>
          </w:tcPr>
          <w:p>
            <w:pPr>
              <w:jc w:val="center"/>
              <w:rPr>
                <w:rFonts w:hAns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11</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抚矿集团西舍场另外</w:t>
            </w:r>
            <w:r>
              <w:rPr>
                <w:rFonts w:ascii="仿宋_GB2312" w:hAnsi="??" w:eastAsia="仿宋_GB2312" w:cs="仿宋_GB2312"/>
                <w:sz w:val="24"/>
                <w:szCs w:val="24"/>
              </w:rPr>
              <w:t>10</w:t>
            </w:r>
            <w:r>
              <w:rPr>
                <w:rFonts w:hint="eastAsia" w:ascii="仿宋_GB2312" w:hAnsi="??" w:eastAsia="仿宋_GB2312" w:cs="仿宋_GB2312"/>
                <w:sz w:val="24"/>
                <w:szCs w:val="24"/>
              </w:rPr>
              <w:t>万千瓦光伏项目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望花区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jc w:val="center"/>
              <w:rPr>
                <w:rFonts w:ascii="仿宋_GB2312" w:hAnsi="??" w:eastAsia="仿宋_GB2312" w:cs="仿宋_GB2312"/>
                <w:sz w:val="24"/>
                <w:szCs w:val="24"/>
              </w:rPr>
            </w:pPr>
            <w:r>
              <w:rPr>
                <w:rFonts w:ascii="仿宋_GB2312" w:hAnsi="??" w:eastAsia="仿宋_GB2312" w:cs="仿宋_GB2312"/>
                <w:sz w:val="24"/>
                <w:szCs w:val="24"/>
              </w:rPr>
              <w:t>10</w:t>
            </w:r>
          </w:p>
        </w:tc>
        <w:tc>
          <w:tcPr>
            <w:tcW w:w="388" w:type="pct"/>
            <w:vMerge w:val="restart"/>
            <w:vAlign w:val="center"/>
          </w:tcPr>
          <w:p>
            <w:pPr>
              <w:pStyle w:val="2"/>
              <w:jc w:val="center"/>
              <w:rPr>
                <w:rFonts w:hAnsi="??" w:cs="Times New Roman"/>
                <w:kern w:val="2"/>
              </w:rPr>
            </w:pPr>
            <w:r>
              <w:rPr>
                <w:rFonts w:hint="eastAsia" w:hAnsi="??"/>
                <w:kern w:val="2"/>
              </w:rPr>
              <w:t>新开工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12</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西舍场外新选址</w:t>
            </w:r>
            <w:r>
              <w:rPr>
                <w:rFonts w:ascii="仿宋_GB2312" w:hAnsi="??" w:eastAsia="仿宋_GB2312" w:cs="仿宋_GB2312"/>
                <w:sz w:val="24"/>
                <w:szCs w:val="24"/>
              </w:rPr>
              <w:t>10</w:t>
            </w:r>
            <w:r>
              <w:rPr>
                <w:rFonts w:hint="eastAsia" w:ascii="仿宋_GB2312" w:hAnsi="??" w:eastAsia="仿宋_GB2312" w:cs="仿宋_GB2312"/>
                <w:sz w:val="24"/>
                <w:szCs w:val="24"/>
              </w:rPr>
              <w:t>万千瓦光伏项目</w:t>
            </w:r>
          </w:p>
        </w:tc>
        <w:tc>
          <w:tcPr>
            <w:tcW w:w="855" w:type="pct"/>
            <w:vAlign w:val="center"/>
          </w:tcPr>
          <w:p>
            <w:pPr>
              <w:jc w:val="center"/>
              <w:rPr>
                <w:rFonts w:ascii="仿宋_GB2312" w:hAnsi="??" w:eastAsia="仿宋_GB2312"/>
                <w:sz w:val="24"/>
                <w:szCs w:val="24"/>
              </w:rPr>
            </w:pPr>
            <w:r>
              <w:rPr>
                <w:rFonts w:hint="eastAsia" w:ascii="仿宋_GB2312" w:eastAsia="仿宋_GB2312" w:cs="仿宋_GB2312"/>
                <w:color w:val="auto"/>
                <w:sz w:val="24"/>
                <w:szCs w:val="24"/>
              </w:rPr>
              <w:t>新抚区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spacing w:beforeLines="100"/>
              <w:jc w:val="center"/>
              <w:rPr>
                <w:rFonts w:ascii="仿宋_GB2312" w:hAnsi="??" w:eastAsia="仿宋_GB2312" w:cs="仿宋_GB2312"/>
                <w:sz w:val="24"/>
                <w:szCs w:val="24"/>
              </w:rPr>
            </w:pPr>
            <w:r>
              <w:rPr>
                <w:rFonts w:ascii="仿宋_GB2312" w:hAnsi="??" w:eastAsia="仿宋_GB2312" w:cs="仿宋_GB2312"/>
                <w:sz w:val="24"/>
                <w:szCs w:val="24"/>
              </w:rPr>
              <w:t>10</w:t>
            </w:r>
          </w:p>
        </w:tc>
        <w:tc>
          <w:tcPr>
            <w:tcW w:w="388" w:type="pct"/>
            <w:vMerge w:val="continue"/>
            <w:vAlign w:val="center"/>
          </w:tcPr>
          <w:p>
            <w:pPr>
              <w:pStyle w:val="2"/>
              <w:jc w:val="center"/>
              <w:rPr>
                <w:rFonts w:hAnsi="??" w:cs="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13</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屋顶分布式光伏试点项目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新抚区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pStyle w:val="2"/>
              <w:jc w:val="center"/>
              <w:rPr>
                <w:kern w:val="2"/>
              </w:rPr>
            </w:pPr>
            <w:r>
              <w:rPr>
                <w:kern w:val="2"/>
              </w:rPr>
              <w:t>2.2</w:t>
            </w:r>
          </w:p>
        </w:tc>
        <w:tc>
          <w:tcPr>
            <w:tcW w:w="388" w:type="pct"/>
            <w:vMerge w:val="continue"/>
            <w:vAlign w:val="center"/>
          </w:tcPr>
          <w:p>
            <w:pPr>
              <w:pStyle w:val="2"/>
              <w:jc w:val="center"/>
              <w:rPr>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14</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抚顺市采煤沉陷区生态综合治理光伏发电项目一期</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新抚区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pStyle w:val="2"/>
              <w:jc w:val="center"/>
              <w:rPr>
                <w:rFonts w:cs="Times New Roman"/>
                <w:kern w:val="2"/>
              </w:rPr>
            </w:pPr>
            <w:r>
              <w:rPr>
                <w:rFonts w:hAnsi="??"/>
                <w:kern w:val="2"/>
              </w:rPr>
              <w:t>10</w:t>
            </w:r>
          </w:p>
        </w:tc>
        <w:tc>
          <w:tcPr>
            <w:tcW w:w="388" w:type="pct"/>
            <w:vMerge w:val="continue"/>
            <w:vAlign w:val="center"/>
          </w:tcPr>
          <w:p>
            <w:pPr>
              <w:pStyle w:val="2"/>
              <w:jc w:val="center"/>
              <w:rPr>
                <w:rFonts w:cs="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15</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东洲高新技术园区</w:t>
            </w:r>
            <w:r>
              <w:rPr>
                <w:rFonts w:ascii="仿宋_GB2312" w:hAnsi="??" w:eastAsia="仿宋_GB2312" w:cs="仿宋_GB2312"/>
                <w:sz w:val="24"/>
                <w:szCs w:val="24"/>
              </w:rPr>
              <w:t>3.5</w:t>
            </w:r>
            <w:r>
              <w:rPr>
                <w:rFonts w:hint="eastAsia" w:ascii="仿宋_GB2312" w:hAnsi="??" w:eastAsia="仿宋_GB2312" w:cs="仿宋_GB2312"/>
                <w:sz w:val="24"/>
                <w:szCs w:val="24"/>
              </w:rPr>
              <w:t>万千瓦生物质热电联产项目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东洲区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生物质</w:t>
            </w:r>
          </w:p>
        </w:tc>
        <w:tc>
          <w:tcPr>
            <w:tcW w:w="599" w:type="pct"/>
            <w:vAlign w:val="center"/>
          </w:tcPr>
          <w:p>
            <w:pPr>
              <w:pStyle w:val="2"/>
              <w:spacing w:beforeLines="50"/>
              <w:jc w:val="center"/>
              <w:rPr>
                <w:kern w:val="2"/>
              </w:rPr>
            </w:pPr>
            <w:r>
              <w:rPr>
                <w:kern w:val="2"/>
              </w:rPr>
              <w:t>3.5</w:t>
            </w:r>
          </w:p>
        </w:tc>
        <w:tc>
          <w:tcPr>
            <w:tcW w:w="388" w:type="pct"/>
            <w:vMerge w:val="continue"/>
            <w:vAlign w:val="center"/>
          </w:tcPr>
          <w:p>
            <w:pPr>
              <w:pStyle w:val="2"/>
              <w:jc w:val="center"/>
              <w:rPr>
                <w:rFonts w:cs="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restart"/>
            <w:vAlign w:val="center"/>
          </w:tcPr>
          <w:p>
            <w:pPr>
              <w:pStyle w:val="2"/>
              <w:jc w:val="center"/>
              <w:rPr>
                <w:kern w:val="2"/>
              </w:rPr>
            </w:pPr>
            <w:r>
              <w:rPr>
                <w:kern w:val="2"/>
              </w:rPr>
              <w:t>2023</w:t>
            </w: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16</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辽宁清原抽水蓄能电站二期</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抽水蓄能</w:t>
            </w:r>
          </w:p>
        </w:tc>
        <w:tc>
          <w:tcPr>
            <w:tcW w:w="599" w:type="pct"/>
            <w:vAlign w:val="center"/>
          </w:tcPr>
          <w:p>
            <w:pPr>
              <w:pStyle w:val="2"/>
              <w:jc w:val="center"/>
              <w:rPr>
                <w:kern w:val="2"/>
              </w:rPr>
            </w:pPr>
            <w:r>
              <w:rPr>
                <w:kern w:val="2"/>
              </w:rPr>
              <w:t>120</w:t>
            </w:r>
          </w:p>
        </w:tc>
        <w:tc>
          <w:tcPr>
            <w:tcW w:w="388" w:type="pct"/>
            <w:vMerge w:val="restart"/>
            <w:vAlign w:val="center"/>
          </w:tcPr>
          <w:p>
            <w:pPr>
              <w:pStyle w:val="2"/>
              <w:jc w:val="center"/>
              <w:rPr>
                <w:rFonts w:cs="Times New Roman"/>
                <w:kern w:val="2"/>
              </w:rPr>
            </w:pPr>
            <w:r>
              <w:rPr>
                <w:rFonts w:hint="eastAsia" w:hAnsi="??"/>
                <w:kern w:val="2"/>
              </w:rPr>
              <w:t>新开工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17</w:t>
            </w:r>
          </w:p>
        </w:tc>
        <w:tc>
          <w:tcPr>
            <w:tcW w:w="2037" w:type="pct"/>
            <w:vAlign w:val="center"/>
          </w:tcPr>
          <w:p>
            <w:pPr>
              <w:widowControl/>
              <w:jc w:val="center"/>
              <w:rPr>
                <w:rFonts w:ascii="仿宋_GB2312" w:hAnsi="??" w:eastAsia="仿宋_GB2312"/>
                <w:color w:val="auto"/>
                <w:kern w:val="0"/>
                <w:sz w:val="24"/>
                <w:szCs w:val="24"/>
              </w:rPr>
            </w:pPr>
            <w:r>
              <w:rPr>
                <w:rFonts w:hint="eastAsia" w:ascii="仿宋_GB2312" w:hAnsi="??" w:eastAsia="仿宋_GB2312" w:cs="仿宋_GB2312"/>
                <w:sz w:val="24"/>
                <w:szCs w:val="24"/>
              </w:rPr>
              <w:t>抚顺市采煤沉陷区生态综合治理光伏发电项目二期</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新抚区、东洲区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pStyle w:val="2"/>
              <w:jc w:val="center"/>
              <w:rPr>
                <w:kern w:val="2"/>
              </w:rPr>
            </w:pPr>
            <w:r>
              <w:rPr>
                <w:kern w:val="2"/>
              </w:rPr>
              <w:t>10</w:t>
            </w:r>
          </w:p>
        </w:tc>
        <w:tc>
          <w:tcPr>
            <w:tcW w:w="388" w:type="pct"/>
            <w:vMerge w:val="continue"/>
            <w:vAlign w:val="center"/>
          </w:tcPr>
          <w:p>
            <w:pPr>
              <w:pStyle w:val="2"/>
              <w:jc w:val="center"/>
              <w:rPr>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18</w:t>
            </w:r>
          </w:p>
        </w:tc>
        <w:tc>
          <w:tcPr>
            <w:tcW w:w="2037" w:type="pct"/>
            <w:vAlign w:val="center"/>
          </w:tcPr>
          <w:p>
            <w:pPr>
              <w:widowControl/>
              <w:jc w:val="center"/>
              <w:rPr>
                <w:rFonts w:ascii="仿宋_GB2312" w:hAnsi="??" w:eastAsia="仿宋_GB2312"/>
                <w:sz w:val="24"/>
                <w:szCs w:val="24"/>
              </w:rPr>
            </w:pPr>
            <w:r>
              <w:rPr>
                <w:rFonts w:hint="eastAsia" w:ascii="仿宋_GB2312" w:hAnsi="??" w:eastAsia="仿宋_GB2312" w:cs="仿宋_GB2312"/>
                <w:sz w:val="24"/>
                <w:szCs w:val="24"/>
              </w:rPr>
              <w:t>西露天矿抽水蓄能电站项目</w:t>
            </w:r>
          </w:p>
        </w:tc>
        <w:tc>
          <w:tcPr>
            <w:tcW w:w="855" w:type="pct"/>
            <w:vAlign w:val="center"/>
          </w:tcPr>
          <w:p>
            <w:pPr>
              <w:jc w:val="center"/>
              <w:rPr>
                <w:rFonts w:ascii="仿宋_GB2312" w:hAnsi="??" w:eastAsia="仿宋_GB2312"/>
                <w:sz w:val="24"/>
                <w:szCs w:val="24"/>
              </w:rPr>
            </w:pPr>
            <w:r>
              <w:rPr>
                <w:rFonts w:hint="eastAsia" w:ascii="仿宋_GB2312" w:eastAsia="仿宋_GB2312" w:cs="仿宋_GB2312"/>
                <w:color w:val="auto"/>
                <w:sz w:val="24"/>
                <w:szCs w:val="24"/>
              </w:rPr>
              <w:t>新抚区、望花区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抽水蓄能</w:t>
            </w:r>
          </w:p>
        </w:tc>
        <w:tc>
          <w:tcPr>
            <w:tcW w:w="599" w:type="pct"/>
            <w:vAlign w:val="center"/>
          </w:tcPr>
          <w:p>
            <w:pPr>
              <w:pStyle w:val="2"/>
              <w:jc w:val="center"/>
              <w:rPr>
                <w:rFonts w:cs="Times New Roman"/>
                <w:kern w:val="2"/>
              </w:rPr>
            </w:pPr>
            <w:r>
              <w:rPr>
                <w:rFonts w:hAnsi="??"/>
                <w:kern w:val="2"/>
              </w:rPr>
              <w:t>100</w:t>
            </w:r>
          </w:p>
        </w:tc>
        <w:tc>
          <w:tcPr>
            <w:tcW w:w="388" w:type="pct"/>
            <w:vMerge w:val="continue"/>
            <w:vAlign w:val="center"/>
          </w:tcPr>
          <w:p>
            <w:pPr>
              <w:pStyle w:val="2"/>
              <w:jc w:val="center"/>
              <w:rPr>
                <w:rFonts w:cs="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19</w:t>
            </w:r>
          </w:p>
        </w:tc>
        <w:tc>
          <w:tcPr>
            <w:tcW w:w="2037" w:type="pct"/>
            <w:vAlign w:val="center"/>
          </w:tcPr>
          <w:p>
            <w:pPr>
              <w:widowControl/>
              <w:jc w:val="center"/>
              <w:rPr>
                <w:rFonts w:ascii="仿宋_GB2312" w:hAnsi="??" w:eastAsia="仿宋_GB2312"/>
                <w:sz w:val="24"/>
                <w:szCs w:val="24"/>
              </w:rPr>
            </w:pPr>
            <w:r>
              <w:rPr>
                <w:rFonts w:hint="eastAsia" w:ascii="仿宋_GB2312" w:eastAsia="仿宋_GB2312" w:cs="仿宋_GB2312"/>
                <w:color w:val="auto"/>
                <w:sz w:val="24"/>
                <w:szCs w:val="24"/>
              </w:rPr>
              <w:t>顺城区屋顶分布式光伏项目</w:t>
            </w:r>
          </w:p>
        </w:tc>
        <w:tc>
          <w:tcPr>
            <w:tcW w:w="855" w:type="pct"/>
            <w:vAlign w:val="center"/>
          </w:tcPr>
          <w:p>
            <w:pPr>
              <w:jc w:val="center"/>
              <w:rPr>
                <w:rFonts w:ascii="仿宋_GB2312" w:hAnsi="??" w:eastAsia="仿宋_GB2312"/>
                <w:sz w:val="24"/>
                <w:szCs w:val="24"/>
              </w:rPr>
            </w:pPr>
            <w:r>
              <w:rPr>
                <w:rFonts w:hint="eastAsia" w:ascii="仿宋_GB2312" w:eastAsia="仿宋_GB2312" w:cs="仿宋_GB2312"/>
                <w:color w:val="auto"/>
                <w:sz w:val="24"/>
                <w:szCs w:val="24"/>
              </w:rPr>
              <w:t>顺城区</w:t>
            </w:r>
          </w:p>
        </w:tc>
        <w:tc>
          <w:tcPr>
            <w:tcW w:w="427" w:type="pct"/>
            <w:vAlign w:val="center"/>
          </w:tcPr>
          <w:p>
            <w:pPr>
              <w:jc w:val="center"/>
              <w:rPr>
                <w:rFonts w:ascii="仿宋_GB2312" w:hAnsi="??" w:eastAsia="仿宋_GB2312"/>
                <w:sz w:val="24"/>
                <w:szCs w:val="24"/>
              </w:rPr>
            </w:pPr>
            <w:r>
              <w:rPr>
                <w:rFonts w:hint="eastAsia" w:ascii="仿宋_GB2312" w:eastAsia="仿宋_GB2312" w:cs="仿宋_GB2312"/>
                <w:color w:val="auto"/>
                <w:sz w:val="24"/>
                <w:szCs w:val="24"/>
              </w:rPr>
              <w:t>光伏</w:t>
            </w:r>
          </w:p>
        </w:tc>
        <w:tc>
          <w:tcPr>
            <w:tcW w:w="599" w:type="pct"/>
            <w:vAlign w:val="center"/>
          </w:tcPr>
          <w:p>
            <w:pPr>
              <w:pStyle w:val="2"/>
              <w:jc w:val="center"/>
              <w:rPr>
                <w:rFonts w:hAnsi="??" w:cs="Times New Roman"/>
                <w:kern w:val="2"/>
              </w:rPr>
            </w:pPr>
            <w:r>
              <w:rPr>
                <w:color w:val="auto"/>
                <w:kern w:val="2"/>
              </w:rPr>
              <w:t>2</w:t>
            </w:r>
          </w:p>
        </w:tc>
        <w:tc>
          <w:tcPr>
            <w:tcW w:w="388" w:type="pct"/>
            <w:vMerge w:val="continue"/>
            <w:vAlign w:val="center"/>
          </w:tcPr>
          <w:p>
            <w:pPr>
              <w:pStyle w:val="2"/>
              <w:jc w:val="center"/>
              <w:rPr>
                <w:rFonts w:cs="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20</w:t>
            </w:r>
          </w:p>
        </w:tc>
        <w:tc>
          <w:tcPr>
            <w:tcW w:w="2037" w:type="pct"/>
            <w:vAlign w:val="center"/>
          </w:tcPr>
          <w:p>
            <w:pPr>
              <w:widowControl/>
              <w:jc w:val="center"/>
              <w:rPr>
                <w:rFonts w:ascii="仿宋_GB2312" w:eastAsia="仿宋_GB2312"/>
                <w:color w:val="auto"/>
                <w:sz w:val="24"/>
                <w:szCs w:val="24"/>
              </w:rPr>
            </w:pPr>
            <w:r>
              <w:rPr>
                <w:rFonts w:hint="eastAsia" w:ascii="仿宋_GB2312" w:hAnsi="??" w:eastAsia="仿宋_GB2312" w:cs="仿宋_GB2312"/>
                <w:sz w:val="24"/>
                <w:szCs w:val="24"/>
              </w:rPr>
              <w:t>抚顺清原夏家堡镇</w:t>
            </w:r>
            <w:r>
              <w:rPr>
                <w:rFonts w:ascii="仿宋_GB2312" w:hAnsi="??" w:eastAsia="仿宋_GB2312" w:cs="仿宋_GB2312"/>
                <w:sz w:val="24"/>
                <w:szCs w:val="24"/>
              </w:rPr>
              <w:t>1</w:t>
            </w:r>
            <w:r>
              <w:rPr>
                <w:rFonts w:hint="eastAsia" w:ascii="仿宋_GB2312" w:hAnsi="??" w:eastAsia="仿宋_GB2312" w:cs="仿宋_GB2312"/>
                <w:sz w:val="24"/>
                <w:szCs w:val="24"/>
              </w:rPr>
              <w:t>万千瓦生物质热电联产项目</w:t>
            </w:r>
          </w:p>
        </w:tc>
        <w:tc>
          <w:tcPr>
            <w:tcW w:w="855" w:type="pct"/>
            <w:vAlign w:val="center"/>
          </w:tcPr>
          <w:p>
            <w:pPr>
              <w:jc w:val="center"/>
              <w:rPr>
                <w:rFonts w:ascii="仿宋_GB2312" w:eastAsia="仿宋_GB2312"/>
                <w:color w:val="auto"/>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eastAsia="仿宋_GB2312"/>
                <w:color w:val="auto"/>
                <w:sz w:val="24"/>
                <w:szCs w:val="24"/>
              </w:rPr>
            </w:pPr>
            <w:r>
              <w:rPr>
                <w:rFonts w:hint="eastAsia" w:ascii="仿宋_GB2312" w:hAnsi="??" w:eastAsia="仿宋_GB2312" w:cs="仿宋_GB2312"/>
                <w:sz w:val="24"/>
                <w:szCs w:val="24"/>
              </w:rPr>
              <w:t>生物质</w:t>
            </w:r>
          </w:p>
        </w:tc>
        <w:tc>
          <w:tcPr>
            <w:tcW w:w="599" w:type="pct"/>
            <w:vAlign w:val="center"/>
          </w:tcPr>
          <w:p>
            <w:pPr>
              <w:pStyle w:val="2"/>
              <w:jc w:val="center"/>
              <w:rPr>
                <w:rFonts w:cs="Times New Roman"/>
                <w:color w:val="auto"/>
                <w:kern w:val="2"/>
              </w:rPr>
            </w:pPr>
            <w:r>
              <w:rPr>
                <w:kern w:val="2"/>
              </w:rPr>
              <w:t>1</w:t>
            </w:r>
          </w:p>
        </w:tc>
        <w:tc>
          <w:tcPr>
            <w:tcW w:w="388" w:type="pct"/>
            <w:vMerge w:val="continue"/>
            <w:vAlign w:val="center"/>
          </w:tcPr>
          <w:p>
            <w:pPr>
              <w:pStyle w:val="2"/>
              <w:jc w:val="center"/>
              <w:rPr>
                <w:rFonts w:cs="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21</w:t>
            </w:r>
          </w:p>
        </w:tc>
        <w:tc>
          <w:tcPr>
            <w:tcW w:w="2037" w:type="pct"/>
            <w:vAlign w:val="center"/>
          </w:tcPr>
          <w:p>
            <w:pPr>
              <w:widowControl/>
              <w:jc w:val="center"/>
              <w:rPr>
                <w:rFonts w:ascii="仿宋_GB2312" w:eastAsia="仿宋_GB2312"/>
                <w:color w:val="auto"/>
                <w:sz w:val="24"/>
                <w:szCs w:val="24"/>
              </w:rPr>
            </w:pPr>
            <w:r>
              <w:rPr>
                <w:rFonts w:hint="eastAsia" w:ascii="仿宋_GB2312" w:hAnsi="??" w:eastAsia="仿宋_GB2312" w:cs="仿宋_GB2312"/>
                <w:sz w:val="24"/>
                <w:szCs w:val="24"/>
              </w:rPr>
              <w:t>抚顺县救兵</w:t>
            </w:r>
            <w:r>
              <w:rPr>
                <w:rFonts w:ascii="仿宋_GB2312" w:hAnsi="??" w:eastAsia="仿宋_GB2312" w:cs="仿宋_GB2312"/>
                <w:sz w:val="24"/>
                <w:szCs w:val="24"/>
              </w:rPr>
              <w:t>30</w:t>
            </w:r>
            <w:r>
              <w:rPr>
                <w:rFonts w:hint="eastAsia" w:ascii="仿宋_GB2312" w:hAnsi="??" w:eastAsia="仿宋_GB2312" w:cs="仿宋_GB2312"/>
                <w:sz w:val="24"/>
                <w:szCs w:val="24"/>
              </w:rPr>
              <w:t>兆瓦生物质热电联产项目</w:t>
            </w:r>
          </w:p>
        </w:tc>
        <w:tc>
          <w:tcPr>
            <w:tcW w:w="855" w:type="pct"/>
            <w:vAlign w:val="center"/>
          </w:tcPr>
          <w:p>
            <w:pPr>
              <w:jc w:val="center"/>
              <w:rPr>
                <w:rFonts w:ascii="仿宋_GB2312" w:eastAsia="仿宋_GB2312"/>
                <w:color w:val="auto"/>
                <w:sz w:val="24"/>
                <w:szCs w:val="24"/>
              </w:rPr>
            </w:pPr>
            <w:r>
              <w:rPr>
                <w:rFonts w:hint="eastAsia" w:ascii="仿宋_GB2312" w:hAnsi="??" w:eastAsia="仿宋_GB2312" w:cs="仿宋_GB2312"/>
                <w:sz w:val="24"/>
                <w:szCs w:val="24"/>
              </w:rPr>
              <w:t>抚顺县</w:t>
            </w:r>
          </w:p>
        </w:tc>
        <w:tc>
          <w:tcPr>
            <w:tcW w:w="427" w:type="pct"/>
            <w:vAlign w:val="center"/>
          </w:tcPr>
          <w:p>
            <w:pPr>
              <w:jc w:val="center"/>
              <w:rPr>
                <w:rFonts w:ascii="仿宋_GB2312" w:eastAsia="仿宋_GB2312"/>
                <w:color w:val="auto"/>
                <w:sz w:val="24"/>
                <w:szCs w:val="24"/>
              </w:rPr>
            </w:pPr>
            <w:r>
              <w:rPr>
                <w:rFonts w:hint="eastAsia" w:ascii="仿宋_GB2312" w:hAnsi="??" w:eastAsia="仿宋_GB2312" w:cs="仿宋_GB2312"/>
                <w:sz w:val="24"/>
                <w:szCs w:val="24"/>
              </w:rPr>
              <w:t>生物质</w:t>
            </w:r>
          </w:p>
        </w:tc>
        <w:tc>
          <w:tcPr>
            <w:tcW w:w="599" w:type="pct"/>
            <w:vAlign w:val="center"/>
          </w:tcPr>
          <w:p>
            <w:pPr>
              <w:pStyle w:val="2"/>
              <w:jc w:val="center"/>
              <w:rPr>
                <w:rFonts w:cs="Times New Roman"/>
                <w:color w:val="auto"/>
                <w:kern w:val="2"/>
              </w:rPr>
            </w:pPr>
            <w:r>
              <w:rPr>
                <w:kern w:val="2"/>
              </w:rPr>
              <w:t>3</w:t>
            </w:r>
          </w:p>
        </w:tc>
        <w:tc>
          <w:tcPr>
            <w:tcW w:w="388" w:type="pct"/>
            <w:vMerge w:val="continue"/>
            <w:vAlign w:val="center"/>
          </w:tcPr>
          <w:p>
            <w:pPr>
              <w:pStyle w:val="2"/>
              <w:jc w:val="center"/>
              <w:rPr>
                <w:rFonts w:cs="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22</w:t>
            </w:r>
          </w:p>
        </w:tc>
        <w:tc>
          <w:tcPr>
            <w:tcW w:w="2037" w:type="pct"/>
            <w:vAlign w:val="center"/>
          </w:tcPr>
          <w:p>
            <w:pPr>
              <w:widowControl/>
              <w:jc w:val="center"/>
              <w:rPr>
                <w:rFonts w:ascii="仿宋_GB2312" w:eastAsia="仿宋_GB2312"/>
                <w:color w:val="auto"/>
                <w:sz w:val="24"/>
                <w:szCs w:val="24"/>
              </w:rPr>
            </w:pPr>
            <w:r>
              <w:rPr>
                <w:rFonts w:hint="eastAsia" w:ascii="仿宋_GB2312" w:hAnsi="??" w:eastAsia="仿宋_GB2312" w:cs="仿宋_GB2312"/>
                <w:sz w:val="24"/>
                <w:szCs w:val="24"/>
              </w:rPr>
              <w:t>辽宁大唐清原县红透山镇</w:t>
            </w:r>
            <w:r>
              <w:rPr>
                <w:rFonts w:ascii="仿宋_GB2312" w:hAnsi="??" w:eastAsia="仿宋_GB2312" w:cs="仿宋_GB2312"/>
                <w:sz w:val="24"/>
                <w:szCs w:val="24"/>
              </w:rPr>
              <w:t>200MW</w:t>
            </w:r>
            <w:r>
              <w:rPr>
                <w:rFonts w:hint="eastAsia" w:ascii="仿宋_GB2312" w:hAnsi="??" w:eastAsia="仿宋_GB2312" w:cs="仿宋_GB2312"/>
                <w:sz w:val="24"/>
                <w:szCs w:val="24"/>
              </w:rPr>
              <w:t>农光互补光伏发电项目</w:t>
            </w:r>
          </w:p>
        </w:tc>
        <w:tc>
          <w:tcPr>
            <w:tcW w:w="855" w:type="pct"/>
            <w:vAlign w:val="center"/>
          </w:tcPr>
          <w:p>
            <w:pPr>
              <w:jc w:val="center"/>
              <w:rPr>
                <w:rFonts w:ascii="仿宋_GB2312" w:eastAsia="仿宋_GB2312"/>
                <w:color w:val="auto"/>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eastAsia="仿宋_GB2312"/>
                <w:color w:val="auto"/>
                <w:sz w:val="24"/>
                <w:szCs w:val="24"/>
              </w:rPr>
            </w:pPr>
            <w:r>
              <w:rPr>
                <w:rFonts w:hint="eastAsia" w:ascii="仿宋_GB2312" w:hAnsi="??" w:eastAsia="仿宋_GB2312" w:cs="仿宋_GB2312"/>
                <w:sz w:val="24"/>
                <w:szCs w:val="24"/>
              </w:rPr>
              <w:t>光伏</w:t>
            </w:r>
          </w:p>
        </w:tc>
        <w:tc>
          <w:tcPr>
            <w:tcW w:w="599" w:type="pct"/>
            <w:vAlign w:val="center"/>
          </w:tcPr>
          <w:p>
            <w:pPr>
              <w:pStyle w:val="2"/>
              <w:jc w:val="center"/>
              <w:rPr>
                <w:rFonts w:cs="Times New Roman"/>
                <w:color w:val="auto"/>
                <w:kern w:val="2"/>
              </w:rPr>
            </w:pPr>
            <w:r>
              <w:rPr>
                <w:kern w:val="2"/>
              </w:rPr>
              <w:t>20</w:t>
            </w:r>
          </w:p>
        </w:tc>
        <w:tc>
          <w:tcPr>
            <w:tcW w:w="388" w:type="pct"/>
            <w:vMerge w:val="continue"/>
            <w:vAlign w:val="center"/>
          </w:tcPr>
          <w:p>
            <w:pPr>
              <w:pStyle w:val="2"/>
              <w:jc w:val="center"/>
              <w:rPr>
                <w:rFonts w:cs="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23</w:t>
            </w:r>
          </w:p>
        </w:tc>
        <w:tc>
          <w:tcPr>
            <w:tcW w:w="2037" w:type="pct"/>
            <w:vAlign w:val="center"/>
          </w:tcPr>
          <w:p>
            <w:pPr>
              <w:widowControl/>
              <w:jc w:val="center"/>
              <w:rPr>
                <w:rFonts w:ascii="仿宋_GB2312" w:hAnsi="??" w:eastAsia="仿宋_GB2312"/>
                <w:sz w:val="24"/>
                <w:szCs w:val="24"/>
              </w:rPr>
            </w:pPr>
            <w:r>
              <w:rPr>
                <w:rFonts w:hint="eastAsia" w:ascii="仿宋_GB2312" w:hAnsi="??" w:eastAsia="仿宋_GB2312" w:cs="仿宋_GB2312"/>
                <w:sz w:val="24"/>
                <w:szCs w:val="24"/>
              </w:rPr>
              <w:t>抚顺市千金乡风力发电项目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新抚区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风电</w:t>
            </w:r>
          </w:p>
        </w:tc>
        <w:tc>
          <w:tcPr>
            <w:tcW w:w="599" w:type="pct"/>
            <w:vAlign w:val="center"/>
          </w:tcPr>
          <w:p>
            <w:pPr>
              <w:pStyle w:val="2"/>
              <w:jc w:val="center"/>
              <w:rPr>
                <w:kern w:val="2"/>
              </w:rPr>
            </w:pPr>
            <w:r>
              <w:rPr>
                <w:kern w:val="2"/>
              </w:rPr>
              <w:t>20</w:t>
            </w:r>
          </w:p>
        </w:tc>
        <w:tc>
          <w:tcPr>
            <w:tcW w:w="388" w:type="pct"/>
            <w:vMerge w:val="restart"/>
            <w:vAlign w:val="center"/>
          </w:tcPr>
          <w:p>
            <w:pPr>
              <w:pStyle w:val="2"/>
              <w:jc w:val="center"/>
              <w:rPr>
                <w:rFonts w:cs="Times New Roman"/>
                <w:kern w:val="2"/>
              </w:rPr>
            </w:pPr>
            <w:r>
              <w:rPr>
                <w:rFonts w:hint="eastAsia"/>
                <w:kern w:val="2"/>
              </w:rPr>
              <w:t>储备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24</w:t>
            </w:r>
          </w:p>
        </w:tc>
        <w:tc>
          <w:tcPr>
            <w:tcW w:w="2037" w:type="pct"/>
            <w:vAlign w:val="center"/>
          </w:tcPr>
          <w:p>
            <w:pPr>
              <w:widowControl/>
              <w:jc w:val="center"/>
              <w:rPr>
                <w:rFonts w:ascii="仿宋_GB2312" w:hAnsi="??" w:eastAsia="仿宋_GB2312"/>
                <w:sz w:val="24"/>
                <w:szCs w:val="24"/>
              </w:rPr>
            </w:pPr>
            <w:r>
              <w:rPr>
                <w:rFonts w:hint="eastAsia" w:ascii="仿宋_GB2312" w:hAnsi="??" w:eastAsia="仿宋_GB2312" w:cs="仿宋_GB2312"/>
                <w:sz w:val="24"/>
                <w:szCs w:val="24"/>
              </w:rPr>
              <w:t>抚顺市东洲区</w:t>
            </w:r>
            <w:r>
              <w:rPr>
                <w:rFonts w:ascii="仿宋_GB2312" w:hAnsi="??" w:eastAsia="仿宋_GB2312" w:cs="仿宋_GB2312"/>
                <w:sz w:val="24"/>
                <w:szCs w:val="24"/>
              </w:rPr>
              <w:t>250MW</w:t>
            </w:r>
            <w:r>
              <w:rPr>
                <w:rFonts w:hint="eastAsia" w:ascii="仿宋_GB2312" w:hAnsi="??" w:eastAsia="仿宋_GB2312" w:cs="仿宋_GB2312"/>
                <w:sz w:val="24"/>
                <w:szCs w:val="24"/>
              </w:rPr>
              <w:t>多能互补</w:t>
            </w:r>
            <w:r>
              <w:rPr>
                <w:rFonts w:ascii="仿宋_GB2312" w:hAnsi="??" w:eastAsia="仿宋_GB2312" w:cs="仿宋_GB2312"/>
                <w:sz w:val="24"/>
                <w:szCs w:val="24"/>
              </w:rPr>
              <w:t>+</w:t>
            </w:r>
            <w:r>
              <w:rPr>
                <w:rFonts w:hint="eastAsia" w:ascii="仿宋_GB2312" w:hAnsi="??" w:eastAsia="仿宋_GB2312" w:cs="仿宋_GB2312"/>
                <w:sz w:val="24"/>
                <w:szCs w:val="24"/>
              </w:rPr>
              <w:t>特色旅游一体化发电示范项目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东洲区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两个一体化</w:t>
            </w:r>
          </w:p>
        </w:tc>
        <w:tc>
          <w:tcPr>
            <w:tcW w:w="599" w:type="pct"/>
            <w:vAlign w:val="center"/>
          </w:tcPr>
          <w:p>
            <w:pPr>
              <w:pStyle w:val="2"/>
              <w:jc w:val="center"/>
              <w:rPr>
                <w:kern w:val="2"/>
              </w:rPr>
            </w:pPr>
            <w:r>
              <w:rPr>
                <w:kern w:val="2"/>
              </w:rPr>
              <w:t>25</w:t>
            </w:r>
          </w:p>
        </w:tc>
        <w:tc>
          <w:tcPr>
            <w:tcW w:w="388" w:type="pct"/>
            <w:vMerge w:val="continue"/>
            <w:vAlign w:val="center"/>
          </w:tcPr>
          <w:p>
            <w:pPr>
              <w:pStyle w:val="2"/>
              <w:jc w:val="center"/>
              <w:rPr>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25</w:t>
            </w:r>
          </w:p>
        </w:tc>
        <w:tc>
          <w:tcPr>
            <w:tcW w:w="2037" w:type="pct"/>
            <w:vAlign w:val="center"/>
          </w:tcPr>
          <w:p>
            <w:pPr>
              <w:widowControl/>
              <w:jc w:val="center"/>
              <w:rPr>
                <w:rFonts w:ascii="仿宋_GB2312" w:hAnsi="??" w:eastAsia="仿宋_GB2312"/>
                <w:sz w:val="24"/>
                <w:szCs w:val="24"/>
              </w:rPr>
            </w:pPr>
            <w:r>
              <w:rPr>
                <w:rFonts w:hint="eastAsia" w:ascii="仿宋_GB2312" w:hAnsi="??" w:eastAsia="仿宋_GB2312" w:cs="仿宋_GB2312"/>
                <w:sz w:val="24"/>
                <w:szCs w:val="24"/>
              </w:rPr>
              <w:t>抚顺县</w:t>
            </w:r>
            <w:r>
              <w:rPr>
                <w:rFonts w:ascii="仿宋_GB2312" w:hAnsi="??" w:eastAsia="仿宋_GB2312" w:cs="仿宋_GB2312"/>
                <w:sz w:val="24"/>
                <w:szCs w:val="24"/>
              </w:rPr>
              <w:t>200MW</w:t>
            </w:r>
            <w:r>
              <w:rPr>
                <w:rFonts w:hint="eastAsia" w:ascii="仿宋_GB2312" w:hAnsi="??" w:eastAsia="仿宋_GB2312" w:cs="仿宋_GB2312"/>
                <w:sz w:val="24"/>
                <w:szCs w:val="24"/>
              </w:rPr>
              <w:t>平价示范风电项目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风电</w:t>
            </w:r>
          </w:p>
        </w:tc>
        <w:tc>
          <w:tcPr>
            <w:tcW w:w="599" w:type="pct"/>
            <w:vAlign w:val="center"/>
          </w:tcPr>
          <w:p>
            <w:pPr>
              <w:pStyle w:val="2"/>
              <w:jc w:val="center"/>
              <w:rPr>
                <w:kern w:val="2"/>
              </w:rPr>
            </w:pPr>
            <w:r>
              <w:rPr>
                <w:kern w:val="2"/>
              </w:rPr>
              <w:t>20</w:t>
            </w:r>
          </w:p>
        </w:tc>
        <w:tc>
          <w:tcPr>
            <w:tcW w:w="388" w:type="pct"/>
            <w:vMerge w:val="continue"/>
            <w:vAlign w:val="center"/>
          </w:tcPr>
          <w:p>
            <w:pPr>
              <w:pStyle w:val="2"/>
              <w:jc w:val="center"/>
              <w:rPr>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restart"/>
            <w:vAlign w:val="center"/>
          </w:tcPr>
          <w:p>
            <w:pPr>
              <w:pStyle w:val="2"/>
              <w:jc w:val="center"/>
              <w:rPr>
                <w:kern w:val="2"/>
              </w:rPr>
            </w:pPr>
            <w:r>
              <w:rPr>
                <w:kern w:val="2"/>
              </w:rPr>
              <w:t>2024</w:t>
            </w: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26</w:t>
            </w:r>
          </w:p>
        </w:tc>
        <w:tc>
          <w:tcPr>
            <w:tcW w:w="2037" w:type="pct"/>
            <w:vAlign w:val="center"/>
          </w:tcPr>
          <w:p>
            <w:pPr>
              <w:widowControl/>
              <w:jc w:val="center"/>
              <w:rPr>
                <w:rFonts w:ascii="仿宋_GB2312" w:hAnsi="??" w:eastAsia="仿宋_GB2312"/>
                <w:color w:val="auto"/>
                <w:kern w:val="0"/>
                <w:sz w:val="24"/>
                <w:szCs w:val="24"/>
              </w:rPr>
            </w:pPr>
            <w:r>
              <w:rPr>
                <w:rFonts w:hint="eastAsia" w:ascii="仿宋_GB2312" w:hAnsi="??" w:eastAsia="仿宋_GB2312" w:cs="仿宋_GB2312"/>
                <w:sz w:val="24"/>
                <w:szCs w:val="24"/>
              </w:rPr>
              <w:t>辽宁清原抽水蓄能电站二期</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抽水蓄能</w:t>
            </w:r>
          </w:p>
        </w:tc>
        <w:tc>
          <w:tcPr>
            <w:tcW w:w="599" w:type="pct"/>
            <w:vAlign w:val="center"/>
          </w:tcPr>
          <w:p>
            <w:pPr>
              <w:pStyle w:val="2"/>
              <w:spacing w:beforeLines="50"/>
              <w:jc w:val="center"/>
              <w:rPr>
                <w:kern w:val="2"/>
              </w:rPr>
            </w:pPr>
            <w:r>
              <w:rPr>
                <w:kern w:val="2"/>
              </w:rPr>
              <w:t>120</w:t>
            </w:r>
          </w:p>
        </w:tc>
        <w:tc>
          <w:tcPr>
            <w:tcW w:w="388" w:type="pct"/>
            <w:vMerge w:val="restart"/>
            <w:vAlign w:val="center"/>
          </w:tcPr>
          <w:p>
            <w:pPr>
              <w:pStyle w:val="2"/>
              <w:spacing w:beforeLines="50"/>
              <w:jc w:val="center"/>
              <w:rPr>
                <w:rFonts w:cs="Times New Roman"/>
                <w:kern w:val="2"/>
              </w:rPr>
            </w:pPr>
            <w:r>
              <w:rPr>
                <w:rFonts w:hint="eastAsia" w:hAnsi="??"/>
                <w:kern w:val="2"/>
              </w:rPr>
              <w:t>续建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27</w:t>
            </w:r>
          </w:p>
        </w:tc>
        <w:tc>
          <w:tcPr>
            <w:tcW w:w="2037" w:type="pct"/>
            <w:vAlign w:val="center"/>
          </w:tcPr>
          <w:p>
            <w:pPr>
              <w:widowControl/>
              <w:jc w:val="center"/>
              <w:rPr>
                <w:rFonts w:ascii="仿宋_GB2312" w:hAnsi="??" w:eastAsia="仿宋_GB2312"/>
                <w:sz w:val="24"/>
                <w:szCs w:val="24"/>
              </w:rPr>
            </w:pPr>
            <w:r>
              <w:rPr>
                <w:rFonts w:hint="eastAsia" w:ascii="仿宋_GB2312" w:hAnsi="??" w:eastAsia="仿宋_GB2312" w:cs="仿宋_GB2312"/>
                <w:sz w:val="24"/>
                <w:szCs w:val="24"/>
              </w:rPr>
              <w:t>西露天矿抽水蓄能电站项目</w:t>
            </w:r>
          </w:p>
        </w:tc>
        <w:tc>
          <w:tcPr>
            <w:tcW w:w="855" w:type="pct"/>
            <w:vAlign w:val="center"/>
          </w:tcPr>
          <w:p>
            <w:pPr>
              <w:jc w:val="center"/>
              <w:rPr>
                <w:rFonts w:ascii="仿宋_GB2312" w:hAnsi="??" w:eastAsia="仿宋_GB2312"/>
                <w:sz w:val="24"/>
                <w:szCs w:val="24"/>
              </w:rPr>
            </w:pPr>
            <w:r>
              <w:rPr>
                <w:rFonts w:hint="eastAsia" w:ascii="仿宋_GB2312" w:eastAsia="仿宋_GB2312" w:cs="仿宋_GB2312"/>
                <w:color w:val="auto"/>
                <w:sz w:val="24"/>
                <w:szCs w:val="24"/>
              </w:rPr>
              <w:t>新抚区、望花区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抽水蓄能</w:t>
            </w:r>
          </w:p>
        </w:tc>
        <w:tc>
          <w:tcPr>
            <w:tcW w:w="599" w:type="pct"/>
            <w:vAlign w:val="center"/>
          </w:tcPr>
          <w:p>
            <w:pPr>
              <w:pStyle w:val="2"/>
              <w:spacing w:beforeLines="50"/>
              <w:jc w:val="center"/>
              <w:rPr>
                <w:rFonts w:cs="Times New Roman"/>
                <w:kern w:val="2"/>
              </w:rPr>
            </w:pPr>
            <w:r>
              <w:rPr>
                <w:rFonts w:hAnsi="??"/>
                <w:kern w:val="2"/>
              </w:rPr>
              <w:t>100</w:t>
            </w:r>
          </w:p>
        </w:tc>
        <w:tc>
          <w:tcPr>
            <w:tcW w:w="388" w:type="pct"/>
            <w:vMerge w:val="continue"/>
            <w:vAlign w:val="center"/>
          </w:tcPr>
          <w:p>
            <w:pPr>
              <w:pStyle w:val="2"/>
              <w:spacing w:beforeLines="50"/>
              <w:jc w:val="center"/>
              <w:rPr>
                <w:rFonts w:hAnsi="??" w:cs="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28</w:t>
            </w:r>
          </w:p>
        </w:tc>
        <w:tc>
          <w:tcPr>
            <w:tcW w:w="2037" w:type="pct"/>
            <w:vAlign w:val="center"/>
          </w:tcPr>
          <w:p>
            <w:pPr>
              <w:widowControl/>
              <w:jc w:val="center"/>
              <w:rPr>
                <w:rFonts w:ascii="仿宋_GB2312" w:hAnsi="??" w:eastAsia="仿宋_GB2312"/>
                <w:sz w:val="24"/>
                <w:szCs w:val="24"/>
              </w:rPr>
            </w:pPr>
            <w:r>
              <w:rPr>
                <w:rFonts w:hint="eastAsia" w:ascii="仿宋_GB2312" w:hAnsi="??" w:eastAsia="仿宋_GB2312" w:cs="仿宋_GB2312"/>
                <w:sz w:val="24"/>
                <w:szCs w:val="24"/>
              </w:rPr>
              <w:t>中能建投红透山</w:t>
            </w:r>
            <w:r>
              <w:rPr>
                <w:rFonts w:ascii="仿宋_GB2312" w:hAnsi="??" w:eastAsia="仿宋_GB2312" w:cs="仿宋_GB2312"/>
                <w:sz w:val="24"/>
                <w:szCs w:val="24"/>
              </w:rPr>
              <w:t>100MW</w:t>
            </w:r>
            <w:r>
              <w:rPr>
                <w:rFonts w:hint="eastAsia" w:ascii="仿宋_GB2312" w:hAnsi="??" w:eastAsia="仿宋_GB2312" w:cs="仿宋_GB2312"/>
                <w:sz w:val="24"/>
                <w:szCs w:val="24"/>
              </w:rPr>
              <w:t>综合治理光伏发电项目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pStyle w:val="2"/>
              <w:spacing w:beforeLines="50"/>
              <w:jc w:val="center"/>
              <w:rPr>
                <w:kern w:val="2"/>
              </w:rPr>
            </w:pPr>
            <w:r>
              <w:rPr>
                <w:kern w:val="2"/>
              </w:rPr>
              <w:t>10</w:t>
            </w:r>
          </w:p>
        </w:tc>
        <w:tc>
          <w:tcPr>
            <w:tcW w:w="388" w:type="pct"/>
            <w:vMerge w:val="restart"/>
            <w:vAlign w:val="center"/>
          </w:tcPr>
          <w:p>
            <w:pPr>
              <w:pStyle w:val="2"/>
              <w:spacing w:beforeLines="50"/>
              <w:jc w:val="center"/>
              <w:rPr>
                <w:rFonts w:cs="Times New Roman"/>
                <w:kern w:val="2"/>
              </w:rPr>
            </w:pPr>
            <w:r>
              <w:rPr>
                <w:rFonts w:hint="eastAsia" w:hAnsi="??"/>
                <w:kern w:val="2"/>
              </w:rPr>
              <w:t>新开工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29</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抚顺市新宾县旺清门镇</w:t>
            </w:r>
            <w:r>
              <w:rPr>
                <w:rFonts w:ascii="仿宋_GB2312" w:hAnsi="??" w:eastAsia="仿宋_GB2312" w:cs="仿宋_GB2312"/>
                <w:sz w:val="24"/>
                <w:szCs w:val="24"/>
              </w:rPr>
              <w:t>100MW</w:t>
            </w:r>
            <w:r>
              <w:rPr>
                <w:rFonts w:hint="eastAsia" w:ascii="仿宋_GB2312" w:hAnsi="??" w:eastAsia="仿宋_GB2312" w:cs="仿宋_GB2312"/>
                <w:sz w:val="24"/>
                <w:szCs w:val="24"/>
              </w:rPr>
              <w:t>光伏发电项目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新宾县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pStyle w:val="2"/>
              <w:spacing w:beforeLines="50"/>
              <w:jc w:val="center"/>
              <w:rPr>
                <w:kern w:val="2"/>
              </w:rPr>
            </w:pPr>
            <w:r>
              <w:rPr>
                <w:kern w:val="2"/>
              </w:rPr>
              <w:t>10</w:t>
            </w:r>
          </w:p>
        </w:tc>
        <w:tc>
          <w:tcPr>
            <w:tcW w:w="388" w:type="pct"/>
            <w:vMerge w:val="continue"/>
            <w:vAlign w:val="center"/>
          </w:tcPr>
          <w:p>
            <w:pPr>
              <w:pStyle w:val="2"/>
              <w:spacing w:beforeLines="50"/>
              <w:jc w:val="center"/>
              <w:rPr>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30</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抚顺清原草市镇</w:t>
            </w:r>
            <w:r>
              <w:rPr>
                <w:rFonts w:ascii="仿宋_GB2312" w:hAnsi="??" w:eastAsia="仿宋_GB2312" w:cs="仿宋_GB2312"/>
                <w:sz w:val="24"/>
                <w:szCs w:val="24"/>
              </w:rPr>
              <w:t>0.3</w:t>
            </w:r>
            <w:r>
              <w:rPr>
                <w:rFonts w:hint="eastAsia" w:ascii="仿宋_GB2312" w:hAnsi="??" w:eastAsia="仿宋_GB2312" w:cs="仿宋_GB2312"/>
                <w:sz w:val="24"/>
                <w:szCs w:val="24"/>
              </w:rPr>
              <w:t>万千瓦生物质热电联产项目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生物质</w:t>
            </w:r>
          </w:p>
        </w:tc>
        <w:tc>
          <w:tcPr>
            <w:tcW w:w="599" w:type="pct"/>
            <w:vAlign w:val="center"/>
          </w:tcPr>
          <w:p>
            <w:pPr>
              <w:pStyle w:val="2"/>
              <w:spacing w:beforeLines="50"/>
              <w:jc w:val="center"/>
              <w:rPr>
                <w:kern w:val="2"/>
              </w:rPr>
            </w:pPr>
            <w:r>
              <w:rPr>
                <w:kern w:val="2"/>
              </w:rPr>
              <w:t>0.3</w:t>
            </w:r>
          </w:p>
        </w:tc>
        <w:tc>
          <w:tcPr>
            <w:tcW w:w="388" w:type="pct"/>
            <w:vMerge w:val="continue"/>
            <w:vAlign w:val="center"/>
          </w:tcPr>
          <w:p>
            <w:pPr>
              <w:pStyle w:val="2"/>
              <w:spacing w:beforeLines="50"/>
              <w:jc w:val="center"/>
              <w:rPr>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31</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抚顺市新宾县下夹乡</w:t>
            </w:r>
            <w:r>
              <w:rPr>
                <w:rFonts w:ascii="仿宋_GB2312" w:hAnsi="??" w:eastAsia="仿宋_GB2312" w:cs="仿宋_GB2312"/>
                <w:sz w:val="24"/>
                <w:szCs w:val="24"/>
              </w:rPr>
              <w:t>10</w:t>
            </w:r>
            <w:r>
              <w:rPr>
                <w:rFonts w:hint="eastAsia" w:ascii="仿宋_GB2312" w:hAnsi="??" w:eastAsia="仿宋_GB2312" w:cs="仿宋_GB2312"/>
                <w:sz w:val="24"/>
                <w:szCs w:val="24"/>
              </w:rPr>
              <w:t>万千瓦光伏发电项目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新宾县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pStyle w:val="2"/>
              <w:spacing w:beforeLines="50"/>
              <w:jc w:val="center"/>
              <w:rPr>
                <w:kern w:val="2"/>
              </w:rPr>
            </w:pPr>
            <w:r>
              <w:rPr>
                <w:kern w:val="2"/>
              </w:rPr>
              <w:t>10</w:t>
            </w:r>
          </w:p>
        </w:tc>
        <w:tc>
          <w:tcPr>
            <w:tcW w:w="388" w:type="pct"/>
            <w:vMerge w:val="continue"/>
            <w:vAlign w:val="center"/>
          </w:tcPr>
          <w:p>
            <w:pPr>
              <w:pStyle w:val="2"/>
              <w:spacing w:beforeLines="50"/>
              <w:jc w:val="center"/>
              <w:rPr>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32</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抚顺市新宾县永陵镇</w:t>
            </w:r>
            <w:r>
              <w:rPr>
                <w:rFonts w:ascii="仿宋_GB2312" w:hAnsi="??" w:eastAsia="仿宋_GB2312" w:cs="仿宋_GB2312"/>
                <w:sz w:val="24"/>
                <w:szCs w:val="24"/>
              </w:rPr>
              <w:t>200MW</w:t>
            </w:r>
            <w:r>
              <w:rPr>
                <w:rFonts w:hint="eastAsia" w:ascii="仿宋_GB2312" w:hAnsi="??" w:eastAsia="仿宋_GB2312" w:cs="仿宋_GB2312"/>
                <w:sz w:val="24"/>
                <w:szCs w:val="24"/>
              </w:rPr>
              <w:t>光伏发电项目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新宾县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pStyle w:val="2"/>
              <w:spacing w:beforeLines="50"/>
              <w:jc w:val="center"/>
              <w:rPr>
                <w:kern w:val="2"/>
              </w:rPr>
            </w:pPr>
            <w:r>
              <w:rPr>
                <w:kern w:val="2"/>
              </w:rPr>
              <w:t>20</w:t>
            </w:r>
          </w:p>
        </w:tc>
        <w:tc>
          <w:tcPr>
            <w:tcW w:w="388" w:type="pct"/>
            <w:vMerge w:val="continue"/>
            <w:vAlign w:val="center"/>
          </w:tcPr>
          <w:p>
            <w:pPr>
              <w:pStyle w:val="2"/>
              <w:spacing w:beforeLines="50"/>
              <w:jc w:val="center"/>
              <w:rPr>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33</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抚顺市新宾县苇子峪镇</w:t>
            </w:r>
            <w:r>
              <w:rPr>
                <w:rFonts w:ascii="仿宋_GB2312" w:hAnsi="??" w:eastAsia="仿宋_GB2312" w:cs="仿宋_GB2312"/>
                <w:sz w:val="24"/>
                <w:szCs w:val="24"/>
              </w:rPr>
              <w:t>20</w:t>
            </w:r>
            <w:r>
              <w:rPr>
                <w:rFonts w:hint="eastAsia" w:ascii="仿宋_GB2312" w:hAnsi="??" w:eastAsia="仿宋_GB2312" w:cs="仿宋_GB2312"/>
                <w:sz w:val="24"/>
                <w:szCs w:val="24"/>
              </w:rPr>
              <w:t>万千瓦光伏发电项目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新宾县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pStyle w:val="2"/>
              <w:spacing w:beforeLines="50"/>
              <w:jc w:val="center"/>
              <w:rPr>
                <w:kern w:val="2"/>
              </w:rPr>
            </w:pPr>
            <w:r>
              <w:rPr>
                <w:kern w:val="2"/>
              </w:rPr>
              <w:t>20</w:t>
            </w:r>
          </w:p>
        </w:tc>
        <w:tc>
          <w:tcPr>
            <w:tcW w:w="388" w:type="pct"/>
            <w:vMerge w:val="continue"/>
            <w:vAlign w:val="center"/>
          </w:tcPr>
          <w:p>
            <w:pPr>
              <w:pStyle w:val="2"/>
              <w:spacing w:beforeLines="50"/>
              <w:jc w:val="center"/>
              <w:rPr>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34</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中信泰富抚顺</w:t>
            </w:r>
            <w:r>
              <w:rPr>
                <w:rFonts w:ascii="仿宋_GB2312" w:hAnsi="??" w:eastAsia="仿宋_GB2312" w:cs="仿宋_GB2312"/>
                <w:sz w:val="24"/>
                <w:szCs w:val="24"/>
              </w:rPr>
              <w:t>300MW</w:t>
            </w:r>
            <w:r>
              <w:rPr>
                <w:rFonts w:hint="eastAsia" w:ascii="仿宋_GB2312" w:hAnsi="??" w:eastAsia="仿宋_GB2312" w:cs="仿宋_GB2312"/>
                <w:sz w:val="24"/>
                <w:szCs w:val="24"/>
              </w:rPr>
              <w:t>电网友好型“源网荷储”一体化项目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东洲区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两个一体化</w:t>
            </w:r>
          </w:p>
        </w:tc>
        <w:tc>
          <w:tcPr>
            <w:tcW w:w="599" w:type="pct"/>
            <w:vAlign w:val="center"/>
          </w:tcPr>
          <w:p>
            <w:pPr>
              <w:pStyle w:val="2"/>
              <w:spacing w:beforeLines="50"/>
              <w:jc w:val="center"/>
              <w:rPr>
                <w:kern w:val="2"/>
              </w:rPr>
            </w:pPr>
            <w:r>
              <w:rPr>
                <w:kern w:val="2"/>
              </w:rPr>
              <w:t>30</w:t>
            </w:r>
          </w:p>
        </w:tc>
        <w:tc>
          <w:tcPr>
            <w:tcW w:w="388" w:type="pct"/>
            <w:vAlign w:val="center"/>
          </w:tcPr>
          <w:p>
            <w:pPr>
              <w:pStyle w:val="2"/>
              <w:spacing w:beforeLines="50"/>
              <w:jc w:val="center"/>
              <w:rPr>
                <w:rFonts w:cs="Times New Roman"/>
                <w:kern w:val="2"/>
              </w:rPr>
            </w:pPr>
            <w:r>
              <w:rPr>
                <w:rFonts w:hint="eastAsia"/>
                <w:kern w:val="2"/>
              </w:rPr>
              <w:t>储备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restart"/>
            <w:vAlign w:val="center"/>
          </w:tcPr>
          <w:p>
            <w:pPr>
              <w:pStyle w:val="2"/>
              <w:jc w:val="center"/>
              <w:rPr>
                <w:kern w:val="2"/>
              </w:rPr>
            </w:pPr>
            <w:r>
              <w:rPr>
                <w:kern w:val="2"/>
              </w:rPr>
              <w:t>2025</w:t>
            </w: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35</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辽宁清原抽水蓄能电站二期</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抽水蓄能</w:t>
            </w:r>
          </w:p>
        </w:tc>
        <w:tc>
          <w:tcPr>
            <w:tcW w:w="599" w:type="pct"/>
            <w:vAlign w:val="center"/>
          </w:tcPr>
          <w:p>
            <w:pPr>
              <w:pStyle w:val="2"/>
              <w:spacing w:beforeLines="50"/>
              <w:jc w:val="center"/>
              <w:rPr>
                <w:kern w:val="2"/>
              </w:rPr>
            </w:pPr>
            <w:r>
              <w:rPr>
                <w:kern w:val="2"/>
              </w:rPr>
              <w:t>120</w:t>
            </w:r>
          </w:p>
        </w:tc>
        <w:tc>
          <w:tcPr>
            <w:tcW w:w="388" w:type="pct"/>
            <w:vMerge w:val="restart"/>
            <w:vAlign w:val="center"/>
          </w:tcPr>
          <w:p>
            <w:pPr>
              <w:pStyle w:val="2"/>
              <w:spacing w:beforeLines="50"/>
              <w:jc w:val="center"/>
              <w:rPr>
                <w:rFonts w:cs="Times New Roman"/>
                <w:kern w:val="2"/>
              </w:rPr>
            </w:pPr>
            <w:r>
              <w:rPr>
                <w:rFonts w:hint="eastAsia" w:hAnsi="??"/>
                <w:kern w:val="2"/>
              </w:rPr>
              <w:t>续建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36</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西露天矿抽水蓄能电站项目</w:t>
            </w:r>
          </w:p>
        </w:tc>
        <w:tc>
          <w:tcPr>
            <w:tcW w:w="855" w:type="pct"/>
            <w:vAlign w:val="center"/>
          </w:tcPr>
          <w:p>
            <w:pPr>
              <w:jc w:val="center"/>
              <w:rPr>
                <w:rFonts w:ascii="仿宋_GB2312" w:hAnsi="??" w:eastAsia="仿宋_GB2312"/>
                <w:sz w:val="24"/>
                <w:szCs w:val="24"/>
              </w:rPr>
            </w:pPr>
            <w:r>
              <w:rPr>
                <w:rFonts w:hint="eastAsia" w:ascii="仿宋_GB2312" w:eastAsia="仿宋_GB2312" w:cs="仿宋_GB2312"/>
                <w:color w:val="auto"/>
                <w:sz w:val="24"/>
                <w:szCs w:val="24"/>
              </w:rPr>
              <w:t>新抚区、望花区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抽水蓄能</w:t>
            </w:r>
          </w:p>
        </w:tc>
        <w:tc>
          <w:tcPr>
            <w:tcW w:w="599" w:type="pct"/>
            <w:vAlign w:val="center"/>
          </w:tcPr>
          <w:p>
            <w:pPr>
              <w:pStyle w:val="2"/>
              <w:spacing w:beforeLines="50"/>
              <w:jc w:val="center"/>
              <w:rPr>
                <w:rFonts w:cs="Times New Roman"/>
                <w:kern w:val="2"/>
              </w:rPr>
            </w:pPr>
            <w:r>
              <w:rPr>
                <w:rFonts w:hAnsi="??"/>
                <w:kern w:val="2"/>
              </w:rPr>
              <w:t>100</w:t>
            </w:r>
          </w:p>
        </w:tc>
        <w:tc>
          <w:tcPr>
            <w:tcW w:w="388" w:type="pct"/>
            <w:vMerge w:val="continue"/>
            <w:vAlign w:val="center"/>
          </w:tcPr>
          <w:p>
            <w:pPr>
              <w:pStyle w:val="2"/>
              <w:spacing w:beforeLines="50"/>
              <w:jc w:val="center"/>
              <w:rPr>
                <w:rFonts w:hAnsi="??" w:cs="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37</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抚顺市新宾县刘家村</w:t>
            </w:r>
            <w:r>
              <w:rPr>
                <w:rFonts w:ascii="仿宋_GB2312" w:hAnsi="??" w:eastAsia="仿宋_GB2312" w:cs="仿宋_GB2312"/>
                <w:sz w:val="24"/>
                <w:szCs w:val="24"/>
              </w:rPr>
              <w:t>200MW</w:t>
            </w:r>
            <w:r>
              <w:rPr>
                <w:rFonts w:hint="eastAsia" w:ascii="仿宋_GB2312" w:hAnsi="??" w:eastAsia="仿宋_GB2312" w:cs="仿宋_GB2312"/>
                <w:sz w:val="24"/>
                <w:szCs w:val="24"/>
              </w:rPr>
              <w:t>光伏发电项目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新宾县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pStyle w:val="2"/>
              <w:spacing w:beforeLines="50"/>
              <w:jc w:val="center"/>
              <w:rPr>
                <w:kern w:val="2"/>
              </w:rPr>
            </w:pPr>
            <w:r>
              <w:rPr>
                <w:kern w:val="2"/>
              </w:rPr>
              <w:t>20</w:t>
            </w:r>
          </w:p>
        </w:tc>
        <w:tc>
          <w:tcPr>
            <w:tcW w:w="388" w:type="pct"/>
            <w:vMerge w:val="restart"/>
            <w:vAlign w:val="center"/>
          </w:tcPr>
          <w:p>
            <w:pPr>
              <w:pStyle w:val="2"/>
              <w:spacing w:beforeLines="50"/>
              <w:jc w:val="center"/>
              <w:rPr>
                <w:rFonts w:cs="Times New Roman"/>
                <w:kern w:val="2"/>
              </w:rPr>
            </w:pPr>
            <w:r>
              <w:rPr>
                <w:rFonts w:hint="eastAsia" w:hAnsi="??"/>
                <w:kern w:val="2"/>
              </w:rPr>
              <w:t>新开工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38</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抚顺清原湾甸子镇</w:t>
            </w:r>
            <w:r>
              <w:rPr>
                <w:rFonts w:ascii="仿宋_GB2312" w:hAnsi="??" w:eastAsia="仿宋_GB2312" w:cs="仿宋_GB2312"/>
                <w:sz w:val="24"/>
                <w:szCs w:val="24"/>
              </w:rPr>
              <w:t>1</w:t>
            </w:r>
            <w:r>
              <w:rPr>
                <w:rFonts w:hint="eastAsia" w:ascii="仿宋_GB2312" w:hAnsi="??" w:eastAsia="仿宋_GB2312" w:cs="仿宋_GB2312"/>
                <w:sz w:val="24"/>
                <w:szCs w:val="24"/>
              </w:rPr>
              <w:t>万千瓦生物质热电联产项目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生物质</w:t>
            </w:r>
          </w:p>
        </w:tc>
        <w:tc>
          <w:tcPr>
            <w:tcW w:w="599" w:type="pct"/>
            <w:vAlign w:val="center"/>
          </w:tcPr>
          <w:p>
            <w:pPr>
              <w:pStyle w:val="2"/>
              <w:spacing w:beforeLines="50"/>
              <w:jc w:val="center"/>
              <w:rPr>
                <w:kern w:val="2"/>
              </w:rPr>
            </w:pPr>
            <w:r>
              <w:rPr>
                <w:kern w:val="2"/>
              </w:rPr>
              <w:t>1</w:t>
            </w:r>
          </w:p>
        </w:tc>
        <w:tc>
          <w:tcPr>
            <w:tcW w:w="388" w:type="pct"/>
            <w:vMerge w:val="continue"/>
            <w:vAlign w:val="center"/>
          </w:tcPr>
          <w:p>
            <w:pPr>
              <w:pStyle w:val="2"/>
              <w:spacing w:beforeLines="50"/>
              <w:jc w:val="center"/>
              <w:rPr>
                <w:rFonts w:hAnsi="??" w:cs="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39</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抚顺上电东洲兰山乡风力发电项目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东洲区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风电</w:t>
            </w:r>
          </w:p>
        </w:tc>
        <w:tc>
          <w:tcPr>
            <w:tcW w:w="599" w:type="pct"/>
            <w:vAlign w:val="center"/>
          </w:tcPr>
          <w:p>
            <w:pPr>
              <w:pStyle w:val="2"/>
              <w:spacing w:beforeLines="50"/>
              <w:jc w:val="center"/>
              <w:rPr>
                <w:kern w:val="2"/>
              </w:rPr>
            </w:pPr>
            <w:r>
              <w:rPr>
                <w:kern w:val="2"/>
              </w:rPr>
              <w:t>60</w:t>
            </w:r>
          </w:p>
        </w:tc>
        <w:tc>
          <w:tcPr>
            <w:tcW w:w="388" w:type="pct"/>
            <w:vAlign w:val="center"/>
          </w:tcPr>
          <w:p>
            <w:pPr>
              <w:pStyle w:val="2"/>
              <w:jc w:val="center"/>
              <w:rPr>
                <w:rFonts w:cs="Times New Roman"/>
                <w:kern w:val="2"/>
              </w:rPr>
            </w:pPr>
            <w:r>
              <w:rPr>
                <w:rFonts w:hint="eastAsia"/>
                <w:kern w:val="2"/>
              </w:rPr>
              <w:t>储备</w:t>
            </w:r>
          </w:p>
        </w:tc>
      </w:tr>
    </w:tbl>
    <w:p>
      <w:pPr>
        <w:spacing w:line="579" w:lineRule="exact"/>
        <w:ind w:firstLine="640" w:firstLineChars="200"/>
        <w:rPr>
          <w:rFonts w:eastAsia="仿宋_GB2312"/>
          <w:sz w:val="32"/>
          <w:szCs w:val="32"/>
        </w:rPr>
      </w:pPr>
      <w:r>
        <w:rPr>
          <w:rFonts w:hint="eastAsia" w:eastAsia="仿宋_GB2312" w:cs="仿宋_GB2312"/>
          <w:sz w:val="32"/>
          <w:szCs w:val="32"/>
        </w:rPr>
        <w:t>将视上级政策及指标下达情况，动态调整项目内容及开发时序。</w:t>
      </w:r>
    </w:p>
    <w:p>
      <w:pPr>
        <w:autoSpaceDE w:val="0"/>
        <w:autoSpaceDN w:val="0"/>
        <w:adjustRightInd w:val="0"/>
        <w:snapToGrid w:val="0"/>
        <w:spacing w:beforeLines="100" w:afterLines="100" w:line="360" w:lineRule="auto"/>
        <w:outlineLvl w:val="0"/>
        <w:rPr>
          <w:rFonts w:ascii="仿宋_GB2312" w:eastAsia="仿宋_GB2312"/>
          <w:color w:val="auto"/>
          <w:sz w:val="32"/>
          <w:szCs w:val="32"/>
        </w:rPr>
      </w:pPr>
      <w:r>
        <w:rPr>
          <w:rFonts w:eastAsia="仿宋_GB2312"/>
          <w:sz w:val="32"/>
          <w:szCs w:val="32"/>
        </w:rPr>
        <w:br w:type="page"/>
      </w:r>
      <w:bookmarkStart w:id="129" w:name="_Toc86233348"/>
      <w:r>
        <w:rPr>
          <w:rFonts w:hint="eastAsia" w:ascii="仿宋_GB2312" w:eastAsia="仿宋_GB2312" w:cs="仿宋_GB2312"/>
          <w:color w:val="auto"/>
          <w:sz w:val="32"/>
          <w:szCs w:val="32"/>
        </w:rPr>
        <w:t>附件</w:t>
      </w:r>
      <w:r>
        <w:rPr>
          <w:rFonts w:ascii="仿宋_GB2312" w:eastAsia="仿宋_GB2312" w:cs="仿宋_GB2312"/>
          <w:color w:val="auto"/>
          <w:sz w:val="32"/>
          <w:szCs w:val="32"/>
        </w:rPr>
        <w:t>3</w:t>
      </w:r>
    </w:p>
    <w:p>
      <w:pPr>
        <w:autoSpaceDE w:val="0"/>
        <w:autoSpaceDN w:val="0"/>
        <w:adjustRightInd w:val="0"/>
        <w:snapToGrid w:val="0"/>
        <w:spacing w:beforeLines="100" w:afterLines="100" w:line="360" w:lineRule="auto"/>
        <w:jc w:val="center"/>
        <w:outlineLvl w:val="0"/>
        <w:rPr>
          <w:rFonts w:ascii="仿宋_GB2312" w:eastAsia="仿宋_GB2312"/>
          <w:color w:val="auto"/>
          <w:sz w:val="32"/>
          <w:szCs w:val="32"/>
        </w:rPr>
      </w:pPr>
      <w:r>
        <w:rPr>
          <w:rFonts w:ascii="仿宋_GB2312" w:eastAsia="仿宋_GB2312" w:cs="仿宋_GB2312"/>
          <w:color w:val="auto"/>
          <w:sz w:val="32"/>
          <w:szCs w:val="32"/>
        </w:rPr>
        <w:t xml:space="preserve"> </w:t>
      </w:r>
      <w:r>
        <w:rPr>
          <w:rFonts w:hint="eastAsia" w:ascii="仿宋_GB2312" w:eastAsia="仿宋_GB2312" w:cs="仿宋_GB2312"/>
          <w:color w:val="auto"/>
          <w:sz w:val="32"/>
          <w:szCs w:val="32"/>
        </w:rPr>
        <w:t>抚顺市新型清洁能源产业招商图谱</w:t>
      </w:r>
      <w:bookmarkEnd w:id="129"/>
    </w:p>
    <w:p>
      <w:pPr>
        <w:pStyle w:val="2"/>
        <w:rPr>
          <w:rFonts w:cs="Times New Roman"/>
        </w:rPr>
      </w:pPr>
    </w:p>
    <w:p>
      <w:pPr>
        <w:pStyle w:val="2"/>
        <w:rPr>
          <w:rFonts w:cs="Times New Roman"/>
        </w:rPr>
      </w:pPr>
      <w:r>
        <w:rPr>
          <w:rFonts w:cs="Times New Roman"/>
        </w:rPr>
        <w:pict>
          <v:shape id="_x0000_i1027" o:spt="75" type="#_x0000_t75" style="height:306pt;width:408pt;" filled="f" o:preferrelative="t" stroked="f" coordsize="21600,21600">
            <v:path/>
            <v:fill on="f" focussize="0,0"/>
            <v:stroke on="f" joinstyle="miter"/>
            <v:imagedata r:id="rId12" o:title=""/>
            <o:lock v:ext="edit" aspectratio="t"/>
            <w10:wrap type="none"/>
            <w10:anchorlock/>
          </v:shape>
        </w:pict>
      </w:r>
    </w:p>
    <w:sectPr>
      <w:footerReference r:id="rId8"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等线 Light">
    <w:panose1 w:val="02010600030101010101"/>
    <w:charset w:val="86"/>
    <w:family w:val="auto"/>
    <w:pitch w:val="default"/>
    <w:sig w:usb0="A00002BF" w:usb1="38CF7CFA" w:usb2="00000016" w:usb3="00000000" w:csb0="0004000F" w:csb1="00000000"/>
  </w:font>
  <w:font w:name="华文中宋">
    <w:altName w:val="宋体"/>
    <w:panose1 w:val="02010600040101010101"/>
    <w:charset w:val="86"/>
    <w:family w:val="auto"/>
    <w:pitch w:val="default"/>
    <w:sig w:usb0="00000000" w:usb1="00000000" w:usb2="00000010" w:usb3="00000000" w:csb0="0004009F" w:csb1="00000000"/>
  </w:font>
  <w:font w:name="Arial Unicode MS">
    <w:altName w:val="Arial"/>
    <w:panose1 w:val="020B0604020202020204"/>
    <w:charset w:val="00"/>
    <w:family w:val="roman"/>
    <w:pitch w:val="default"/>
    <w:sig w:usb0="00000000" w:usb1="00000000" w:usb2="00000000" w:usb3="00000000" w:csb0="00000001" w:csb1="00000000"/>
  </w:font>
  <w:font w:name="Arial Narrow">
    <w:altName w:val="Arial"/>
    <w:panose1 w:val="020B0506020202030204"/>
    <w:charset w:val="00"/>
    <w:family w:val="swiss"/>
    <w:pitch w:val="default"/>
    <w:sig w:usb0="00000000" w:usb1="00000000" w:usb2="00000000" w:usb3="00000000" w:csb0="0000009F" w:csb1="00000000"/>
  </w:font>
  <w:font w:name="Wide Latin">
    <w:altName w:val="Segoe Print"/>
    <w:panose1 w:val="00000000000000000000"/>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Tahoma">
    <w:panose1 w:val="020B0604030504040204"/>
    <w:charset w:val="00"/>
    <w:family w:val="swiss"/>
    <w:pitch w:val="default"/>
    <w:sig w:usb0="E1002EFF" w:usb1="C000605B" w:usb2="00000029" w:usb3="00000000" w:csb0="200101FF" w:csb1="20280000"/>
  </w:font>
  <w:font w:name="楷体_GB2312">
    <w:altName w:val="楷体"/>
    <w:panose1 w:val="02010609030101010101"/>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Sim Sun">
    <w:altName w:val="宋体"/>
    <w:panose1 w:val="00000000000000000000"/>
    <w:charset w:val="86"/>
    <w:family w:val="swiss"/>
    <w:pitch w:val="default"/>
    <w:sig w:usb0="00000000" w:usb1="00000000" w:usb2="00000010" w:usb3="00000000" w:csb0="00040000" w:csb1="00000000"/>
  </w:font>
  <w:font w:name="Times">
    <w:altName w:val="Times New Roman"/>
    <w:panose1 w:val="02020603060405020304"/>
    <w:charset w:val="00"/>
    <w:family w:val="roman"/>
    <w:pitch w:val="default"/>
    <w:sig w:usb0="00000000" w:usb1="00000000" w:usb2="00000000" w:usb3="00000000" w:csb0="000001FF" w:csb1="00000000"/>
  </w:font>
  <w:font w:name="Verdana">
    <w:panose1 w:val="020B0604030504040204"/>
    <w:charset w:val="00"/>
    <w:family w:val="swiss"/>
    <w:pitch w:val="default"/>
    <w:sig w:usb0="A00006FF" w:usb1="4000205B" w:usb2="00000010" w:usb3="00000000" w:csb0="2000019F" w:csb1="00000000"/>
  </w:font>
  <w:font w:name="Sim Sun+ 2">
    <w:altName w:val="黑体"/>
    <w:panose1 w:val="00000000000000000000"/>
    <w:charset w:val="86"/>
    <w:family w:val="auto"/>
    <w:pitch w:val="default"/>
    <w:sig w:usb0="00000000" w:usb1="00000000" w:usb2="00000010" w:usb3="00000000" w:csb0="00040000" w:csb1="00000000"/>
  </w:font>
  <w:font w:name="??">
    <w:altName w:val="Segoe Print"/>
    <w:panose1 w:val="00000000000000000000"/>
    <w:charset w:val="00"/>
    <w:family w:val="auto"/>
    <w:pitch w:val="default"/>
    <w:sig w:usb0="00000000" w:usb1="00000000" w:usb2="00000000" w:usb3="00000000" w:csb0="00000001" w:csb1="00000000"/>
  </w:font>
  <w:font w:name="方正粗黑宋简体">
    <w:altName w:val="宋体"/>
    <w:panose1 w:val="00000000000000000000"/>
    <w:charset w:val="86"/>
    <w:family w:val="auto"/>
    <w:pitch w:val="default"/>
    <w:sig w:usb0="00000000" w:usb1="0000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jc w:val="center"/>
    </w:pPr>
    <w:r>
      <w:fldChar w:fldCharType="begin"/>
    </w:r>
    <w:r>
      <w:instrText xml:space="preserve">PAGE   \* MERGEFORMAT</w:instrText>
    </w:r>
    <w:r>
      <w:fldChar w:fldCharType="separate"/>
    </w:r>
    <w:r>
      <w:rPr>
        <w:lang w:val="zh-CN"/>
      </w:rPr>
      <w:t>-</w:t>
    </w:r>
    <w:r>
      <w:t xml:space="preserve"> 2 -</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jc w:val="center"/>
    </w:pPr>
    <w:r>
      <w:fldChar w:fldCharType="begin"/>
    </w:r>
    <w:r>
      <w:instrText xml:space="preserve">PAGE   \* MERGEFORMAT</w:instrText>
    </w:r>
    <w:r>
      <w:fldChar w:fldCharType="separate"/>
    </w:r>
    <w:r>
      <w:rPr>
        <w:lang w:val="zh-CN"/>
      </w:rPr>
      <w:t>8</w:t>
    </w:r>
    <w:r>
      <w:rPr>
        <w:lang w:val="zh-CN"/>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jc w:val="center"/>
    </w:pPr>
    <w:r>
      <w:fldChar w:fldCharType="begin"/>
    </w:r>
    <w:r>
      <w:instrText xml:space="preserve">PAGE   \* MERGEFORMAT</w:instrText>
    </w:r>
    <w:r>
      <w:fldChar w:fldCharType="separate"/>
    </w:r>
    <w:r>
      <w:rPr>
        <w:lang w:val="zh-CN"/>
      </w:rPr>
      <w:t>36</w:t>
    </w:r>
    <w:r>
      <w:rPr>
        <w:lang w:val="zh-CN"/>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jc w:val="center"/>
    </w:pPr>
    <w:r>
      <w:fldChar w:fldCharType="begin"/>
    </w:r>
    <w:r>
      <w:instrText xml:space="preserve">PAGE   \* MERGEFORMAT</w:instrText>
    </w:r>
    <w:r>
      <w:fldChar w:fldCharType="separate"/>
    </w:r>
    <w:r>
      <w:rPr>
        <w:lang w:val="zh-CN"/>
      </w:rPr>
      <w:t>48</w:t>
    </w:r>
    <w:r>
      <w:rPr>
        <w:lang w:val="zh-CN"/>
      </w:rP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4"/>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4"/>
      <w:rPr>
        <w:rFonts w:ascii="宋体"/>
      </w:rPr>
    </w:pPr>
    <w:r>
      <w:rPr>
        <w:rFonts w:hint="eastAsia" w:ascii="宋体" w:hAnsi="宋体" w:cs="宋体"/>
      </w:rPr>
      <w:t>抚顺市新型清洁能源产业“十四五”发展规划</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oNotHyphenateCaps/>
  <w:drawingGridHorizontalSpacing w:val="105"/>
  <w:drawingGridVerticalSpacing w:val="156"/>
  <w:noPunctuationKerning w:val="1"/>
  <w:characterSpacingControl w:val="compressPunctuation"/>
  <w:noLineBreaksAfter w:lang="zh-CN" w:val="$([{£¥·‘“〈《「『【〔〖〝﹙﹛﹝＄（．［｛￡￥"/>
  <w:noLineBreaksBefore w:lang="zh-CN" w:val="!%),.:;&gt;?]}¢¨°·ˇˉ―‖’”…‰′″›℃∶、。〃〉》」』】〕〗〞︶︺︾﹀﹄﹚﹜﹞！＂％＇），．：；？］｀｜｝～￠"/>
  <w:doNotValidateAgainstSchema/>
  <w:doNotDemarcateInvalidXml/>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172A27"/>
    <w:rsid w:val="000019B1"/>
    <w:rsid w:val="00001E87"/>
    <w:rsid w:val="00003D54"/>
    <w:rsid w:val="00005DCB"/>
    <w:rsid w:val="00006779"/>
    <w:rsid w:val="00006D0E"/>
    <w:rsid w:val="00007B58"/>
    <w:rsid w:val="00011E68"/>
    <w:rsid w:val="0001421E"/>
    <w:rsid w:val="00014F7B"/>
    <w:rsid w:val="00015C6F"/>
    <w:rsid w:val="00015D2E"/>
    <w:rsid w:val="000169E5"/>
    <w:rsid w:val="00020ABF"/>
    <w:rsid w:val="000216A2"/>
    <w:rsid w:val="00022206"/>
    <w:rsid w:val="000225CF"/>
    <w:rsid w:val="000234E3"/>
    <w:rsid w:val="00026805"/>
    <w:rsid w:val="00027338"/>
    <w:rsid w:val="0003250E"/>
    <w:rsid w:val="00032B86"/>
    <w:rsid w:val="00033FD2"/>
    <w:rsid w:val="000348C0"/>
    <w:rsid w:val="00035D59"/>
    <w:rsid w:val="00035DE0"/>
    <w:rsid w:val="000365D9"/>
    <w:rsid w:val="000402B7"/>
    <w:rsid w:val="00042101"/>
    <w:rsid w:val="00043A63"/>
    <w:rsid w:val="00043DA5"/>
    <w:rsid w:val="0004435B"/>
    <w:rsid w:val="00046587"/>
    <w:rsid w:val="0004713D"/>
    <w:rsid w:val="0004799D"/>
    <w:rsid w:val="00047BAF"/>
    <w:rsid w:val="00050379"/>
    <w:rsid w:val="00051D08"/>
    <w:rsid w:val="000565F5"/>
    <w:rsid w:val="00062AF3"/>
    <w:rsid w:val="000631AB"/>
    <w:rsid w:val="00065298"/>
    <w:rsid w:val="00067079"/>
    <w:rsid w:val="000709BA"/>
    <w:rsid w:val="00075DAA"/>
    <w:rsid w:val="000771B2"/>
    <w:rsid w:val="00077C8C"/>
    <w:rsid w:val="00077F2D"/>
    <w:rsid w:val="00082B99"/>
    <w:rsid w:val="00082BD3"/>
    <w:rsid w:val="000862FA"/>
    <w:rsid w:val="00090A7F"/>
    <w:rsid w:val="0009265D"/>
    <w:rsid w:val="00094749"/>
    <w:rsid w:val="000955A0"/>
    <w:rsid w:val="00095F2C"/>
    <w:rsid w:val="00096117"/>
    <w:rsid w:val="00097DED"/>
    <w:rsid w:val="000A0EFA"/>
    <w:rsid w:val="000A1316"/>
    <w:rsid w:val="000A14D2"/>
    <w:rsid w:val="000A1EAD"/>
    <w:rsid w:val="000A20BF"/>
    <w:rsid w:val="000A2B2B"/>
    <w:rsid w:val="000A4A8A"/>
    <w:rsid w:val="000A7B4E"/>
    <w:rsid w:val="000B0836"/>
    <w:rsid w:val="000B0BBD"/>
    <w:rsid w:val="000B1003"/>
    <w:rsid w:val="000B103D"/>
    <w:rsid w:val="000B2D7A"/>
    <w:rsid w:val="000B4A1B"/>
    <w:rsid w:val="000B694B"/>
    <w:rsid w:val="000B6C30"/>
    <w:rsid w:val="000B71C4"/>
    <w:rsid w:val="000B773D"/>
    <w:rsid w:val="000C01E7"/>
    <w:rsid w:val="000C0D66"/>
    <w:rsid w:val="000C315B"/>
    <w:rsid w:val="000C397B"/>
    <w:rsid w:val="000C4EE3"/>
    <w:rsid w:val="000C73F3"/>
    <w:rsid w:val="000D096B"/>
    <w:rsid w:val="000D0989"/>
    <w:rsid w:val="000D0B46"/>
    <w:rsid w:val="000D24A0"/>
    <w:rsid w:val="000D375F"/>
    <w:rsid w:val="000D39E5"/>
    <w:rsid w:val="000D5F0F"/>
    <w:rsid w:val="000D6B86"/>
    <w:rsid w:val="000E0220"/>
    <w:rsid w:val="000E0516"/>
    <w:rsid w:val="000E2348"/>
    <w:rsid w:val="000E2989"/>
    <w:rsid w:val="000E4084"/>
    <w:rsid w:val="000E44E2"/>
    <w:rsid w:val="000E5072"/>
    <w:rsid w:val="000E55EB"/>
    <w:rsid w:val="000E62BF"/>
    <w:rsid w:val="000F2C6C"/>
    <w:rsid w:val="000F34A8"/>
    <w:rsid w:val="000F462E"/>
    <w:rsid w:val="000F6B39"/>
    <w:rsid w:val="000F7541"/>
    <w:rsid w:val="0010012F"/>
    <w:rsid w:val="001004B6"/>
    <w:rsid w:val="00100610"/>
    <w:rsid w:val="00101659"/>
    <w:rsid w:val="00105EF8"/>
    <w:rsid w:val="00106881"/>
    <w:rsid w:val="00106AE5"/>
    <w:rsid w:val="0010723B"/>
    <w:rsid w:val="00107F2F"/>
    <w:rsid w:val="00110348"/>
    <w:rsid w:val="00111000"/>
    <w:rsid w:val="00111015"/>
    <w:rsid w:val="00111A39"/>
    <w:rsid w:val="00111A41"/>
    <w:rsid w:val="00111A52"/>
    <w:rsid w:val="00111CD3"/>
    <w:rsid w:val="0011205E"/>
    <w:rsid w:val="0011242D"/>
    <w:rsid w:val="00113506"/>
    <w:rsid w:val="001136FA"/>
    <w:rsid w:val="00114D75"/>
    <w:rsid w:val="00115195"/>
    <w:rsid w:val="00115ABA"/>
    <w:rsid w:val="00117DC6"/>
    <w:rsid w:val="00121D20"/>
    <w:rsid w:val="001236CC"/>
    <w:rsid w:val="00124983"/>
    <w:rsid w:val="00125285"/>
    <w:rsid w:val="0012625E"/>
    <w:rsid w:val="00130434"/>
    <w:rsid w:val="00131038"/>
    <w:rsid w:val="001311E1"/>
    <w:rsid w:val="00131F22"/>
    <w:rsid w:val="001334BF"/>
    <w:rsid w:val="00133A51"/>
    <w:rsid w:val="001365D7"/>
    <w:rsid w:val="001367B1"/>
    <w:rsid w:val="00136BD9"/>
    <w:rsid w:val="00140172"/>
    <w:rsid w:val="0014034A"/>
    <w:rsid w:val="0014038F"/>
    <w:rsid w:val="00140F99"/>
    <w:rsid w:val="00142C16"/>
    <w:rsid w:val="00144C6B"/>
    <w:rsid w:val="001454ED"/>
    <w:rsid w:val="00150FC9"/>
    <w:rsid w:val="001521BB"/>
    <w:rsid w:val="001539C0"/>
    <w:rsid w:val="00156F3C"/>
    <w:rsid w:val="00157C1C"/>
    <w:rsid w:val="00162311"/>
    <w:rsid w:val="00163E72"/>
    <w:rsid w:val="00166042"/>
    <w:rsid w:val="001713ED"/>
    <w:rsid w:val="00172A27"/>
    <w:rsid w:val="00173CA3"/>
    <w:rsid w:val="00174087"/>
    <w:rsid w:val="00174F66"/>
    <w:rsid w:val="00177C59"/>
    <w:rsid w:val="00177D24"/>
    <w:rsid w:val="00180058"/>
    <w:rsid w:val="001806AB"/>
    <w:rsid w:val="00180DF0"/>
    <w:rsid w:val="00182E41"/>
    <w:rsid w:val="001868FC"/>
    <w:rsid w:val="00187729"/>
    <w:rsid w:val="00190A48"/>
    <w:rsid w:val="00192927"/>
    <w:rsid w:val="00192BB0"/>
    <w:rsid w:val="00192BB9"/>
    <w:rsid w:val="00193160"/>
    <w:rsid w:val="00194668"/>
    <w:rsid w:val="00194CFD"/>
    <w:rsid w:val="001A015A"/>
    <w:rsid w:val="001A01FA"/>
    <w:rsid w:val="001A1662"/>
    <w:rsid w:val="001A31E6"/>
    <w:rsid w:val="001A43F8"/>
    <w:rsid w:val="001A48A4"/>
    <w:rsid w:val="001A6A89"/>
    <w:rsid w:val="001A75B5"/>
    <w:rsid w:val="001B0BDB"/>
    <w:rsid w:val="001B0E67"/>
    <w:rsid w:val="001B2531"/>
    <w:rsid w:val="001B3693"/>
    <w:rsid w:val="001B389B"/>
    <w:rsid w:val="001B55C8"/>
    <w:rsid w:val="001B6F94"/>
    <w:rsid w:val="001C3B6B"/>
    <w:rsid w:val="001C46D2"/>
    <w:rsid w:val="001D081D"/>
    <w:rsid w:val="001D2553"/>
    <w:rsid w:val="001D32BF"/>
    <w:rsid w:val="001D346A"/>
    <w:rsid w:val="001D55DC"/>
    <w:rsid w:val="001D563F"/>
    <w:rsid w:val="001D564C"/>
    <w:rsid w:val="001D62C4"/>
    <w:rsid w:val="001D7064"/>
    <w:rsid w:val="001D73F5"/>
    <w:rsid w:val="001D7BD8"/>
    <w:rsid w:val="001E08DE"/>
    <w:rsid w:val="001E10DF"/>
    <w:rsid w:val="001E1B56"/>
    <w:rsid w:val="001E73A8"/>
    <w:rsid w:val="001E7AC9"/>
    <w:rsid w:val="001E7E77"/>
    <w:rsid w:val="001F10F6"/>
    <w:rsid w:val="001F1534"/>
    <w:rsid w:val="001F231D"/>
    <w:rsid w:val="001F56CD"/>
    <w:rsid w:val="001F6CBF"/>
    <w:rsid w:val="001F7098"/>
    <w:rsid w:val="001F78B4"/>
    <w:rsid w:val="002008EE"/>
    <w:rsid w:val="00201D65"/>
    <w:rsid w:val="002024EA"/>
    <w:rsid w:val="002033FC"/>
    <w:rsid w:val="00206D48"/>
    <w:rsid w:val="002103AE"/>
    <w:rsid w:val="002119E4"/>
    <w:rsid w:val="00211BF9"/>
    <w:rsid w:val="00211C4D"/>
    <w:rsid w:val="00213070"/>
    <w:rsid w:val="002144D6"/>
    <w:rsid w:val="0021578B"/>
    <w:rsid w:val="0021702C"/>
    <w:rsid w:val="00217B4B"/>
    <w:rsid w:val="002206E7"/>
    <w:rsid w:val="00220C75"/>
    <w:rsid w:val="0022119B"/>
    <w:rsid w:val="00222B8F"/>
    <w:rsid w:val="00223117"/>
    <w:rsid w:val="00224670"/>
    <w:rsid w:val="0022471B"/>
    <w:rsid w:val="00224EFE"/>
    <w:rsid w:val="00225429"/>
    <w:rsid w:val="00227283"/>
    <w:rsid w:val="00230DED"/>
    <w:rsid w:val="00230F4E"/>
    <w:rsid w:val="00231A49"/>
    <w:rsid w:val="00232E2A"/>
    <w:rsid w:val="00233E36"/>
    <w:rsid w:val="002345EE"/>
    <w:rsid w:val="00237F28"/>
    <w:rsid w:val="0024049C"/>
    <w:rsid w:val="00241054"/>
    <w:rsid w:val="002419BF"/>
    <w:rsid w:val="00245277"/>
    <w:rsid w:val="0024528A"/>
    <w:rsid w:val="002452F7"/>
    <w:rsid w:val="00245A84"/>
    <w:rsid w:val="002468B4"/>
    <w:rsid w:val="00246B41"/>
    <w:rsid w:val="002506A5"/>
    <w:rsid w:val="00251A84"/>
    <w:rsid w:val="0025213C"/>
    <w:rsid w:val="0025611A"/>
    <w:rsid w:val="002568FC"/>
    <w:rsid w:val="002579BB"/>
    <w:rsid w:val="002606A5"/>
    <w:rsid w:val="00260960"/>
    <w:rsid w:val="00260C83"/>
    <w:rsid w:val="002612B0"/>
    <w:rsid w:val="00262025"/>
    <w:rsid w:val="00262327"/>
    <w:rsid w:val="00262834"/>
    <w:rsid w:val="002641F7"/>
    <w:rsid w:val="00265510"/>
    <w:rsid w:val="00266CD1"/>
    <w:rsid w:val="0027086D"/>
    <w:rsid w:val="00271883"/>
    <w:rsid w:val="00271C4D"/>
    <w:rsid w:val="0027217C"/>
    <w:rsid w:val="00272561"/>
    <w:rsid w:val="00273558"/>
    <w:rsid w:val="00274146"/>
    <w:rsid w:val="002743A0"/>
    <w:rsid w:val="002753D4"/>
    <w:rsid w:val="002756E6"/>
    <w:rsid w:val="00275A88"/>
    <w:rsid w:val="002769FF"/>
    <w:rsid w:val="00277676"/>
    <w:rsid w:val="0027778C"/>
    <w:rsid w:val="00277B60"/>
    <w:rsid w:val="00277BDC"/>
    <w:rsid w:val="0028115F"/>
    <w:rsid w:val="002815F4"/>
    <w:rsid w:val="0028179D"/>
    <w:rsid w:val="002832C8"/>
    <w:rsid w:val="00283C09"/>
    <w:rsid w:val="00285189"/>
    <w:rsid w:val="00286779"/>
    <w:rsid w:val="002873E8"/>
    <w:rsid w:val="00287467"/>
    <w:rsid w:val="00290344"/>
    <w:rsid w:val="00291B18"/>
    <w:rsid w:val="00291F40"/>
    <w:rsid w:val="00292911"/>
    <w:rsid w:val="00294528"/>
    <w:rsid w:val="002978B5"/>
    <w:rsid w:val="00297BC6"/>
    <w:rsid w:val="00297C37"/>
    <w:rsid w:val="00297D2D"/>
    <w:rsid w:val="002A04C6"/>
    <w:rsid w:val="002A272D"/>
    <w:rsid w:val="002A3566"/>
    <w:rsid w:val="002A3745"/>
    <w:rsid w:val="002A4235"/>
    <w:rsid w:val="002A4C8C"/>
    <w:rsid w:val="002A4CD7"/>
    <w:rsid w:val="002A540B"/>
    <w:rsid w:val="002A66D4"/>
    <w:rsid w:val="002A74FA"/>
    <w:rsid w:val="002B06C3"/>
    <w:rsid w:val="002B26D4"/>
    <w:rsid w:val="002B2EA1"/>
    <w:rsid w:val="002B3355"/>
    <w:rsid w:val="002B593F"/>
    <w:rsid w:val="002B6B8F"/>
    <w:rsid w:val="002B7287"/>
    <w:rsid w:val="002B74CA"/>
    <w:rsid w:val="002B76D4"/>
    <w:rsid w:val="002B7DBB"/>
    <w:rsid w:val="002C1716"/>
    <w:rsid w:val="002C2666"/>
    <w:rsid w:val="002C2733"/>
    <w:rsid w:val="002C3544"/>
    <w:rsid w:val="002C3C08"/>
    <w:rsid w:val="002C40FF"/>
    <w:rsid w:val="002C47CE"/>
    <w:rsid w:val="002C729C"/>
    <w:rsid w:val="002C7A55"/>
    <w:rsid w:val="002D11D8"/>
    <w:rsid w:val="002D1DEA"/>
    <w:rsid w:val="002D3126"/>
    <w:rsid w:val="002D4A65"/>
    <w:rsid w:val="002D58E9"/>
    <w:rsid w:val="002D5986"/>
    <w:rsid w:val="002D6DF2"/>
    <w:rsid w:val="002D6EF2"/>
    <w:rsid w:val="002E251F"/>
    <w:rsid w:val="002E3255"/>
    <w:rsid w:val="002E37A2"/>
    <w:rsid w:val="002E39AB"/>
    <w:rsid w:val="002E4960"/>
    <w:rsid w:val="002E4D8D"/>
    <w:rsid w:val="002E6B7F"/>
    <w:rsid w:val="002E73CE"/>
    <w:rsid w:val="002F17C7"/>
    <w:rsid w:val="002F1858"/>
    <w:rsid w:val="002F28DE"/>
    <w:rsid w:val="002F2FFE"/>
    <w:rsid w:val="002F4042"/>
    <w:rsid w:val="002F45DA"/>
    <w:rsid w:val="002F6D88"/>
    <w:rsid w:val="0030258D"/>
    <w:rsid w:val="003040D4"/>
    <w:rsid w:val="00304C3B"/>
    <w:rsid w:val="00305888"/>
    <w:rsid w:val="00305EDC"/>
    <w:rsid w:val="0030647C"/>
    <w:rsid w:val="00306A33"/>
    <w:rsid w:val="00306C12"/>
    <w:rsid w:val="0031095D"/>
    <w:rsid w:val="00313B69"/>
    <w:rsid w:val="00315A2E"/>
    <w:rsid w:val="00315B29"/>
    <w:rsid w:val="00315CB6"/>
    <w:rsid w:val="003166D1"/>
    <w:rsid w:val="00317A43"/>
    <w:rsid w:val="00320007"/>
    <w:rsid w:val="003201D7"/>
    <w:rsid w:val="00320B5E"/>
    <w:rsid w:val="00322C38"/>
    <w:rsid w:val="00322DCF"/>
    <w:rsid w:val="00323557"/>
    <w:rsid w:val="00324E41"/>
    <w:rsid w:val="00327113"/>
    <w:rsid w:val="0033499D"/>
    <w:rsid w:val="003349FF"/>
    <w:rsid w:val="003353A4"/>
    <w:rsid w:val="00337BB9"/>
    <w:rsid w:val="00341441"/>
    <w:rsid w:val="0034229E"/>
    <w:rsid w:val="00342843"/>
    <w:rsid w:val="0034536D"/>
    <w:rsid w:val="0034580A"/>
    <w:rsid w:val="0034706B"/>
    <w:rsid w:val="00352059"/>
    <w:rsid w:val="00353C55"/>
    <w:rsid w:val="00354086"/>
    <w:rsid w:val="00354E92"/>
    <w:rsid w:val="00354F0D"/>
    <w:rsid w:val="0035599C"/>
    <w:rsid w:val="00355A06"/>
    <w:rsid w:val="00355D5D"/>
    <w:rsid w:val="00362B43"/>
    <w:rsid w:val="0036562E"/>
    <w:rsid w:val="003746DB"/>
    <w:rsid w:val="00376430"/>
    <w:rsid w:val="00381367"/>
    <w:rsid w:val="0038178A"/>
    <w:rsid w:val="00382F7F"/>
    <w:rsid w:val="003845E1"/>
    <w:rsid w:val="00385AC6"/>
    <w:rsid w:val="003867C3"/>
    <w:rsid w:val="00386EEE"/>
    <w:rsid w:val="00387435"/>
    <w:rsid w:val="003877DF"/>
    <w:rsid w:val="00391400"/>
    <w:rsid w:val="00391856"/>
    <w:rsid w:val="0039361A"/>
    <w:rsid w:val="0039389C"/>
    <w:rsid w:val="003942A0"/>
    <w:rsid w:val="00394952"/>
    <w:rsid w:val="003949A8"/>
    <w:rsid w:val="00394D84"/>
    <w:rsid w:val="00395B7B"/>
    <w:rsid w:val="003979C7"/>
    <w:rsid w:val="00397C1D"/>
    <w:rsid w:val="00397F03"/>
    <w:rsid w:val="003A0374"/>
    <w:rsid w:val="003A0816"/>
    <w:rsid w:val="003A0C50"/>
    <w:rsid w:val="003A39E2"/>
    <w:rsid w:val="003A50C6"/>
    <w:rsid w:val="003A532B"/>
    <w:rsid w:val="003A5657"/>
    <w:rsid w:val="003A5802"/>
    <w:rsid w:val="003B3FA2"/>
    <w:rsid w:val="003B4EBD"/>
    <w:rsid w:val="003B7E5F"/>
    <w:rsid w:val="003C03A2"/>
    <w:rsid w:val="003C3DE8"/>
    <w:rsid w:val="003C3EFD"/>
    <w:rsid w:val="003C44AE"/>
    <w:rsid w:val="003C44F0"/>
    <w:rsid w:val="003C50C6"/>
    <w:rsid w:val="003C6DC7"/>
    <w:rsid w:val="003C7453"/>
    <w:rsid w:val="003D0EF3"/>
    <w:rsid w:val="003D0F6D"/>
    <w:rsid w:val="003D0FAF"/>
    <w:rsid w:val="003D3685"/>
    <w:rsid w:val="003D3B2C"/>
    <w:rsid w:val="003D5063"/>
    <w:rsid w:val="003D7C1C"/>
    <w:rsid w:val="003E0E9F"/>
    <w:rsid w:val="003E185F"/>
    <w:rsid w:val="003E637B"/>
    <w:rsid w:val="003E701E"/>
    <w:rsid w:val="003E7FBC"/>
    <w:rsid w:val="003F145A"/>
    <w:rsid w:val="003F1818"/>
    <w:rsid w:val="003F1A24"/>
    <w:rsid w:val="003F1A93"/>
    <w:rsid w:val="003F394B"/>
    <w:rsid w:val="003F4271"/>
    <w:rsid w:val="003F5485"/>
    <w:rsid w:val="003F6D29"/>
    <w:rsid w:val="0040007F"/>
    <w:rsid w:val="004009FD"/>
    <w:rsid w:val="00400FA3"/>
    <w:rsid w:val="004037CD"/>
    <w:rsid w:val="00405702"/>
    <w:rsid w:val="00406247"/>
    <w:rsid w:val="0040768D"/>
    <w:rsid w:val="00407CF3"/>
    <w:rsid w:val="0041058B"/>
    <w:rsid w:val="004105B9"/>
    <w:rsid w:val="004123EC"/>
    <w:rsid w:val="00416198"/>
    <w:rsid w:val="004166F7"/>
    <w:rsid w:val="00416EC3"/>
    <w:rsid w:val="00417CFA"/>
    <w:rsid w:val="00420778"/>
    <w:rsid w:val="0042081A"/>
    <w:rsid w:val="00425285"/>
    <w:rsid w:val="00426ACB"/>
    <w:rsid w:val="00426F95"/>
    <w:rsid w:val="0043225D"/>
    <w:rsid w:val="00432453"/>
    <w:rsid w:val="00433EA7"/>
    <w:rsid w:val="00434DC0"/>
    <w:rsid w:val="00434E65"/>
    <w:rsid w:val="00435441"/>
    <w:rsid w:val="0043554B"/>
    <w:rsid w:val="00435E55"/>
    <w:rsid w:val="0043753B"/>
    <w:rsid w:val="0044020D"/>
    <w:rsid w:val="0044088A"/>
    <w:rsid w:val="004409ED"/>
    <w:rsid w:val="00442E20"/>
    <w:rsid w:val="00442EAE"/>
    <w:rsid w:val="0044621F"/>
    <w:rsid w:val="00450D0B"/>
    <w:rsid w:val="00450F93"/>
    <w:rsid w:val="00453E50"/>
    <w:rsid w:val="00453F8D"/>
    <w:rsid w:val="00454A0F"/>
    <w:rsid w:val="00456888"/>
    <w:rsid w:val="00456C44"/>
    <w:rsid w:val="004579E6"/>
    <w:rsid w:val="00460177"/>
    <w:rsid w:val="00461B7F"/>
    <w:rsid w:val="00462E46"/>
    <w:rsid w:val="00464FB7"/>
    <w:rsid w:val="004658CC"/>
    <w:rsid w:val="00466412"/>
    <w:rsid w:val="0046716B"/>
    <w:rsid w:val="00470818"/>
    <w:rsid w:val="004719E6"/>
    <w:rsid w:val="004721F1"/>
    <w:rsid w:val="0047446C"/>
    <w:rsid w:val="00475302"/>
    <w:rsid w:val="00475FCC"/>
    <w:rsid w:val="00476A47"/>
    <w:rsid w:val="004823F0"/>
    <w:rsid w:val="004841AB"/>
    <w:rsid w:val="00486C07"/>
    <w:rsid w:val="00487D70"/>
    <w:rsid w:val="00490302"/>
    <w:rsid w:val="00490E01"/>
    <w:rsid w:val="0049104C"/>
    <w:rsid w:val="00491E92"/>
    <w:rsid w:val="0049233B"/>
    <w:rsid w:val="004929A3"/>
    <w:rsid w:val="00493005"/>
    <w:rsid w:val="00493F71"/>
    <w:rsid w:val="00494C14"/>
    <w:rsid w:val="00496B12"/>
    <w:rsid w:val="00496BD8"/>
    <w:rsid w:val="0049758A"/>
    <w:rsid w:val="004A12ED"/>
    <w:rsid w:val="004A1726"/>
    <w:rsid w:val="004A29AF"/>
    <w:rsid w:val="004A3E47"/>
    <w:rsid w:val="004A3E67"/>
    <w:rsid w:val="004A4271"/>
    <w:rsid w:val="004A607F"/>
    <w:rsid w:val="004A64FD"/>
    <w:rsid w:val="004A6646"/>
    <w:rsid w:val="004A7430"/>
    <w:rsid w:val="004B10C9"/>
    <w:rsid w:val="004B1EC6"/>
    <w:rsid w:val="004B1F35"/>
    <w:rsid w:val="004B2E69"/>
    <w:rsid w:val="004B4300"/>
    <w:rsid w:val="004B442E"/>
    <w:rsid w:val="004B4638"/>
    <w:rsid w:val="004B46CD"/>
    <w:rsid w:val="004B56E3"/>
    <w:rsid w:val="004C0C14"/>
    <w:rsid w:val="004C1AA3"/>
    <w:rsid w:val="004C1D8F"/>
    <w:rsid w:val="004C2A16"/>
    <w:rsid w:val="004C36E2"/>
    <w:rsid w:val="004C3805"/>
    <w:rsid w:val="004C46AE"/>
    <w:rsid w:val="004C50D4"/>
    <w:rsid w:val="004C591A"/>
    <w:rsid w:val="004C6BA7"/>
    <w:rsid w:val="004C7AD6"/>
    <w:rsid w:val="004D1AC4"/>
    <w:rsid w:val="004D2D26"/>
    <w:rsid w:val="004D2D88"/>
    <w:rsid w:val="004D4651"/>
    <w:rsid w:val="004D50EE"/>
    <w:rsid w:val="004D6174"/>
    <w:rsid w:val="004D758B"/>
    <w:rsid w:val="004D7DF3"/>
    <w:rsid w:val="004E023A"/>
    <w:rsid w:val="004E0A41"/>
    <w:rsid w:val="004E1913"/>
    <w:rsid w:val="004E2E79"/>
    <w:rsid w:val="004E350A"/>
    <w:rsid w:val="004E3AE3"/>
    <w:rsid w:val="004E442D"/>
    <w:rsid w:val="004E558E"/>
    <w:rsid w:val="004E5ABA"/>
    <w:rsid w:val="004E6E18"/>
    <w:rsid w:val="004E7073"/>
    <w:rsid w:val="004F0E9C"/>
    <w:rsid w:val="004F1A1E"/>
    <w:rsid w:val="004F2F78"/>
    <w:rsid w:val="004F3D29"/>
    <w:rsid w:val="004F46C4"/>
    <w:rsid w:val="004F48C7"/>
    <w:rsid w:val="004F55E2"/>
    <w:rsid w:val="004F5C20"/>
    <w:rsid w:val="004F600D"/>
    <w:rsid w:val="005046CA"/>
    <w:rsid w:val="00510D9F"/>
    <w:rsid w:val="00510FB6"/>
    <w:rsid w:val="00512AC8"/>
    <w:rsid w:val="005136A3"/>
    <w:rsid w:val="00514EF6"/>
    <w:rsid w:val="00515873"/>
    <w:rsid w:val="00515A76"/>
    <w:rsid w:val="00516C22"/>
    <w:rsid w:val="005203B5"/>
    <w:rsid w:val="00520B91"/>
    <w:rsid w:val="00521313"/>
    <w:rsid w:val="00522A16"/>
    <w:rsid w:val="00523447"/>
    <w:rsid w:val="00523A57"/>
    <w:rsid w:val="00524F93"/>
    <w:rsid w:val="00527009"/>
    <w:rsid w:val="00531704"/>
    <w:rsid w:val="00532EFE"/>
    <w:rsid w:val="00534A89"/>
    <w:rsid w:val="00535350"/>
    <w:rsid w:val="00536C02"/>
    <w:rsid w:val="00540ED1"/>
    <w:rsid w:val="00541E4A"/>
    <w:rsid w:val="005429CA"/>
    <w:rsid w:val="005439EE"/>
    <w:rsid w:val="00543F38"/>
    <w:rsid w:val="00544724"/>
    <w:rsid w:val="00544986"/>
    <w:rsid w:val="00544F59"/>
    <w:rsid w:val="00546BD4"/>
    <w:rsid w:val="00547561"/>
    <w:rsid w:val="00551D2C"/>
    <w:rsid w:val="00552A78"/>
    <w:rsid w:val="00552E35"/>
    <w:rsid w:val="0055499B"/>
    <w:rsid w:val="00554AD3"/>
    <w:rsid w:val="00556071"/>
    <w:rsid w:val="00562AA2"/>
    <w:rsid w:val="00563400"/>
    <w:rsid w:val="005635DE"/>
    <w:rsid w:val="00564756"/>
    <w:rsid w:val="00565A06"/>
    <w:rsid w:val="00566134"/>
    <w:rsid w:val="00570E84"/>
    <w:rsid w:val="00572919"/>
    <w:rsid w:val="005743B5"/>
    <w:rsid w:val="00575029"/>
    <w:rsid w:val="005807B3"/>
    <w:rsid w:val="00581078"/>
    <w:rsid w:val="00581355"/>
    <w:rsid w:val="00585A57"/>
    <w:rsid w:val="00585B6D"/>
    <w:rsid w:val="00590B7C"/>
    <w:rsid w:val="00594C65"/>
    <w:rsid w:val="00595058"/>
    <w:rsid w:val="00595386"/>
    <w:rsid w:val="00596F52"/>
    <w:rsid w:val="005971E2"/>
    <w:rsid w:val="005A053E"/>
    <w:rsid w:val="005A1AD4"/>
    <w:rsid w:val="005A3399"/>
    <w:rsid w:val="005A4238"/>
    <w:rsid w:val="005A47E6"/>
    <w:rsid w:val="005A5614"/>
    <w:rsid w:val="005B0073"/>
    <w:rsid w:val="005C17BC"/>
    <w:rsid w:val="005C2978"/>
    <w:rsid w:val="005C2AB6"/>
    <w:rsid w:val="005C3277"/>
    <w:rsid w:val="005C40B4"/>
    <w:rsid w:val="005C4651"/>
    <w:rsid w:val="005C51FC"/>
    <w:rsid w:val="005C5495"/>
    <w:rsid w:val="005C6757"/>
    <w:rsid w:val="005C70AC"/>
    <w:rsid w:val="005C7CC3"/>
    <w:rsid w:val="005D0C5A"/>
    <w:rsid w:val="005D2D3D"/>
    <w:rsid w:val="005D3EF1"/>
    <w:rsid w:val="005D4507"/>
    <w:rsid w:val="005D4717"/>
    <w:rsid w:val="005D4F47"/>
    <w:rsid w:val="005D65FE"/>
    <w:rsid w:val="005D7B8B"/>
    <w:rsid w:val="005E2D35"/>
    <w:rsid w:val="005E4210"/>
    <w:rsid w:val="005E53E5"/>
    <w:rsid w:val="005E5975"/>
    <w:rsid w:val="005E6B1B"/>
    <w:rsid w:val="005E7066"/>
    <w:rsid w:val="005F0E00"/>
    <w:rsid w:val="005F0F86"/>
    <w:rsid w:val="005F2B68"/>
    <w:rsid w:val="005F2B71"/>
    <w:rsid w:val="005F3A84"/>
    <w:rsid w:val="005F5106"/>
    <w:rsid w:val="005F5428"/>
    <w:rsid w:val="005F62D4"/>
    <w:rsid w:val="005F67D7"/>
    <w:rsid w:val="005F7A54"/>
    <w:rsid w:val="006009ED"/>
    <w:rsid w:val="00600E2F"/>
    <w:rsid w:val="006033D1"/>
    <w:rsid w:val="00603DA5"/>
    <w:rsid w:val="00605B83"/>
    <w:rsid w:val="006060FD"/>
    <w:rsid w:val="00610FDC"/>
    <w:rsid w:val="00611FB7"/>
    <w:rsid w:val="00612537"/>
    <w:rsid w:val="00612B67"/>
    <w:rsid w:val="00612C3E"/>
    <w:rsid w:val="00613597"/>
    <w:rsid w:val="0061480F"/>
    <w:rsid w:val="006169E2"/>
    <w:rsid w:val="0062295E"/>
    <w:rsid w:val="00622FA4"/>
    <w:rsid w:val="00624A20"/>
    <w:rsid w:val="00624F70"/>
    <w:rsid w:val="00627B64"/>
    <w:rsid w:val="0063299E"/>
    <w:rsid w:val="006348A0"/>
    <w:rsid w:val="00635056"/>
    <w:rsid w:val="006350CF"/>
    <w:rsid w:val="00635C6B"/>
    <w:rsid w:val="0063652F"/>
    <w:rsid w:val="00637DBD"/>
    <w:rsid w:val="00641AA7"/>
    <w:rsid w:val="00641CE0"/>
    <w:rsid w:val="00647FF3"/>
    <w:rsid w:val="00650348"/>
    <w:rsid w:val="00651AEB"/>
    <w:rsid w:val="00652E83"/>
    <w:rsid w:val="00653000"/>
    <w:rsid w:val="006558DF"/>
    <w:rsid w:val="00656808"/>
    <w:rsid w:val="00656A26"/>
    <w:rsid w:val="00656EFC"/>
    <w:rsid w:val="00657B4D"/>
    <w:rsid w:val="00662B40"/>
    <w:rsid w:val="00664993"/>
    <w:rsid w:val="00665CB0"/>
    <w:rsid w:val="0066616F"/>
    <w:rsid w:val="00666626"/>
    <w:rsid w:val="006702B4"/>
    <w:rsid w:val="00670793"/>
    <w:rsid w:val="00672191"/>
    <w:rsid w:val="00672711"/>
    <w:rsid w:val="006754F2"/>
    <w:rsid w:val="00675D14"/>
    <w:rsid w:val="00676515"/>
    <w:rsid w:val="006777EF"/>
    <w:rsid w:val="006821A7"/>
    <w:rsid w:val="006831FC"/>
    <w:rsid w:val="006837DC"/>
    <w:rsid w:val="00683B6A"/>
    <w:rsid w:val="00684753"/>
    <w:rsid w:val="00686B50"/>
    <w:rsid w:val="006906D4"/>
    <w:rsid w:val="00690FD0"/>
    <w:rsid w:val="00691D9F"/>
    <w:rsid w:val="00691F14"/>
    <w:rsid w:val="006927B7"/>
    <w:rsid w:val="00693335"/>
    <w:rsid w:val="006935BE"/>
    <w:rsid w:val="006965DF"/>
    <w:rsid w:val="006A0C9F"/>
    <w:rsid w:val="006A1C19"/>
    <w:rsid w:val="006A1E9D"/>
    <w:rsid w:val="006A35F1"/>
    <w:rsid w:val="006A36AA"/>
    <w:rsid w:val="006A4A2F"/>
    <w:rsid w:val="006A69E0"/>
    <w:rsid w:val="006A7BC9"/>
    <w:rsid w:val="006A7F0A"/>
    <w:rsid w:val="006B14CD"/>
    <w:rsid w:val="006B18BD"/>
    <w:rsid w:val="006B1AA6"/>
    <w:rsid w:val="006B4465"/>
    <w:rsid w:val="006B6FD8"/>
    <w:rsid w:val="006C386A"/>
    <w:rsid w:val="006D0772"/>
    <w:rsid w:val="006D1505"/>
    <w:rsid w:val="006D2288"/>
    <w:rsid w:val="006D24D2"/>
    <w:rsid w:val="006D2613"/>
    <w:rsid w:val="006D39D3"/>
    <w:rsid w:val="006D6AB9"/>
    <w:rsid w:val="006E0892"/>
    <w:rsid w:val="006E0CD7"/>
    <w:rsid w:val="006E13DA"/>
    <w:rsid w:val="006E3112"/>
    <w:rsid w:val="006E31C4"/>
    <w:rsid w:val="006E54D5"/>
    <w:rsid w:val="006E5A8C"/>
    <w:rsid w:val="006E5E17"/>
    <w:rsid w:val="006E6041"/>
    <w:rsid w:val="006E7418"/>
    <w:rsid w:val="006E7D79"/>
    <w:rsid w:val="006F0EB6"/>
    <w:rsid w:val="006F1830"/>
    <w:rsid w:val="006F1CCF"/>
    <w:rsid w:val="006F302B"/>
    <w:rsid w:val="006F402C"/>
    <w:rsid w:val="006F577B"/>
    <w:rsid w:val="006F7FF6"/>
    <w:rsid w:val="00701097"/>
    <w:rsid w:val="00701386"/>
    <w:rsid w:val="00702245"/>
    <w:rsid w:val="007042E3"/>
    <w:rsid w:val="007046F7"/>
    <w:rsid w:val="007049C1"/>
    <w:rsid w:val="00705327"/>
    <w:rsid w:val="0070736B"/>
    <w:rsid w:val="007073F7"/>
    <w:rsid w:val="00707CE1"/>
    <w:rsid w:val="0071069C"/>
    <w:rsid w:val="00710EEC"/>
    <w:rsid w:val="00711822"/>
    <w:rsid w:val="00712103"/>
    <w:rsid w:val="007122CE"/>
    <w:rsid w:val="00712D9F"/>
    <w:rsid w:val="00717648"/>
    <w:rsid w:val="00717904"/>
    <w:rsid w:val="00717DCF"/>
    <w:rsid w:val="007200E8"/>
    <w:rsid w:val="0072051A"/>
    <w:rsid w:val="00720D6C"/>
    <w:rsid w:val="00720FDB"/>
    <w:rsid w:val="00721078"/>
    <w:rsid w:val="00721695"/>
    <w:rsid w:val="00721B55"/>
    <w:rsid w:val="00726CA6"/>
    <w:rsid w:val="0072717A"/>
    <w:rsid w:val="0072771D"/>
    <w:rsid w:val="00727A92"/>
    <w:rsid w:val="0073014F"/>
    <w:rsid w:val="007318E6"/>
    <w:rsid w:val="00732FE4"/>
    <w:rsid w:val="007347C4"/>
    <w:rsid w:val="0073749A"/>
    <w:rsid w:val="007400F8"/>
    <w:rsid w:val="00740E37"/>
    <w:rsid w:val="00741578"/>
    <w:rsid w:val="00741F2E"/>
    <w:rsid w:val="00741F4A"/>
    <w:rsid w:val="00742684"/>
    <w:rsid w:val="00745D1A"/>
    <w:rsid w:val="00750F7A"/>
    <w:rsid w:val="00751398"/>
    <w:rsid w:val="007515C6"/>
    <w:rsid w:val="00751D23"/>
    <w:rsid w:val="0075396B"/>
    <w:rsid w:val="00757111"/>
    <w:rsid w:val="007571A4"/>
    <w:rsid w:val="00760232"/>
    <w:rsid w:val="0076023C"/>
    <w:rsid w:val="00761BA2"/>
    <w:rsid w:val="007627B2"/>
    <w:rsid w:val="007633EB"/>
    <w:rsid w:val="007635DB"/>
    <w:rsid w:val="007636FB"/>
    <w:rsid w:val="007640FE"/>
    <w:rsid w:val="0076502D"/>
    <w:rsid w:val="00765715"/>
    <w:rsid w:val="00766CDD"/>
    <w:rsid w:val="007673F5"/>
    <w:rsid w:val="00770919"/>
    <w:rsid w:val="00771003"/>
    <w:rsid w:val="00773079"/>
    <w:rsid w:val="00774C58"/>
    <w:rsid w:val="0077559B"/>
    <w:rsid w:val="00776216"/>
    <w:rsid w:val="007808A9"/>
    <w:rsid w:val="00781A4E"/>
    <w:rsid w:val="007820D9"/>
    <w:rsid w:val="007822A6"/>
    <w:rsid w:val="00782922"/>
    <w:rsid w:val="00784465"/>
    <w:rsid w:val="0078468E"/>
    <w:rsid w:val="007859E9"/>
    <w:rsid w:val="00787B3A"/>
    <w:rsid w:val="00787BAD"/>
    <w:rsid w:val="00787F6E"/>
    <w:rsid w:val="007907F9"/>
    <w:rsid w:val="007927B5"/>
    <w:rsid w:val="00794551"/>
    <w:rsid w:val="0079467D"/>
    <w:rsid w:val="00794AEB"/>
    <w:rsid w:val="007956BB"/>
    <w:rsid w:val="00797504"/>
    <w:rsid w:val="007A3F3A"/>
    <w:rsid w:val="007B0409"/>
    <w:rsid w:val="007B0D8E"/>
    <w:rsid w:val="007B0DC8"/>
    <w:rsid w:val="007B30B5"/>
    <w:rsid w:val="007B3C32"/>
    <w:rsid w:val="007B4DD1"/>
    <w:rsid w:val="007B4E26"/>
    <w:rsid w:val="007B789A"/>
    <w:rsid w:val="007B7F5A"/>
    <w:rsid w:val="007C00C4"/>
    <w:rsid w:val="007C047A"/>
    <w:rsid w:val="007C0762"/>
    <w:rsid w:val="007C181E"/>
    <w:rsid w:val="007C3156"/>
    <w:rsid w:val="007C50D1"/>
    <w:rsid w:val="007C5B50"/>
    <w:rsid w:val="007C6C6C"/>
    <w:rsid w:val="007D252A"/>
    <w:rsid w:val="007D33C8"/>
    <w:rsid w:val="007D38BC"/>
    <w:rsid w:val="007D406E"/>
    <w:rsid w:val="007D7343"/>
    <w:rsid w:val="007D74EF"/>
    <w:rsid w:val="007E0536"/>
    <w:rsid w:val="007E0D54"/>
    <w:rsid w:val="007E1299"/>
    <w:rsid w:val="007E1AB2"/>
    <w:rsid w:val="007E21A6"/>
    <w:rsid w:val="007E2FC5"/>
    <w:rsid w:val="007E3A3C"/>
    <w:rsid w:val="007E4DDF"/>
    <w:rsid w:val="007F0390"/>
    <w:rsid w:val="007F1BE3"/>
    <w:rsid w:val="007F26D0"/>
    <w:rsid w:val="007F5A3F"/>
    <w:rsid w:val="007F6EDD"/>
    <w:rsid w:val="00800179"/>
    <w:rsid w:val="00801441"/>
    <w:rsid w:val="00801570"/>
    <w:rsid w:val="00801D9A"/>
    <w:rsid w:val="00804F2C"/>
    <w:rsid w:val="00806347"/>
    <w:rsid w:val="008065D3"/>
    <w:rsid w:val="00807F39"/>
    <w:rsid w:val="00813036"/>
    <w:rsid w:val="008142A6"/>
    <w:rsid w:val="00814344"/>
    <w:rsid w:val="0081442F"/>
    <w:rsid w:val="008147DB"/>
    <w:rsid w:val="00815818"/>
    <w:rsid w:val="00816CDC"/>
    <w:rsid w:val="00816FFD"/>
    <w:rsid w:val="008209B3"/>
    <w:rsid w:val="00820A9C"/>
    <w:rsid w:val="008225E6"/>
    <w:rsid w:val="008300C8"/>
    <w:rsid w:val="00830E85"/>
    <w:rsid w:val="0083210B"/>
    <w:rsid w:val="008404F8"/>
    <w:rsid w:val="00840E53"/>
    <w:rsid w:val="00841018"/>
    <w:rsid w:val="008435D2"/>
    <w:rsid w:val="00845E58"/>
    <w:rsid w:val="00846E0D"/>
    <w:rsid w:val="00846E1E"/>
    <w:rsid w:val="00847B37"/>
    <w:rsid w:val="00847D9F"/>
    <w:rsid w:val="008513B6"/>
    <w:rsid w:val="008513ED"/>
    <w:rsid w:val="008524CD"/>
    <w:rsid w:val="008536D2"/>
    <w:rsid w:val="0085477B"/>
    <w:rsid w:val="00854DDA"/>
    <w:rsid w:val="008551E4"/>
    <w:rsid w:val="00855386"/>
    <w:rsid w:val="00855CBE"/>
    <w:rsid w:val="0085609A"/>
    <w:rsid w:val="008568F0"/>
    <w:rsid w:val="00856ACA"/>
    <w:rsid w:val="00862374"/>
    <w:rsid w:val="00862C37"/>
    <w:rsid w:val="00863A52"/>
    <w:rsid w:val="00864FC7"/>
    <w:rsid w:val="0086578B"/>
    <w:rsid w:val="00866C7A"/>
    <w:rsid w:val="00866EF5"/>
    <w:rsid w:val="00867E5E"/>
    <w:rsid w:val="00871FAD"/>
    <w:rsid w:val="00872655"/>
    <w:rsid w:val="00873F54"/>
    <w:rsid w:val="00874522"/>
    <w:rsid w:val="008758CE"/>
    <w:rsid w:val="00880478"/>
    <w:rsid w:val="00881E9B"/>
    <w:rsid w:val="00883D07"/>
    <w:rsid w:val="008867A2"/>
    <w:rsid w:val="008900C9"/>
    <w:rsid w:val="00890A5C"/>
    <w:rsid w:val="00891D27"/>
    <w:rsid w:val="008944D2"/>
    <w:rsid w:val="00896184"/>
    <w:rsid w:val="008A1934"/>
    <w:rsid w:val="008A1F61"/>
    <w:rsid w:val="008A431B"/>
    <w:rsid w:val="008A47DD"/>
    <w:rsid w:val="008A55FC"/>
    <w:rsid w:val="008A5961"/>
    <w:rsid w:val="008A6CF7"/>
    <w:rsid w:val="008A6E41"/>
    <w:rsid w:val="008B034E"/>
    <w:rsid w:val="008B36F1"/>
    <w:rsid w:val="008B394A"/>
    <w:rsid w:val="008B3F30"/>
    <w:rsid w:val="008B54A6"/>
    <w:rsid w:val="008B5841"/>
    <w:rsid w:val="008B6CEE"/>
    <w:rsid w:val="008C058A"/>
    <w:rsid w:val="008C25DE"/>
    <w:rsid w:val="008C3B80"/>
    <w:rsid w:val="008C41AA"/>
    <w:rsid w:val="008C4554"/>
    <w:rsid w:val="008D04AB"/>
    <w:rsid w:val="008D08B1"/>
    <w:rsid w:val="008D11A7"/>
    <w:rsid w:val="008D1D2A"/>
    <w:rsid w:val="008D2B66"/>
    <w:rsid w:val="008D60F3"/>
    <w:rsid w:val="008D61F9"/>
    <w:rsid w:val="008D69E8"/>
    <w:rsid w:val="008E0997"/>
    <w:rsid w:val="008E1EE8"/>
    <w:rsid w:val="008E244F"/>
    <w:rsid w:val="008E25E4"/>
    <w:rsid w:val="008E28C8"/>
    <w:rsid w:val="008E3F5C"/>
    <w:rsid w:val="008E3F65"/>
    <w:rsid w:val="008E59E7"/>
    <w:rsid w:val="008E5C04"/>
    <w:rsid w:val="008E6561"/>
    <w:rsid w:val="008E68EC"/>
    <w:rsid w:val="008E73B4"/>
    <w:rsid w:val="008E7F8A"/>
    <w:rsid w:val="008F078B"/>
    <w:rsid w:val="008F34AC"/>
    <w:rsid w:val="008F55A6"/>
    <w:rsid w:val="008F5A16"/>
    <w:rsid w:val="008F6C38"/>
    <w:rsid w:val="008F7324"/>
    <w:rsid w:val="008F7AC8"/>
    <w:rsid w:val="00903121"/>
    <w:rsid w:val="00910701"/>
    <w:rsid w:val="009107D3"/>
    <w:rsid w:val="009110F9"/>
    <w:rsid w:val="0091124C"/>
    <w:rsid w:val="0091419F"/>
    <w:rsid w:val="00915206"/>
    <w:rsid w:val="009162BB"/>
    <w:rsid w:val="00923CAD"/>
    <w:rsid w:val="00923F8B"/>
    <w:rsid w:val="0092538C"/>
    <w:rsid w:val="00926250"/>
    <w:rsid w:val="00926993"/>
    <w:rsid w:val="00931976"/>
    <w:rsid w:val="00933334"/>
    <w:rsid w:val="0093357C"/>
    <w:rsid w:val="009350BD"/>
    <w:rsid w:val="009366ED"/>
    <w:rsid w:val="00936E83"/>
    <w:rsid w:val="00937AB1"/>
    <w:rsid w:val="0094048B"/>
    <w:rsid w:val="00940A3C"/>
    <w:rsid w:val="00940D98"/>
    <w:rsid w:val="00942616"/>
    <w:rsid w:val="0094357F"/>
    <w:rsid w:val="00945260"/>
    <w:rsid w:val="00945EB9"/>
    <w:rsid w:val="00945F11"/>
    <w:rsid w:val="00946A10"/>
    <w:rsid w:val="00946EE9"/>
    <w:rsid w:val="00950279"/>
    <w:rsid w:val="009515C8"/>
    <w:rsid w:val="009523D0"/>
    <w:rsid w:val="00953227"/>
    <w:rsid w:val="00953A7C"/>
    <w:rsid w:val="0095584A"/>
    <w:rsid w:val="00957807"/>
    <w:rsid w:val="00960868"/>
    <w:rsid w:val="00961985"/>
    <w:rsid w:val="00963A11"/>
    <w:rsid w:val="00964CEF"/>
    <w:rsid w:val="00964D6A"/>
    <w:rsid w:val="009671A9"/>
    <w:rsid w:val="00967762"/>
    <w:rsid w:val="00967B27"/>
    <w:rsid w:val="00967EED"/>
    <w:rsid w:val="00970154"/>
    <w:rsid w:val="00971A4D"/>
    <w:rsid w:val="00972937"/>
    <w:rsid w:val="0097401A"/>
    <w:rsid w:val="00980792"/>
    <w:rsid w:val="00983834"/>
    <w:rsid w:val="00983DED"/>
    <w:rsid w:val="00986B2B"/>
    <w:rsid w:val="00990D7C"/>
    <w:rsid w:val="00991BB8"/>
    <w:rsid w:val="00992B16"/>
    <w:rsid w:val="00992EC3"/>
    <w:rsid w:val="0099312E"/>
    <w:rsid w:val="00993DFA"/>
    <w:rsid w:val="00995274"/>
    <w:rsid w:val="00995392"/>
    <w:rsid w:val="009975CD"/>
    <w:rsid w:val="009979B8"/>
    <w:rsid w:val="00997D3D"/>
    <w:rsid w:val="009A245D"/>
    <w:rsid w:val="009A2A1E"/>
    <w:rsid w:val="009A2F3A"/>
    <w:rsid w:val="009A3A8F"/>
    <w:rsid w:val="009A54A4"/>
    <w:rsid w:val="009A7A55"/>
    <w:rsid w:val="009B046E"/>
    <w:rsid w:val="009B4806"/>
    <w:rsid w:val="009B4C59"/>
    <w:rsid w:val="009B6D8A"/>
    <w:rsid w:val="009B6E07"/>
    <w:rsid w:val="009B7F63"/>
    <w:rsid w:val="009C1865"/>
    <w:rsid w:val="009C2835"/>
    <w:rsid w:val="009C2919"/>
    <w:rsid w:val="009C36A2"/>
    <w:rsid w:val="009C553F"/>
    <w:rsid w:val="009C5ABF"/>
    <w:rsid w:val="009C65A8"/>
    <w:rsid w:val="009C7FA8"/>
    <w:rsid w:val="009D0AAC"/>
    <w:rsid w:val="009D0D9F"/>
    <w:rsid w:val="009D21A9"/>
    <w:rsid w:val="009D45C3"/>
    <w:rsid w:val="009D4758"/>
    <w:rsid w:val="009D66DB"/>
    <w:rsid w:val="009E021A"/>
    <w:rsid w:val="009E0384"/>
    <w:rsid w:val="009E0D7D"/>
    <w:rsid w:val="009E1169"/>
    <w:rsid w:val="009E1199"/>
    <w:rsid w:val="009E2FA2"/>
    <w:rsid w:val="009E622B"/>
    <w:rsid w:val="009E794F"/>
    <w:rsid w:val="009F09D1"/>
    <w:rsid w:val="009F0DA0"/>
    <w:rsid w:val="009F2C47"/>
    <w:rsid w:val="009F3A4E"/>
    <w:rsid w:val="009F6444"/>
    <w:rsid w:val="009F6ABA"/>
    <w:rsid w:val="009F6E9A"/>
    <w:rsid w:val="009F6EC8"/>
    <w:rsid w:val="009F7CBF"/>
    <w:rsid w:val="00A00FE4"/>
    <w:rsid w:val="00A01910"/>
    <w:rsid w:val="00A01E47"/>
    <w:rsid w:val="00A0216B"/>
    <w:rsid w:val="00A0560B"/>
    <w:rsid w:val="00A10067"/>
    <w:rsid w:val="00A1467E"/>
    <w:rsid w:val="00A14B03"/>
    <w:rsid w:val="00A14EED"/>
    <w:rsid w:val="00A15A7B"/>
    <w:rsid w:val="00A171FD"/>
    <w:rsid w:val="00A17C3F"/>
    <w:rsid w:val="00A20040"/>
    <w:rsid w:val="00A2174E"/>
    <w:rsid w:val="00A23047"/>
    <w:rsid w:val="00A23F9B"/>
    <w:rsid w:val="00A24591"/>
    <w:rsid w:val="00A249B8"/>
    <w:rsid w:val="00A25FA0"/>
    <w:rsid w:val="00A278AC"/>
    <w:rsid w:val="00A30DF1"/>
    <w:rsid w:val="00A31E29"/>
    <w:rsid w:val="00A3337E"/>
    <w:rsid w:val="00A34F82"/>
    <w:rsid w:val="00A35960"/>
    <w:rsid w:val="00A36ED3"/>
    <w:rsid w:val="00A37FE1"/>
    <w:rsid w:val="00A4060F"/>
    <w:rsid w:val="00A41B30"/>
    <w:rsid w:val="00A429CC"/>
    <w:rsid w:val="00A435E5"/>
    <w:rsid w:val="00A45AF6"/>
    <w:rsid w:val="00A46D59"/>
    <w:rsid w:val="00A50605"/>
    <w:rsid w:val="00A52397"/>
    <w:rsid w:val="00A524B7"/>
    <w:rsid w:val="00A52830"/>
    <w:rsid w:val="00A542EF"/>
    <w:rsid w:val="00A5605B"/>
    <w:rsid w:val="00A57A9D"/>
    <w:rsid w:val="00A600FA"/>
    <w:rsid w:val="00A628E7"/>
    <w:rsid w:val="00A661F1"/>
    <w:rsid w:val="00A66604"/>
    <w:rsid w:val="00A67656"/>
    <w:rsid w:val="00A67E23"/>
    <w:rsid w:val="00A711DC"/>
    <w:rsid w:val="00A71802"/>
    <w:rsid w:val="00A72015"/>
    <w:rsid w:val="00A721BC"/>
    <w:rsid w:val="00A72F94"/>
    <w:rsid w:val="00A7620F"/>
    <w:rsid w:val="00A80373"/>
    <w:rsid w:val="00A81174"/>
    <w:rsid w:val="00A81756"/>
    <w:rsid w:val="00A81A71"/>
    <w:rsid w:val="00A8228D"/>
    <w:rsid w:val="00A84227"/>
    <w:rsid w:val="00A90029"/>
    <w:rsid w:val="00A9142F"/>
    <w:rsid w:val="00A9216A"/>
    <w:rsid w:val="00A92DFC"/>
    <w:rsid w:val="00A93050"/>
    <w:rsid w:val="00A934AD"/>
    <w:rsid w:val="00A94440"/>
    <w:rsid w:val="00A95C34"/>
    <w:rsid w:val="00A9719B"/>
    <w:rsid w:val="00A978D5"/>
    <w:rsid w:val="00AA01EB"/>
    <w:rsid w:val="00AA06F9"/>
    <w:rsid w:val="00AA4923"/>
    <w:rsid w:val="00AA4E16"/>
    <w:rsid w:val="00AA64D6"/>
    <w:rsid w:val="00AA6565"/>
    <w:rsid w:val="00AA7F5D"/>
    <w:rsid w:val="00AB0B08"/>
    <w:rsid w:val="00AB190D"/>
    <w:rsid w:val="00AB3E1B"/>
    <w:rsid w:val="00AB4382"/>
    <w:rsid w:val="00AC05A1"/>
    <w:rsid w:val="00AC1371"/>
    <w:rsid w:val="00AC2CF9"/>
    <w:rsid w:val="00AC3917"/>
    <w:rsid w:val="00AC5312"/>
    <w:rsid w:val="00AC59D7"/>
    <w:rsid w:val="00AC65DA"/>
    <w:rsid w:val="00AC709B"/>
    <w:rsid w:val="00AC77B7"/>
    <w:rsid w:val="00AC7C90"/>
    <w:rsid w:val="00AC7E0F"/>
    <w:rsid w:val="00AD0296"/>
    <w:rsid w:val="00AD15F3"/>
    <w:rsid w:val="00AD17AE"/>
    <w:rsid w:val="00AD2CC5"/>
    <w:rsid w:val="00AD36E1"/>
    <w:rsid w:val="00AD4801"/>
    <w:rsid w:val="00AD600E"/>
    <w:rsid w:val="00AD6455"/>
    <w:rsid w:val="00AE0B3C"/>
    <w:rsid w:val="00AE221B"/>
    <w:rsid w:val="00AE2293"/>
    <w:rsid w:val="00AE3AC9"/>
    <w:rsid w:val="00AE4C4D"/>
    <w:rsid w:val="00AE64CB"/>
    <w:rsid w:val="00AE6DA8"/>
    <w:rsid w:val="00AF2AC5"/>
    <w:rsid w:val="00AF3414"/>
    <w:rsid w:val="00AF44DE"/>
    <w:rsid w:val="00AF4BF5"/>
    <w:rsid w:val="00AF4F2A"/>
    <w:rsid w:val="00AF5938"/>
    <w:rsid w:val="00AF703F"/>
    <w:rsid w:val="00B00733"/>
    <w:rsid w:val="00B02B63"/>
    <w:rsid w:val="00B06005"/>
    <w:rsid w:val="00B10230"/>
    <w:rsid w:val="00B1155D"/>
    <w:rsid w:val="00B11F86"/>
    <w:rsid w:val="00B14278"/>
    <w:rsid w:val="00B1707B"/>
    <w:rsid w:val="00B208BE"/>
    <w:rsid w:val="00B228CC"/>
    <w:rsid w:val="00B22E0E"/>
    <w:rsid w:val="00B22E29"/>
    <w:rsid w:val="00B2569F"/>
    <w:rsid w:val="00B25741"/>
    <w:rsid w:val="00B27886"/>
    <w:rsid w:val="00B27BC0"/>
    <w:rsid w:val="00B30C9E"/>
    <w:rsid w:val="00B31E7B"/>
    <w:rsid w:val="00B33251"/>
    <w:rsid w:val="00B34760"/>
    <w:rsid w:val="00B35615"/>
    <w:rsid w:val="00B36014"/>
    <w:rsid w:val="00B40510"/>
    <w:rsid w:val="00B4145E"/>
    <w:rsid w:val="00B41C47"/>
    <w:rsid w:val="00B41EE5"/>
    <w:rsid w:val="00B42172"/>
    <w:rsid w:val="00B423B0"/>
    <w:rsid w:val="00B44F1C"/>
    <w:rsid w:val="00B45B7A"/>
    <w:rsid w:val="00B463F4"/>
    <w:rsid w:val="00B46A26"/>
    <w:rsid w:val="00B46FF6"/>
    <w:rsid w:val="00B4748B"/>
    <w:rsid w:val="00B503B4"/>
    <w:rsid w:val="00B50B3F"/>
    <w:rsid w:val="00B50CB6"/>
    <w:rsid w:val="00B523F9"/>
    <w:rsid w:val="00B52CE6"/>
    <w:rsid w:val="00B52D54"/>
    <w:rsid w:val="00B53BFD"/>
    <w:rsid w:val="00B53FB0"/>
    <w:rsid w:val="00B540FA"/>
    <w:rsid w:val="00B54442"/>
    <w:rsid w:val="00B54EFC"/>
    <w:rsid w:val="00B56728"/>
    <w:rsid w:val="00B5723B"/>
    <w:rsid w:val="00B576BC"/>
    <w:rsid w:val="00B624D4"/>
    <w:rsid w:val="00B62724"/>
    <w:rsid w:val="00B6283C"/>
    <w:rsid w:val="00B63BAF"/>
    <w:rsid w:val="00B648EA"/>
    <w:rsid w:val="00B64BAD"/>
    <w:rsid w:val="00B65223"/>
    <w:rsid w:val="00B654F8"/>
    <w:rsid w:val="00B662DB"/>
    <w:rsid w:val="00B704D9"/>
    <w:rsid w:val="00B72735"/>
    <w:rsid w:val="00B7305C"/>
    <w:rsid w:val="00B733E6"/>
    <w:rsid w:val="00B7371B"/>
    <w:rsid w:val="00B74CEE"/>
    <w:rsid w:val="00B76B67"/>
    <w:rsid w:val="00B77048"/>
    <w:rsid w:val="00B809EB"/>
    <w:rsid w:val="00B80A34"/>
    <w:rsid w:val="00B82C01"/>
    <w:rsid w:val="00B82FA4"/>
    <w:rsid w:val="00B85416"/>
    <w:rsid w:val="00B85447"/>
    <w:rsid w:val="00B937AA"/>
    <w:rsid w:val="00B93F58"/>
    <w:rsid w:val="00B93FE5"/>
    <w:rsid w:val="00B977CB"/>
    <w:rsid w:val="00BA12D6"/>
    <w:rsid w:val="00BA146F"/>
    <w:rsid w:val="00BA175C"/>
    <w:rsid w:val="00BA1F24"/>
    <w:rsid w:val="00BA2AF5"/>
    <w:rsid w:val="00BA2FAC"/>
    <w:rsid w:val="00BA4043"/>
    <w:rsid w:val="00BA526D"/>
    <w:rsid w:val="00BA6901"/>
    <w:rsid w:val="00BB152B"/>
    <w:rsid w:val="00BB2500"/>
    <w:rsid w:val="00BB2644"/>
    <w:rsid w:val="00BB288B"/>
    <w:rsid w:val="00BB346D"/>
    <w:rsid w:val="00BB4741"/>
    <w:rsid w:val="00BB4A3A"/>
    <w:rsid w:val="00BB4EEA"/>
    <w:rsid w:val="00BB51C0"/>
    <w:rsid w:val="00BB5373"/>
    <w:rsid w:val="00BC2793"/>
    <w:rsid w:val="00BC4E34"/>
    <w:rsid w:val="00BC5066"/>
    <w:rsid w:val="00BC64FA"/>
    <w:rsid w:val="00BC7094"/>
    <w:rsid w:val="00BD077C"/>
    <w:rsid w:val="00BD2A53"/>
    <w:rsid w:val="00BD52F3"/>
    <w:rsid w:val="00BD5531"/>
    <w:rsid w:val="00BD7061"/>
    <w:rsid w:val="00BD77D8"/>
    <w:rsid w:val="00BE0C6A"/>
    <w:rsid w:val="00BE1FBA"/>
    <w:rsid w:val="00BE3A8C"/>
    <w:rsid w:val="00BE5F64"/>
    <w:rsid w:val="00BE65E9"/>
    <w:rsid w:val="00BE7487"/>
    <w:rsid w:val="00BE7EE0"/>
    <w:rsid w:val="00BF14CC"/>
    <w:rsid w:val="00BF187A"/>
    <w:rsid w:val="00BF2210"/>
    <w:rsid w:val="00BF454D"/>
    <w:rsid w:val="00BF6519"/>
    <w:rsid w:val="00BF6567"/>
    <w:rsid w:val="00BF6F84"/>
    <w:rsid w:val="00BF7B36"/>
    <w:rsid w:val="00C00143"/>
    <w:rsid w:val="00C02654"/>
    <w:rsid w:val="00C02CD8"/>
    <w:rsid w:val="00C02CE7"/>
    <w:rsid w:val="00C030DB"/>
    <w:rsid w:val="00C039A8"/>
    <w:rsid w:val="00C048DF"/>
    <w:rsid w:val="00C04F58"/>
    <w:rsid w:val="00C06026"/>
    <w:rsid w:val="00C06871"/>
    <w:rsid w:val="00C06C8D"/>
    <w:rsid w:val="00C07430"/>
    <w:rsid w:val="00C112AB"/>
    <w:rsid w:val="00C12118"/>
    <w:rsid w:val="00C14EB6"/>
    <w:rsid w:val="00C162B6"/>
    <w:rsid w:val="00C1658D"/>
    <w:rsid w:val="00C17B33"/>
    <w:rsid w:val="00C17CC2"/>
    <w:rsid w:val="00C20A0E"/>
    <w:rsid w:val="00C2102A"/>
    <w:rsid w:val="00C212C2"/>
    <w:rsid w:val="00C2193E"/>
    <w:rsid w:val="00C22725"/>
    <w:rsid w:val="00C2304D"/>
    <w:rsid w:val="00C23269"/>
    <w:rsid w:val="00C24315"/>
    <w:rsid w:val="00C2494D"/>
    <w:rsid w:val="00C24D83"/>
    <w:rsid w:val="00C260C4"/>
    <w:rsid w:val="00C26C22"/>
    <w:rsid w:val="00C26FFA"/>
    <w:rsid w:val="00C275F8"/>
    <w:rsid w:val="00C2762E"/>
    <w:rsid w:val="00C27D61"/>
    <w:rsid w:val="00C32F94"/>
    <w:rsid w:val="00C34129"/>
    <w:rsid w:val="00C34AFA"/>
    <w:rsid w:val="00C3746D"/>
    <w:rsid w:val="00C402CD"/>
    <w:rsid w:val="00C411A5"/>
    <w:rsid w:val="00C4133E"/>
    <w:rsid w:val="00C41A80"/>
    <w:rsid w:val="00C46ACF"/>
    <w:rsid w:val="00C46C40"/>
    <w:rsid w:val="00C47797"/>
    <w:rsid w:val="00C503C6"/>
    <w:rsid w:val="00C5065D"/>
    <w:rsid w:val="00C52026"/>
    <w:rsid w:val="00C54A6D"/>
    <w:rsid w:val="00C569B4"/>
    <w:rsid w:val="00C56E9E"/>
    <w:rsid w:val="00C60601"/>
    <w:rsid w:val="00C62300"/>
    <w:rsid w:val="00C625E6"/>
    <w:rsid w:val="00C630B6"/>
    <w:rsid w:val="00C65B36"/>
    <w:rsid w:val="00C65D45"/>
    <w:rsid w:val="00C664D1"/>
    <w:rsid w:val="00C715A7"/>
    <w:rsid w:val="00C71DB8"/>
    <w:rsid w:val="00C72503"/>
    <w:rsid w:val="00C72696"/>
    <w:rsid w:val="00C729CC"/>
    <w:rsid w:val="00C74C5E"/>
    <w:rsid w:val="00C75BF1"/>
    <w:rsid w:val="00C80ED4"/>
    <w:rsid w:val="00C8151A"/>
    <w:rsid w:val="00C81D35"/>
    <w:rsid w:val="00C8455B"/>
    <w:rsid w:val="00C84851"/>
    <w:rsid w:val="00C85A12"/>
    <w:rsid w:val="00C861E7"/>
    <w:rsid w:val="00C907BC"/>
    <w:rsid w:val="00C93ABF"/>
    <w:rsid w:val="00C940DC"/>
    <w:rsid w:val="00C944AB"/>
    <w:rsid w:val="00C9648D"/>
    <w:rsid w:val="00CA198B"/>
    <w:rsid w:val="00CA2102"/>
    <w:rsid w:val="00CA23A2"/>
    <w:rsid w:val="00CA27EC"/>
    <w:rsid w:val="00CA2825"/>
    <w:rsid w:val="00CA3245"/>
    <w:rsid w:val="00CA32A8"/>
    <w:rsid w:val="00CA3F2D"/>
    <w:rsid w:val="00CA42A5"/>
    <w:rsid w:val="00CA5313"/>
    <w:rsid w:val="00CA6B8D"/>
    <w:rsid w:val="00CA6DC6"/>
    <w:rsid w:val="00CA708E"/>
    <w:rsid w:val="00CA7DED"/>
    <w:rsid w:val="00CB0074"/>
    <w:rsid w:val="00CB01C4"/>
    <w:rsid w:val="00CB2128"/>
    <w:rsid w:val="00CB389B"/>
    <w:rsid w:val="00CB3C6C"/>
    <w:rsid w:val="00CB4966"/>
    <w:rsid w:val="00CC00C9"/>
    <w:rsid w:val="00CC0587"/>
    <w:rsid w:val="00CC0978"/>
    <w:rsid w:val="00CC1A91"/>
    <w:rsid w:val="00CC1F2D"/>
    <w:rsid w:val="00CC2F62"/>
    <w:rsid w:val="00CC30B9"/>
    <w:rsid w:val="00CC37D8"/>
    <w:rsid w:val="00CC44A5"/>
    <w:rsid w:val="00CC4DC9"/>
    <w:rsid w:val="00CC6AD0"/>
    <w:rsid w:val="00CD042C"/>
    <w:rsid w:val="00CD0FBD"/>
    <w:rsid w:val="00CD245A"/>
    <w:rsid w:val="00CD24B1"/>
    <w:rsid w:val="00CD25A1"/>
    <w:rsid w:val="00CD3A69"/>
    <w:rsid w:val="00CD3F34"/>
    <w:rsid w:val="00CD71FE"/>
    <w:rsid w:val="00CE0A5B"/>
    <w:rsid w:val="00CE375A"/>
    <w:rsid w:val="00CE62BA"/>
    <w:rsid w:val="00CE69EF"/>
    <w:rsid w:val="00CF29F5"/>
    <w:rsid w:val="00CF2A07"/>
    <w:rsid w:val="00CF6785"/>
    <w:rsid w:val="00CF783A"/>
    <w:rsid w:val="00CF7FC1"/>
    <w:rsid w:val="00D002C6"/>
    <w:rsid w:val="00D0098E"/>
    <w:rsid w:val="00D03301"/>
    <w:rsid w:val="00D055F9"/>
    <w:rsid w:val="00D05D29"/>
    <w:rsid w:val="00D05F18"/>
    <w:rsid w:val="00D06E77"/>
    <w:rsid w:val="00D10160"/>
    <w:rsid w:val="00D11C9C"/>
    <w:rsid w:val="00D127A6"/>
    <w:rsid w:val="00D12B8A"/>
    <w:rsid w:val="00D1539F"/>
    <w:rsid w:val="00D15AC2"/>
    <w:rsid w:val="00D174BF"/>
    <w:rsid w:val="00D1754A"/>
    <w:rsid w:val="00D21DFB"/>
    <w:rsid w:val="00D22FC0"/>
    <w:rsid w:val="00D23D09"/>
    <w:rsid w:val="00D25480"/>
    <w:rsid w:val="00D2581B"/>
    <w:rsid w:val="00D25D5F"/>
    <w:rsid w:val="00D27616"/>
    <w:rsid w:val="00D27D53"/>
    <w:rsid w:val="00D27E9F"/>
    <w:rsid w:val="00D30153"/>
    <w:rsid w:val="00D3112D"/>
    <w:rsid w:val="00D3142F"/>
    <w:rsid w:val="00D316E5"/>
    <w:rsid w:val="00D36F27"/>
    <w:rsid w:val="00D3750D"/>
    <w:rsid w:val="00D411BB"/>
    <w:rsid w:val="00D44037"/>
    <w:rsid w:val="00D457E3"/>
    <w:rsid w:val="00D47A86"/>
    <w:rsid w:val="00D5037C"/>
    <w:rsid w:val="00D505BB"/>
    <w:rsid w:val="00D50E9A"/>
    <w:rsid w:val="00D526F1"/>
    <w:rsid w:val="00D532F8"/>
    <w:rsid w:val="00D53E0F"/>
    <w:rsid w:val="00D5478F"/>
    <w:rsid w:val="00D54A77"/>
    <w:rsid w:val="00D54F86"/>
    <w:rsid w:val="00D561D1"/>
    <w:rsid w:val="00D613C8"/>
    <w:rsid w:val="00D61FE4"/>
    <w:rsid w:val="00D623A3"/>
    <w:rsid w:val="00D627FA"/>
    <w:rsid w:val="00D628FC"/>
    <w:rsid w:val="00D62D69"/>
    <w:rsid w:val="00D64834"/>
    <w:rsid w:val="00D666C8"/>
    <w:rsid w:val="00D67B10"/>
    <w:rsid w:val="00D70AEA"/>
    <w:rsid w:val="00D70DBA"/>
    <w:rsid w:val="00D7157E"/>
    <w:rsid w:val="00D71ADF"/>
    <w:rsid w:val="00D738E6"/>
    <w:rsid w:val="00D76918"/>
    <w:rsid w:val="00D77C63"/>
    <w:rsid w:val="00D8092F"/>
    <w:rsid w:val="00D81CF0"/>
    <w:rsid w:val="00D826EF"/>
    <w:rsid w:val="00D87934"/>
    <w:rsid w:val="00D91047"/>
    <w:rsid w:val="00D910CF"/>
    <w:rsid w:val="00D91C40"/>
    <w:rsid w:val="00D91C97"/>
    <w:rsid w:val="00D9317C"/>
    <w:rsid w:val="00D93757"/>
    <w:rsid w:val="00D95A10"/>
    <w:rsid w:val="00D95F05"/>
    <w:rsid w:val="00D96DE0"/>
    <w:rsid w:val="00D96E64"/>
    <w:rsid w:val="00D974A8"/>
    <w:rsid w:val="00D9760D"/>
    <w:rsid w:val="00D97E2B"/>
    <w:rsid w:val="00DA0CFD"/>
    <w:rsid w:val="00DA0E25"/>
    <w:rsid w:val="00DA2B3D"/>
    <w:rsid w:val="00DA2FA6"/>
    <w:rsid w:val="00DA44C1"/>
    <w:rsid w:val="00DA450A"/>
    <w:rsid w:val="00DA4C1A"/>
    <w:rsid w:val="00DA503F"/>
    <w:rsid w:val="00DA6437"/>
    <w:rsid w:val="00DA7EA5"/>
    <w:rsid w:val="00DB0611"/>
    <w:rsid w:val="00DB0B49"/>
    <w:rsid w:val="00DB11EC"/>
    <w:rsid w:val="00DB60E3"/>
    <w:rsid w:val="00DC177E"/>
    <w:rsid w:val="00DC17FE"/>
    <w:rsid w:val="00DC24E2"/>
    <w:rsid w:val="00DC2CBD"/>
    <w:rsid w:val="00DC2D63"/>
    <w:rsid w:val="00DC323A"/>
    <w:rsid w:val="00DC345D"/>
    <w:rsid w:val="00DC5BC2"/>
    <w:rsid w:val="00DC7416"/>
    <w:rsid w:val="00DC7D26"/>
    <w:rsid w:val="00DD0621"/>
    <w:rsid w:val="00DD46B1"/>
    <w:rsid w:val="00DD48FB"/>
    <w:rsid w:val="00DD78DD"/>
    <w:rsid w:val="00DD7DDB"/>
    <w:rsid w:val="00DE0E8A"/>
    <w:rsid w:val="00DE277F"/>
    <w:rsid w:val="00DE28CE"/>
    <w:rsid w:val="00DE3419"/>
    <w:rsid w:val="00DE3703"/>
    <w:rsid w:val="00DE457E"/>
    <w:rsid w:val="00DE557A"/>
    <w:rsid w:val="00DE5A6B"/>
    <w:rsid w:val="00DE6FFD"/>
    <w:rsid w:val="00DF19AC"/>
    <w:rsid w:val="00DF3AE2"/>
    <w:rsid w:val="00DF4010"/>
    <w:rsid w:val="00DF457D"/>
    <w:rsid w:val="00DF54ED"/>
    <w:rsid w:val="00DF5B4E"/>
    <w:rsid w:val="00DF63EC"/>
    <w:rsid w:val="00DF721C"/>
    <w:rsid w:val="00DF7EDA"/>
    <w:rsid w:val="00E008D1"/>
    <w:rsid w:val="00E01B10"/>
    <w:rsid w:val="00E01C8E"/>
    <w:rsid w:val="00E01DB2"/>
    <w:rsid w:val="00E0387A"/>
    <w:rsid w:val="00E03E24"/>
    <w:rsid w:val="00E0416F"/>
    <w:rsid w:val="00E04CAE"/>
    <w:rsid w:val="00E05814"/>
    <w:rsid w:val="00E0659A"/>
    <w:rsid w:val="00E17986"/>
    <w:rsid w:val="00E222C3"/>
    <w:rsid w:val="00E2391D"/>
    <w:rsid w:val="00E24B36"/>
    <w:rsid w:val="00E25134"/>
    <w:rsid w:val="00E251F5"/>
    <w:rsid w:val="00E26083"/>
    <w:rsid w:val="00E26D72"/>
    <w:rsid w:val="00E30554"/>
    <w:rsid w:val="00E308A9"/>
    <w:rsid w:val="00E31164"/>
    <w:rsid w:val="00E314A2"/>
    <w:rsid w:val="00E3186E"/>
    <w:rsid w:val="00E31A59"/>
    <w:rsid w:val="00E32A57"/>
    <w:rsid w:val="00E32BF5"/>
    <w:rsid w:val="00E338F3"/>
    <w:rsid w:val="00E34258"/>
    <w:rsid w:val="00E34467"/>
    <w:rsid w:val="00E34BB9"/>
    <w:rsid w:val="00E35882"/>
    <w:rsid w:val="00E36D12"/>
    <w:rsid w:val="00E3710A"/>
    <w:rsid w:val="00E371AC"/>
    <w:rsid w:val="00E409F9"/>
    <w:rsid w:val="00E42D1C"/>
    <w:rsid w:val="00E44D5D"/>
    <w:rsid w:val="00E44E52"/>
    <w:rsid w:val="00E45DE0"/>
    <w:rsid w:val="00E4625C"/>
    <w:rsid w:val="00E50D69"/>
    <w:rsid w:val="00E5248B"/>
    <w:rsid w:val="00E53BC6"/>
    <w:rsid w:val="00E53C5F"/>
    <w:rsid w:val="00E55106"/>
    <w:rsid w:val="00E55808"/>
    <w:rsid w:val="00E60027"/>
    <w:rsid w:val="00E612D7"/>
    <w:rsid w:val="00E612E4"/>
    <w:rsid w:val="00E62C3D"/>
    <w:rsid w:val="00E641AE"/>
    <w:rsid w:val="00E64C01"/>
    <w:rsid w:val="00E64C29"/>
    <w:rsid w:val="00E650F8"/>
    <w:rsid w:val="00E653FD"/>
    <w:rsid w:val="00E67003"/>
    <w:rsid w:val="00E67369"/>
    <w:rsid w:val="00E67DF7"/>
    <w:rsid w:val="00E7012F"/>
    <w:rsid w:val="00E70440"/>
    <w:rsid w:val="00E705CF"/>
    <w:rsid w:val="00E7063C"/>
    <w:rsid w:val="00E71C30"/>
    <w:rsid w:val="00E721DB"/>
    <w:rsid w:val="00E727E2"/>
    <w:rsid w:val="00E72ED5"/>
    <w:rsid w:val="00E74E04"/>
    <w:rsid w:val="00E75534"/>
    <w:rsid w:val="00E759B0"/>
    <w:rsid w:val="00E7653D"/>
    <w:rsid w:val="00E7740C"/>
    <w:rsid w:val="00E806F5"/>
    <w:rsid w:val="00E8509A"/>
    <w:rsid w:val="00E860F2"/>
    <w:rsid w:val="00E87E9B"/>
    <w:rsid w:val="00E87F2A"/>
    <w:rsid w:val="00E9037F"/>
    <w:rsid w:val="00E91107"/>
    <w:rsid w:val="00E91F6C"/>
    <w:rsid w:val="00E94197"/>
    <w:rsid w:val="00E954BB"/>
    <w:rsid w:val="00E955AD"/>
    <w:rsid w:val="00E959E1"/>
    <w:rsid w:val="00E95C66"/>
    <w:rsid w:val="00E95C68"/>
    <w:rsid w:val="00E9626C"/>
    <w:rsid w:val="00E96B8F"/>
    <w:rsid w:val="00EA0F3C"/>
    <w:rsid w:val="00EA1D1B"/>
    <w:rsid w:val="00EA3D60"/>
    <w:rsid w:val="00EA591B"/>
    <w:rsid w:val="00EA7A14"/>
    <w:rsid w:val="00EB1C91"/>
    <w:rsid w:val="00EB1FA3"/>
    <w:rsid w:val="00EB216B"/>
    <w:rsid w:val="00EB219B"/>
    <w:rsid w:val="00EB26E8"/>
    <w:rsid w:val="00EB4332"/>
    <w:rsid w:val="00EB63F5"/>
    <w:rsid w:val="00EB6B7D"/>
    <w:rsid w:val="00EB6E9F"/>
    <w:rsid w:val="00EB6FC5"/>
    <w:rsid w:val="00EB7F72"/>
    <w:rsid w:val="00EC18A5"/>
    <w:rsid w:val="00EC2581"/>
    <w:rsid w:val="00EC2AA2"/>
    <w:rsid w:val="00EC3D00"/>
    <w:rsid w:val="00EC4AB5"/>
    <w:rsid w:val="00EC69AD"/>
    <w:rsid w:val="00ED19C9"/>
    <w:rsid w:val="00ED221F"/>
    <w:rsid w:val="00ED3A47"/>
    <w:rsid w:val="00ED4C77"/>
    <w:rsid w:val="00ED5166"/>
    <w:rsid w:val="00ED520C"/>
    <w:rsid w:val="00EE0545"/>
    <w:rsid w:val="00EE0ABD"/>
    <w:rsid w:val="00EE1A08"/>
    <w:rsid w:val="00EE1FBA"/>
    <w:rsid w:val="00EE4DCC"/>
    <w:rsid w:val="00EE5159"/>
    <w:rsid w:val="00EE5EAA"/>
    <w:rsid w:val="00EE7CE5"/>
    <w:rsid w:val="00EF16C8"/>
    <w:rsid w:val="00EF50B6"/>
    <w:rsid w:val="00EF6B56"/>
    <w:rsid w:val="00EF779F"/>
    <w:rsid w:val="00EF7B62"/>
    <w:rsid w:val="00F00CDA"/>
    <w:rsid w:val="00F03A9B"/>
    <w:rsid w:val="00F03C95"/>
    <w:rsid w:val="00F04825"/>
    <w:rsid w:val="00F05F4F"/>
    <w:rsid w:val="00F064BD"/>
    <w:rsid w:val="00F111AA"/>
    <w:rsid w:val="00F11EAD"/>
    <w:rsid w:val="00F12B76"/>
    <w:rsid w:val="00F135D6"/>
    <w:rsid w:val="00F13A59"/>
    <w:rsid w:val="00F14BB3"/>
    <w:rsid w:val="00F16B26"/>
    <w:rsid w:val="00F16C93"/>
    <w:rsid w:val="00F17520"/>
    <w:rsid w:val="00F202C4"/>
    <w:rsid w:val="00F205FE"/>
    <w:rsid w:val="00F21830"/>
    <w:rsid w:val="00F23B7A"/>
    <w:rsid w:val="00F24A20"/>
    <w:rsid w:val="00F24D71"/>
    <w:rsid w:val="00F250B2"/>
    <w:rsid w:val="00F253E5"/>
    <w:rsid w:val="00F25B66"/>
    <w:rsid w:val="00F26C03"/>
    <w:rsid w:val="00F30DAE"/>
    <w:rsid w:val="00F3241C"/>
    <w:rsid w:val="00F33570"/>
    <w:rsid w:val="00F35521"/>
    <w:rsid w:val="00F3572A"/>
    <w:rsid w:val="00F35B76"/>
    <w:rsid w:val="00F36268"/>
    <w:rsid w:val="00F377D0"/>
    <w:rsid w:val="00F37998"/>
    <w:rsid w:val="00F403AB"/>
    <w:rsid w:val="00F40B8A"/>
    <w:rsid w:val="00F446CC"/>
    <w:rsid w:val="00F44813"/>
    <w:rsid w:val="00F4507C"/>
    <w:rsid w:val="00F4588C"/>
    <w:rsid w:val="00F502EB"/>
    <w:rsid w:val="00F50572"/>
    <w:rsid w:val="00F50D77"/>
    <w:rsid w:val="00F51BB9"/>
    <w:rsid w:val="00F5227A"/>
    <w:rsid w:val="00F53271"/>
    <w:rsid w:val="00F548B7"/>
    <w:rsid w:val="00F550F5"/>
    <w:rsid w:val="00F56E49"/>
    <w:rsid w:val="00F57678"/>
    <w:rsid w:val="00F57B70"/>
    <w:rsid w:val="00F600AD"/>
    <w:rsid w:val="00F615BA"/>
    <w:rsid w:val="00F62641"/>
    <w:rsid w:val="00F63E87"/>
    <w:rsid w:val="00F70589"/>
    <w:rsid w:val="00F70832"/>
    <w:rsid w:val="00F71538"/>
    <w:rsid w:val="00F716E6"/>
    <w:rsid w:val="00F71EF7"/>
    <w:rsid w:val="00F72B77"/>
    <w:rsid w:val="00F73052"/>
    <w:rsid w:val="00F7434E"/>
    <w:rsid w:val="00F77C41"/>
    <w:rsid w:val="00F806FF"/>
    <w:rsid w:val="00F80AAC"/>
    <w:rsid w:val="00F810D4"/>
    <w:rsid w:val="00F8227E"/>
    <w:rsid w:val="00F82324"/>
    <w:rsid w:val="00F82AE5"/>
    <w:rsid w:val="00F82C41"/>
    <w:rsid w:val="00F83228"/>
    <w:rsid w:val="00F846C7"/>
    <w:rsid w:val="00F86028"/>
    <w:rsid w:val="00F866FF"/>
    <w:rsid w:val="00F873AD"/>
    <w:rsid w:val="00F8748B"/>
    <w:rsid w:val="00F9048E"/>
    <w:rsid w:val="00F90F7E"/>
    <w:rsid w:val="00F9239B"/>
    <w:rsid w:val="00F93930"/>
    <w:rsid w:val="00F94A8E"/>
    <w:rsid w:val="00F9550C"/>
    <w:rsid w:val="00F9648F"/>
    <w:rsid w:val="00F96BDD"/>
    <w:rsid w:val="00FA2444"/>
    <w:rsid w:val="00FA26B0"/>
    <w:rsid w:val="00FA42B8"/>
    <w:rsid w:val="00FA5439"/>
    <w:rsid w:val="00FA6B60"/>
    <w:rsid w:val="00FA6B78"/>
    <w:rsid w:val="00FA6F56"/>
    <w:rsid w:val="00FA7459"/>
    <w:rsid w:val="00FB18C5"/>
    <w:rsid w:val="00FB1915"/>
    <w:rsid w:val="00FB2236"/>
    <w:rsid w:val="00FB33E5"/>
    <w:rsid w:val="00FB3A6E"/>
    <w:rsid w:val="00FB3D59"/>
    <w:rsid w:val="00FB5DAA"/>
    <w:rsid w:val="00FC0754"/>
    <w:rsid w:val="00FC0A1D"/>
    <w:rsid w:val="00FC453C"/>
    <w:rsid w:val="00FC514E"/>
    <w:rsid w:val="00FD00EE"/>
    <w:rsid w:val="00FD0676"/>
    <w:rsid w:val="00FD1A1D"/>
    <w:rsid w:val="00FD2B80"/>
    <w:rsid w:val="00FD3638"/>
    <w:rsid w:val="00FD439A"/>
    <w:rsid w:val="00FD674E"/>
    <w:rsid w:val="00FD7C0B"/>
    <w:rsid w:val="00FE14A7"/>
    <w:rsid w:val="00FE25A3"/>
    <w:rsid w:val="00FE322D"/>
    <w:rsid w:val="00FE5216"/>
    <w:rsid w:val="00FE6AD3"/>
    <w:rsid w:val="00FE721F"/>
    <w:rsid w:val="00FF0F62"/>
    <w:rsid w:val="00FF16E8"/>
    <w:rsid w:val="00FF2092"/>
    <w:rsid w:val="00FF403D"/>
    <w:rsid w:val="00FF5462"/>
    <w:rsid w:val="00FF5803"/>
    <w:rsid w:val="00FF5DDD"/>
    <w:rsid w:val="015C6FA1"/>
    <w:rsid w:val="01E71851"/>
    <w:rsid w:val="02044583"/>
    <w:rsid w:val="02CA6148"/>
    <w:rsid w:val="03CB65A0"/>
    <w:rsid w:val="07531BBF"/>
    <w:rsid w:val="07F2213C"/>
    <w:rsid w:val="09B313A1"/>
    <w:rsid w:val="0F4A1CC8"/>
    <w:rsid w:val="108E32A2"/>
    <w:rsid w:val="12211845"/>
    <w:rsid w:val="12490F86"/>
    <w:rsid w:val="1681427E"/>
    <w:rsid w:val="177A3469"/>
    <w:rsid w:val="19F9435C"/>
    <w:rsid w:val="1A5E10C4"/>
    <w:rsid w:val="1B8A2EB6"/>
    <w:rsid w:val="1CBE6CA2"/>
    <w:rsid w:val="1D0504BE"/>
    <w:rsid w:val="1E084E98"/>
    <w:rsid w:val="20552E63"/>
    <w:rsid w:val="215847CA"/>
    <w:rsid w:val="2247280D"/>
    <w:rsid w:val="22D92B91"/>
    <w:rsid w:val="258D392E"/>
    <w:rsid w:val="28151DA3"/>
    <w:rsid w:val="2D7F2005"/>
    <w:rsid w:val="2D911C94"/>
    <w:rsid w:val="2E426A70"/>
    <w:rsid w:val="2E8A6BDF"/>
    <w:rsid w:val="2E900F06"/>
    <w:rsid w:val="30E41698"/>
    <w:rsid w:val="31A1412D"/>
    <w:rsid w:val="32F225D1"/>
    <w:rsid w:val="33747FC8"/>
    <w:rsid w:val="33B96D7D"/>
    <w:rsid w:val="342662B1"/>
    <w:rsid w:val="344C2F50"/>
    <w:rsid w:val="3639011F"/>
    <w:rsid w:val="36701644"/>
    <w:rsid w:val="36B73F13"/>
    <w:rsid w:val="38FE6E0A"/>
    <w:rsid w:val="3A6B5EC7"/>
    <w:rsid w:val="3EDA0D45"/>
    <w:rsid w:val="3FCB2498"/>
    <w:rsid w:val="3FFA3BA7"/>
    <w:rsid w:val="40CD085D"/>
    <w:rsid w:val="410723F2"/>
    <w:rsid w:val="41E51E13"/>
    <w:rsid w:val="42770734"/>
    <w:rsid w:val="4359155A"/>
    <w:rsid w:val="44C877DC"/>
    <w:rsid w:val="458D64E9"/>
    <w:rsid w:val="45E7249C"/>
    <w:rsid w:val="481C27D1"/>
    <w:rsid w:val="49A6427B"/>
    <w:rsid w:val="4AD76478"/>
    <w:rsid w:val="4D223CD8"/>
    <w:rsid w:val="4D997E0A"/>
    <w:rsid w:val="4DC229B0"/>
    <w:rsid w:val="4FC310D3"/>
    <w:rsid w:val="50285A5E"/>
    <w:rsid w:val="508858D8"/>
    <w:rsid w:val="51D62BC6"/>
    <w:rsid w:val="526A3053"/>
    <w:rsid w:val="532E2BAD"/>
    <w:rsid w:val="566276A4"/>
    <w:rsid w:val="575E4383"/>
    <w:rsid w:val="5D4A7A72"/>
    <w:rsid w:val="60F16363"/>
    <w:rsid w:val="62045AB4"/>
    <w:rsid w:val="63713FE7"/>
    <w:rsid w:val="64E53FE4"/>
    <w:rsid w:val="64F1484B"/>
    <w:rsid w:val="6548236D"/>
    <w:rsid w:val="675E7029"/>
    <w:rsid w:val="67B7429F"/>
    <w:rsid w:val="6A5B6C40"/>
    <w:rsid w:val="6B1013F2"/>
    <w:rsid w:val="6D14513B"/>
    <w:rsid w:val="6D8C58B4"/>
    <w:rsid w:val="6E2C7465"/>
    <w:rsid w:val="6EF6557A"/>
    <w:rsid w:val="6F6E7750"/>
    <w:rsid w:val="710F4740"/>
    <w:rsid w:val="718E65D3"/>
    <w:rsid w:val="72114614"/>
    <w:rsid w:val="763761AB"/>
    <w:rsid w:val="78450E6E"/>
    <w:rsid w:val="78E55BAB"/>
    <w:rsid w:val="7AC24DB3"/>
    <w:rsid w:val="7B5A5A86"/>
    <w:rsid w:val="7BEF39B7"/>
    <w:rsid w:val="7C87114D"/>
    <w:rsid w:val="7D4C6B3E"/>
    <w:rsid w:val="7D9F41B9"/>
    <w:rsid w:val="7EC9015E"/>
    <w:rsid w:val="7F6643B9"/>
    <w:rsid w:val="7FC25B81"/>
  </w:rsids>
  <m:mathPr>
    <m:mathFont m:val="Cambria Math"/>
    <m:brkBin m:val="before"/>
    <m:brkBinSub m:val="--"/>
    <m:smallFrac m:val="0"/>
    <m:dispDef/>
    <m:lMargin m:val="0"/>
    <m:rMargin m:val="0"/>
    <m:defJc m:val="centerGroup"/>
    <m:wrapIndent m:val="1440"/>
    <m:intLim m:val="subSup"/>
    <m:naryLim m:val="undOvr"/>
  </m:mathPr>
  <w:doNotAutoCompressPictures/>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nhideWhenUsed="0" w:uiPriority="99" w:semiHidden="0" w:name="heading 4"/>
    <w:lsdException w:qFormat="1" w:unhideWhenUsed="0" w:uiPriority="99" w:semiHidden="0" w:name="heading 5"/>
    <w:lsdException w:qFormat="1" w:unhideWhenUsed="0" w:uiPriority="99" w:semiHidden="0" w:name="heading 6"/>
    <w:lsdException w:qFormat="1" w:unhideWhenUsed="0" w:uiPriority="99" w:semiHidden="0" w:name="heading 7"/>
    <w:lsdException w:qFormat="1" w:unhideWhenUsed="0" w:uiPriority="99" w:semiHidden="0" w:name="heading 8"/>
    <w:lsdException w:qFormat="1" w:unhideWhenUsed="0" w:uiPriority="99" w:semiHidden="0" w:name="heading 9"/>
    <w:lsdException w:qFormat="1" w:unhideWhenUsed="0" w:uiPriority="99" w:name="index 1"/>
    <w:lsdException w:uiPriority="99" w:name="index 2" w:locked="1"/>
    <w:lsdException w:uiPriority="99" w:name="index 3" w:locked="1"/>
    <w:lsdException w:uiPriority="99" w:name="index 4" w:locked="1"/>
    <w:lsdException w:uiPriority="99" w:name="index 5" w:locked="1"/>
    <w:lsdException w:uiPriority="99" w:name="index 6" w:locked="1"/>
    <w:lsdException w:uiPriority="99" w:name="index 7" w:locked="1"/>
    <w:lsdException w:uiPriority="99" w:name="index 8" w:locked="1"/>
    <w:lsdException w:uiPriority="99" w:name="index 9" w:locked="1"/>
    <w:lsdException w:qFormat="1" w:unhideWhenUsed="0" w:uiPriority="99" w:name="toc 1"/>
    <w:lsdException w:qFormat="1" w:unhideWhenUsed="0" w:uiPriority="99" w:name="toc 2"/>
    <w:lsdException w:qFormat="1" w:unhideWhenUsed="0" w:uiPriority="99" w:name="toc 3"/>
    <w:lsdException w:qFormat="1" w:unhideWhenUsed="0" w:uiPriority="99" w:name="toc 4"/>
    <w:lsdException w:qFormat="1" w:unhideWhenUsed="0" w:uiPriority="99" w:name="toc 5"/>
    <w:lsdException w:qFormat="1" w:unhideWhenUsed="0" w:uiPriority="99" w:name="toc 6"/>
    <w:lsdException w:qFormat="1" w:unhideWhenUsed="0" w:uiPriority="99" w:name="toc 7"/>
    <w:lsdException w:qFormat="1" w:unhideWhenUsed="0" w:uiPriority="99" w:name="toc 8"/>
    <w:lsdException w:qFormat="1" w:unhideWhenUsed="0" w:uiPriority="99" w:name="toc 9"/>
    <w:lsdException w:qFormat="1" w:unhideWhenUsed="0" w:uiPriority="99" w:semiHidden="0" w:name="Normal Indent"/>
    <w:lsdException w:qFormat="1" w:unhideWhenUsed="0" w:uiPriority="99" w:name="footnote text"/>
    <w:lsdException w:qFormat="1" w:unhideWhenUsed="0" w:uiPriority="99" w:name="annotation text"/>
    <w:lsdException w:qFormat="1" w:unhideWhenUsed="0" w:uiPriority="99" w:semiHidden="0" w:name="header"/>
    <w:lsdException w:qFormat="1" w:unhideWhenUsed="0" w:uiPriority="99" w:semiHidden="0" w:name="footer"/>
    <w:lsdException w:uiPriority="99" w:name="index heading" w:locked="1"/>
    <w:lsdException w:qFormat="1" w:unhideWhenUsed="0" w:uiPriority="99" w:semiHidden="0" w:name="caption"/>
    <w:lsdException w:uiPriority="99" w:name="table of figures" w:locked="1"/>
    <w:lsdException w:qFormat="1" w:unhideWhenUsed="0" w:uiPriority="99" w:semiHidden="0" w:name="envelope address"/>
    <w:lsdException w:uiPriority="99" w:name="envelope return" w:locked="1"/>
    <w:lsdException w:qFormat="1" w:unhideWhenUsed="0" w:uiPriority="99" w:name="footnote reference"/>
    <w:lsdException w:qFormat="1" w:unhideWhenUsed="0" w:uiPriority="99" w:name="annotation reference"/>
    <w:lsdException w:uiPriority="99" w:name="line number" w:locked="1"/>
    <w:lsdException w:qFormat="1" w:unhideWhenUsed="0" w:uiPriority="99" w:semiHidden="0" w:name="page number"/>
    <w:lsdException w:qFormat="1" w:unhideWhenUsed="0" w:uiPriority="99" w:name="endnote reference"/>
    <w:lsdException w:qFormat="1" w:unhideWhenUsed="0" w:uiPriority="99" w:name="endnote text"/>
    <w:lsdException w:uiPriority="99" w:name="table of authorities" w:locked="1"/>
    <w:lsdException w:uiPriority="99" w:name="macro" w:locked="1"/>
    <w:lsdException w:qFormat="1" w:unhideWhenUsed="0" w:uiPriority="99" w:name="toa heading"/>
    <w:lsdException w:qFormat="1" w:unhideWhenUsed="0" w:uiPriority="99" w:semiHidden="0" w:name="List"/>
    <w:lsdException w:qFormat="1" w:unhideWhenUsed="0" w:uiPriority="99" w:semiHidden="0" w:name="List Bullet"/>
    <w:lsdException w:uiPriority="99" w:name="List Number" w:locked="1"/>
    <w:lsdException w:uiPriority="99" w:name="List 2" w:locked="1"/>
    <w:lsdException w:uiPriority="99" w:name="List 3" w:locked="1"/>
    <w:lsdException w:uiPriority="99" w:name="List 4" w:locked="1"/>
    <w:lsdException w:uiPriority="99" w:name="List 5" w:locked="1"/>
    <w:lsdException w:qFormat="1" w:unhideWhenUsed="0" w:uiPriority="99" w:semiHidden="0" w:name="List Bullet 2"/>
    <w:lsdException w:uiPriority="99" w:name="List Bullet 3" w:locked="1"/>
    <w:lsdException w:uiPriority="99" w:name="List Bullet 4" w:locked="1"/>
    <w:lsdException w:uiPriority="99" w:name="List Bullet 5" w:locked="1"/>
    <w:lsdException w:uiPriority="99" w:name="List Number 2" w:locked="1"/>
    <w:lsdException w:uiPriority="99" w:name="List Number 3" w:locked="1"/>
    <w:lsdException w:uiPriority="99" w:name="List Number 4" w:locked="1"/>
    <w:lsdException w:uiPriority="99" w:name="List Number 5" w:locked="1"/>
    <w:lsdException w:qFormat="1" w:unhideWhenUsed="0" w:uiPriority="99" w:semiHidden="0" w:name="Title"/>
    <w:lsdException w:uiPriority="99" w:name="Closing" w:locked="1"/>
    <w:lsdException w:uiPriority="99" w:name="Signature" w:locked="1"/>
    <w:lsdException w:qFormat="1" w:unhideWhenUsed="0" w:uiPriority="99" w:name="Default Paragraph Font"/>
    <w:lsdException w:qFormat="1" w:unhideWhenUsed="0" w:uiPriority="99" w:semiHidden="0" w:name="Body Text"/>
    <w:lsdException w:qFormat="1" w:unhideWhenUsed="0" w:uiPriority="99" w:semiHidden="0" w:name="Body Text Indent"/>
    <w:lsdException w:uiPriority="99" w:name="List Continue" w:locked="1"/>
    <w:lsdException w:uiPriority="99" w:name="List Continue 2" w:locked="1"/>
    <w:lsdException w:uiPriority="99" w:name="List Continue 3" w:locked="1"/>
    <w:lsdException w:uiPriority="99" w:name="List Continue 4" w:locked="1"/>
    <w:lsdException w:uiPriority="99" w:name="List Continue 5" w:locked="1"/>
    <w:lsdException w:uiPriority="99" w:name="Message Header" w:locked="1"/>
    <w:lsdException w:qFormat="1" w:unhideWhenUsed="0" w:uiPriority="99" w:semiHidden="0" w:name="Subtitle"/>
    <w:lsdException w:uiPriority="99" w:name="Salutation" w:locked="1"/>
    <w:lsdException w:qFormat="1" w:unhideWhenUsed="0" w:uiPriority="99" w:semiHidden="0" w:name="Date"/>
    <w:lsdException w:qFormat="1" w:unhideWhenUsed="0" w:uiPriority="99" w:semiHidden="0" w:name="Body Text First Indent"/>
    <w:lsdException w:qFormat="1" w:unhideWhenUsed="0" w:uiPriority="99" w:semiHidden="0" w:name="Body Text First Indent 2"/>
    <w:lsdException w:qFormat="1" w:unhideWhenUsed="0" w:uiPriority="99" w:semiHidden="0" w:name="Note Heading"/>
    <w:lsdException w:qFormat="1" w:unhideWhenUsed="0" w:uiPriority="99" w:semiHidden="0" w:name="Body Text 2"/>
    <w:lsdException w:uiPriority="99" w:name="Body Text 3" w:locked="1"/>
    <w:lsdException w:qFormat="1" w:unhideWhenUsed="0" w:uiPriority="99" w:semiHidden="0" w:name="Body Text Indent 2"/>
    <w:lsdException w:qFormat="1" w:unhideWhenUsed="0" w:uiPriority="99" w:semiHidden="0" w:name="Body Text Indent 3"/>
    <w:lsdException w:qFormat="1" w:unhideWhenUsed="0" w:uiPriority="99" w:semiHidden="0" w:name="Block Text"/>
    <w:lsdException w:qFormat="1" w:unhideWhenUsed="0" w:uiPriority="99" w:semiHidden="0" w:name="Hyperlink"/>
    <w:lsdException w:qFormat="1" w:unhideWhenUsed="0" w:uiPriority="99" w:semiHidden="0" w:name="FollowedHyperlink"/>
    <w:lsdException w:qFormat="1" w:unhideWhenUsed="0" w:uiPriority="99" w:semiHidden="0" w:name="Strong"/>
    <w:lsdException w:qFormat="1" w:unhideWhenUsed="0" w:uiPriority="99" w:semiHidden="0" w:name="Emphasis"/>
    <w:lsdException w:qFormat="1" w:unhideWhenUsed="0" w:uiPriority="99" w:name="Document Map"/>
    <w:lsdException w:qFormat="1" w:unhideWhenUsed="0" w:uiPriority="99" w:semiHidden="0" w:name="Plain Text"/>
    <w:lsdException w:uiPriority="99" w:name="E-mail Signature" w:locked="1"/>
    <w:lsdException w:qFormat="1" w:unhideWhenUsed="0" w:uiPriority="99" w:semiHidden="0" w:name="Normal (Web)"/>
    <w:lsdException w:uiPriority="99" w:name="HTML Acronym" w:locked="1"/>
    <w:lsdException w:uiPriority="99" w:name="HTML Address" w:locked="1"/>
    <w:lsdException w:uiPriority="99" w:name="HTML Cite" w:locked="1"/>
    <w:lsdException w:uiPriority="99" w:name="HTML Code" w:locked="1"/>
    <w:lsdException w:uiPriority="99" w:name="HTML Definition" w:locked="1"/>
    <w:lsdException w:uiPriority="99" w:name="HTML Keyboard" w:locked="1"/>
    <w:lsdException w:qFormat="1" w:unhideWhenUsed="0" w:uiPriority="99" w:semiHidden="0" w:name="HTML Preformatted"/>
    <w:lsdException w:uiPriority="99" w:name="HTML Sample" w:locked="1"/>
    <w:lsdException w:uiPriority="99" w:name="HTML Typewriter" w:locked="1"/>
    <w:lsdException w:qFormat="1" w:unhideWhenUsed="0" w:uiPriority="99" w:semiHidden="0" w:name="HTML Variable"/>
    <w:lsdException w:qFormat="1" w:uiPriority="99" w:name="Normal Table"/>
    <w:lsdException w:qFormat="1" w:unhideWhenUsed="0" w:uiPriority="99" w:name="annotation subject"/>
    <w:lsdException w:qFormat="1" w:unhideWhenUsed="0" w:uiPriority="99" w:semiHidden="0" w:name="Table Simple 1"/>
    <w:lsdException w:uiPriority="99" w:name="Table Simple 2" w:locked="1"/>
    <w:lsdException w:uiPriority="99" w:name="Table Simple 3" w:locked="1"/>
    <w:lsdException w:uiPriority="99" w:name="Table Classic 1" w:locked="1"/>
    <w:lsdException w:uiPriority="99" w:name="Table Classic 2" w:locked="1"/>
    <w:lsdException w:uiPriority="99" w:name="Table Classic 3" w:locked="1"/>
    <w:lsdException w:uiPriority="99" w:name="Table Classic 4" w:locked="1"/>
    <w:lsdException w:uiPriority="99" w:name="Table Colorful 1" w:locked="1"/>
    <w:lsdException w:uiPriority="99" w:name="Table Colorful 2" w:locked="1"/>
    <w:lsdException w:uiPriority="99" w:name="Table Colorful 3" w:locked="1"/>
    <w:lsdException w:uiPriority="99" w:name="Table Columns 1" w:locked="1"/>
    <w:lsdException w:uiPriority="99" w:name="Table Columns 2" w:locked="1"/>
    <w:lsdException w:uiPriority="99" w:name="Table Columns 3" w:locked="1"/>
    <w:lsdException w:uiPriority="99" w:name="Table Columns 4" w:locked="1"/>
    <w:lsdException w:uiPriority="99" w:name="Table Columns 5" w:locked="1"/>
    <w:lsdException w:qFormat="1" w:unhideWhenUsed="0" w:uiPriority="99" w:semiHidden="0" w:name="Table Grid 1"/>
    <w:lsdException w:uiPriority="99" w:name="Table Grid 2" w:locked="1"/>
    <w:lsdException w:uiPriority="99" w:name="Table Grid 3" w:locked="1"/>
    <w:lsdException w:uiPriority="99" w:name="Table Grid 4" w:locked="1"/>
    <w:lsdException w:qFormat="1" w:unhideWhenUsed="0" w:uiPriority="99" w:semiHidden="0" w:name="Table Grid 5"/>
    <w:lsdException w:uiPriority="99" w:name="Table Grid 6" w:locked="1"/>
    <w:lsdException w:uiPriority="99" w:name="Table Grid 7" w:locked="1"/>
    <w:lsdException w:uiPriority="99" w:name="Table Grid 8" w:locked="1"/>
    <w:lsdException w:uiPriority="99" w:name="Table List 1" w:locked="1"/>
    <w:lsdException w:uiPriority="99" w:name="Table List 2" w:locked="1"/>
    <w:lsdException w:uiPriority="99" w:name="Table List 3" w:locked="1"/>
    <w:lsdException w:uiPriority="99" w:name="Table List 4" w:locked="1"/>
    <w:lsdException w:uiPriority="99" w:name="Table List 5" w:locked="1"/>
    <w:lsdException w:uiPriority="99" w:name="Table List 6" w:locked="1"/>
    <w:lsdException w:uiPriority="99" w:name="Table List 7" w:locked="1"/>
    <w:lsdException w:uiPriority="99" w:name="Table List 8" w:locked="1"/>
    <w:lsdException w:uiPriority="99" w:name="Table 3D effects 1" w:locked="1"/>
    <w:lsdException w:uiPriority="99" w:name="Table 3D effects 2" w:locked="1"/>
    <w:lsdException w:uiPriority="99" w:name="Table 3D effects 3" w:locked="1"/>
    <w:lsdException w:uiPriority="99" w:name="Table Contemporary" w:locked="1"/>
    <w:lsdException w:qFormat="1" w:unhideWhenUsed="0" w:uiPriority="99" w:semiHidden="0" w:name="Table Elegant"/>
    <w:lsdException w:uiPriority="99" w:name="Table Professional" w:locked="1"/>
    <w:lsdException w:uiPriority="99" w:name="Table Subtle 1" w:locked="1"/>
    <w:lsdException w:uiPriority="99" w:name="Table Subtle 2" w:locked="1"/>
    <w:lsdException w:uiPriority="99" w:name="Table Web 1" w:locked="1"/>
    <w:lsdException w:uiPriority="99" w:name="Table Web 2" w:locked="1"/>
    <w:lsdException w:uiPriority="99" w:name="Table Web 3" w:locked="1"/>
    <w:lsdException w:qFormat="1" w:unhideWhenUsed="0" w:uiPriority="99" w:name="Balloon Text"/>
    <w:lsdException w:qFormat="1" w:unhideWhenUsed="0" w:uiPriority="99" w:semiHidden="0" w:name="Table Grid"/>
    <w:lsdException w:uiPriority="99"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color w:val="000000"/>
      <w:kern w:val="2"/>
      <w:sz w:val="21"/>
      <w:szCs w:val="21"/>
      <w:lang w:val="en-US" w:eastAsia="zh-CN" w:bidi="ar-SA"/>
    </w:rPr>
  </w:style>
  <w:style w:type="paragraph" w:styleId="3">
    <w:name w:val="heading 1"/>
    <w:basedOn w:val="4"/>
    <w:next w:val="1"/>
    <w:link w:val="68"/>
    <w:qFormat/>
    <w:uiPriority w:val="99"/>
    <w:pPr>
      <w:adjustRightInd w:val="0"/>
      <w:jc w:val="center"/>
      <w:textAlignment w:val="baseline"/>
      <w:outlineLvl w:val="0"/>
    </w:pPr>
    <w:rPr>
      <w:rFonts w:ascii="Times New Roman" w:hAnsi="Times New Roman" w:eastAsia="黑体" w:cs="Times New Roman"/>
      <w:b w:val="0"/>
      <w:bCs w:val="0"/>
      <w:kern w:val="0"/>
      <w:sz w:val="30"/>
      <w:szCs w:val="30"/>
    </w:rPr>
  </w:style>
  <w:style w:type="paragraph" w:styleId="4">
    <w:name w:val="heading 2"/>
    <w:basedOn w:val="1"/>
    <w:next w:val="1"/>
    <w:link w:val="69"/>
    <w:qFormat/>
    <w:uiPriority w:val="99"/>
    <w:pPr>
      <w:keepNext/>
      <w:keepLines/>
      <w:spacing w:line="360" w:lineRule="auto"/>
      <w:jc w:val="left"/>
      <w:outlineLvl w:val="1"/>
    </w:pPr>
    <w:rPr>
      <w:rFonts w:ascii="Arial" w:hAnsi="Arial" w:cs="Arial"/>
      <w:b/>
      <w:bCs/>
      <w:sz w:val="28"/>
      <w:szCs w:val="28"/>
    </w:rPr>
  </w:style>
  <w:style w:type="paragraph" w:styleId="5">
    <w:name w:val="heading 3"/>
    <w:basedOn w:val="1"/>
    <w:next w:val="1"/>
    <w:link w:val="70"/>
    <w:qFormat/>
    <w:uiPriority w:val="99"/>
    <w:pPr>
      <w:keepNext/>
      <w:keepLines/>
      <w:spacing w:line="360" w:lineRule="auto"/>
      <w:jc w:val="left"/>
      <w:outlineLvl w:val="2"/>
    </w:pPr>
    <w:rPr>
      <w:b/>
      <w:bCs/>
      <w:sz w:val="28"/>
      <w:szCs w:val="28"/>
    </w:rPr>
  </w:style>
  <w:style w:type="paragraph" w:styleId="6">
    <w:name w:val="heading 4"/>
    <w:basedOn w:val="1"/>
    <w:next w:val="1"/>
    <w:link w:val="71"/>
    <w:qFormat/>
    <w:uiPriority w:val="99"/>
    <w:pPr>
      <w:keepNext/>
      <w:keepLines/>
      <w:spacing w:before="360" w:after="120" w:line="360" w:lineRule="auto"/>
      <w:outlineLvl w:val="3"/>
    </w:pPr>
    <w:rPr>
      <w:rFonts w:ascii="Arial" w:hAnsi="Arial" w:cs="Arial"/>
      <w:b/>
      <w:bCs/>
      <w:sz w:val="28"/>
      <w:szCs w:val="28"/>
    </w:rPr>
  </w:style>
  <w:style w:type="paragraph" w:styleId="7">
    <w:name w:val="heading 5"/>
    <w:basedOn w:val="1"/>
    <w:next w:val="1"/>
    <w:link w:val="72"/>
    <w:qFormat/>
    <w:uiPriority w:val="99"/>
    <w:pPr>
      <w:keepNext/>
      <w:keepLines/>
      <w:tabs>
        <w:tab w:val="left" w:pos="990"/>
      </w:tabs>
      <w:adjustRightInd w:val="0"/>
      <w:spacing w:line="480" w:lineRule="exact"/>
      <w:textAlignment w:val="baseline"/>
      <w:outlineLvl w:val="4"/>
    </w:pPr>
    <w:rPr>
      <w:rFonts w:ascii="宋体" w:cs="宋体"/>
      <w:spacing w:val="2"/>
      <w:kern w:val="0"/>
      <w:sz w:val="24"/>
      <w:szCs w:val="24"/>
    </w:rPr>
  </w:style>
  <w:style w:type="paragraph" w:styleId="8">
    <w:name w:val="heading 6"/>
    <w:basedOn w:val="1"/>
    <w:next w:val="1"/>
    <w:link w:val="73"/>
    <w:qFormat/>
    <w:uiPriority w:val="99"/>
    <w:pPr>
      <w:keepNext/>
      <w:keepLines/>
      <w:tabs>
        <w:tab w:val="left" w:pos="990"/>
      </w:tabs>
      <w:adjustRightInd w:val="0"/>
      <w:spacing w:before="240" w:after="64" w:line="320" w:lineRule="auto"/>
      <w:ind w:left="990" w:firstLine="482"/>
      <w:textAlignment w:val="baseline"/>
      <w:outlineLvl w:val="5"/>
    </w:pPr>
    <w:rPr>
      <w:rFonts w:ascii="Arial" w:hAnsi="Arial" w:cs="Arial"/>
      <w:spacing w:val="2"/>
      <w:kern w:val="0"/>
      <w:sz w:val="24"/>
      <w:szCs w:val="24"/>
    </w:rPr>
  </w:style>
  <w:style w:type="paragraph" w:styleId="9">
    <w:name w:val="heading 7"/>
    <w:basedOn w:val="1"/>
    <w:next w:val="1"/>
    <w:link w:val="74"/>
    <w:qFormat/>
    <w:uiPriority w:val="99"/>
    <w:pPr>
      <w:keepNext/>
      <w:keepLines/>
      <w:tabs>
        <w:tab w:val="left" w:pos="990"/>
      </w:tabs>
      <w:adjustRightInd w:val="0"/>
      <w:spacing w:before="240" w:after="64" w:line="320" w:lineRule="auto"/>
      <w:ind w:left="990" w:firstLine="482"/>
      <w:textAlignment w:val="baseline"/>
      <w:outlineLvl w:val="6"/>
    </w:pPr>
    <w:rPr>
      <w:rFonts w:ascii="宋体" w:cs="宋体"/>
      <w:spacing w:val="2"/>
      <w:kern w:val="0"/>
      <w:sz w:val="24"/>
      <w:szCs w:val="24"/>
    </w:rPr>
  </w:style>
  <w:style w:type="paragraph" w:styleId="10">
    <w:name w:val="heading 8"/>
    <w:basedOn w:val="1"/>
    <w:next w:val="1"/>
    <w:link w:val="75"/>
    <w:qFormat/>
    <w:uiPriority w:val="99"/>
    <w:pPr>
      <w:keepNext/>
      <w:keepLines/>
      <w:tabs>
        <w:tab w:val="left" w:pos="990"/>
      </w:tabs>
      <w:adjustRightInd w:val="0"/>
      <w:spacing w:before="240" w:after="64" w:line="320" w:lineRule="auto"/>
      <w:ind w:left="990" w:firstLine="482"/>
      <w:textAlignment w:val="baseline"/>
      <w:outlineLvl w:val="7"/>
    </w:pPr>
    <w:rPr>
      <w:rFonts w:ascii="Arial" w:hAnsi="Arial" w:cs="Arial"/>
      <w:b/>
      <w:bCs/>
      <w:spacing w:val="2"/>
      <w:kern w:val="0"/>
      <w:sz w:val="24"/>
      <w:szCs w:val="24"/>
    </w:rPr>
  </w:style>
  <w:style w:type="paragraph" w:styleId="11">
    <w:name w:val="heading 9"/>
    <w:basedOn w:val="1"/>
    <w:next w:val="1"/>
    <w:link w:val="76"/>
    <w:qFormat/>
    <w:uiPriority w:val="99"/>
    <w:pPr>
      <w:keepNext/>
      <w:keepLines/>
      <w:tabs>
        <w:tab w:val="left" w:pos="990"/>
      </w:tabs>
      <w:adjustRightInd w:val="0"/>
      <w:spacing w:before="240" w:after="64" w:line="320" w:lineRule="auto"/>
      <w:ind w:left="990" w:firstLine="482"/>
      <w:textAlignment w:val="baseline"/>
      <w:outlineLvl w:val="8"/>
    </w:pPr>
    <w:rPr>
      <w:rFonts w:ascii="Arial" w:hAnsi="Arial" w:cs="Arial"/>
      <w:b/>
      <w:bCs/>
      <w:spacing w:val="2"/>
      <w:kern w:val="0"/>
    </w:rPr>
  </w:style>
  <w:style w:type="character" w:default="1" w:styleId="58">
    <w:name w:val="Default Paragraph Font"/>
    <w:semiHidden/>
    <w:qFormat/>
    <w:uiPriority w:val="99"/>
  </w:style>
  <w:style w:type="table" w:default="1" w:styleId="52">
    <w:name w:val="Normal Table"/>
    <w:semiHidden/>
    <w:unhideWhenUsed/>
    <w:qFormat/>
    <w:uiPriority w:val="99"/>
    <w:tblPr>
      <w:tblCellMar>
        <w:top w:w="0" w:type="dxa"/>
        <w:left w:w="108" w:type="dxa"/>
        <w:bottom w:w="0" w:type="dxa"/>
        <w:right w:w="108" w:type="dxa"/>
      </w:tblCellMar>
    </w:tblPr>
  </w:style>
  <w:style w:type="paragraph" w:customStyle="1" w:styleId="2">
    <w:name w:val="Default"/>
    <w:link w:val="633"/>
    <w:qFormat/>
    <w:uiPriority w:val="99"/>
    <w:pPr>
      <w:widowControl w:val="0"/>
      <w:autoSpaceDE w:val="0"/>
      <w:autoSpaceDN w:val="0"/>
      <w:adjustRightInd w:val="0"/>
    </w:pPr>
    <w:rPr>
      <w:rFonts w:ascii="仿宋_GB2312" w:hAnsi="Times New Roman" w:eastAsia="仿宋_GB2312" w:cs="仿宋_GB2312"/>
      <w:color w:val="000000"/>
      <w:kern w:val="0"/>
      <w:sz w:val="24"/>
      <w:szCs w:val="24"/>
      <w:lang w:val="en-US" w:eastAsia="zh-CN" w:bidi="ar-SA"/>
    </w:rPr>
  </w:style>
  <w:style w:type="paragraph" w:styleId="12">
    <w:name w:val="toc 7"/>
    <w:basedOn w:val="1"/>
    <w:next w:val="1"/>
    <w:semiHidden/>
    <w:qFormat/>
    <w:uiPriority w:val="99"/>
    <w:pPr>
      <w:ind w:left="1260"/>
      <w:jc w:val="left"/>
    </w:pPr>
    <w:rPr>
      <w:sz w:val="18"/>
      <w:szCs w:val="18"/>
    </w:rPr>
  </w:style>
  <w:style w:type="paragraph" w:styleId="13">
    <w:name w:val="Note Heading"/>
    <w:basedOn w:val="1"/>
    <w:next w:val="1"/>
    <w:link w:val="77"/>
    <w:qFormat/>
    <w:uiPriority w:val="99"/>
    <w:pPr>
      <w:jc w:val="center"/>
    </w:pPr>
    <w:rPr>
      <w:color w:val="auto"/>
    </w:rPr>
  </w:style>
  <w:style w:type="paragraph" w:styleId="14">
    <w:name w:val="Normal Indent"/>
    <w:basedOn w:val="1"/>
    <w:next w:val="1"/>
    <w:link w:val="98"/>
    <w:qFormat/>
    <w:uiPriority w:val="99"/>
    <w:pPr>
      <w:ind w:firstLine="420" w:firstLineChars="200"/>
    </w:pPr>
    <w:rPr>
      <w:color w:val="auto"/>
    </w:rPr>
  </w:style>
  <w:style w:type="paragraph" w:styleId="15">
    <w:name w:val="caption"/>
    <w:basedOn w:val="1"/>
    <w:next w:val="1"/>
    <w:qFormat/>
    <w:uiPriority w:val="99"/>
    <w:pPr>
      <w:widowControl/>
      <w:spacing w:line="360" w:lineRule="auto"/>
      <w:jc w:val="center"/>
    </w:pPr>
    <w:rPr>
      <w:rFonts w:eastAsia="黑体"/>
      <w:sz w:val="24"/>
      <w:szCs w:val="24"/>
    </w:rPr>
  </w:style>
  <w:style w:type="paragraph" w:styleId="16">
    <w:name w:val="List Bullet"/>
    <w:basedOn w:val="1"/>
    <w:qFormat/>
    <w:uiPriority w:val="99"/>
    <w:pPr>
      <w:tabs>
        <w:tab w:val="left" w:pos="360"/>
        <w:tab w:val="center" w:pos="6360"/>
      </w:tabs>
      <w:adjustRightInd w:val="0"/>
      <w:ind w:left="360" w:hanging="360"/>
      <w:jc w:val="center"/>
      <w:textAlignment w:val="baseline"/>
    </w:pPr>
    <w:rPr>
      <w:b/>
      <w:bCs/>
      <w:kern w:val="0"/>
      <w:sz w:val="20"/>
      <w:szCs w:val="20"/>
    </w:rPr>
  </w:style>
  <w:style w:type="paragraph" w:styleId="17">
    <w:name w:val="envelope address"/>
    <w:basedOn w:val="1"/>
    <w:qFormat/>
    <w:uiPriority w:val="99"/>
    <w:pPr>
      <w:framePr w:w="7920" w:h="1980" w:hRule="exact" w:hSpace="180" w:wrap="auto" w:vAnchor="margin" w:hAnchor="page" w:xAlign="center" w:yAlign="bottom"/>
      <w:ind w:left="2880"/>
    </w:pPr>
  </w:style>
  <w:style w:type="paragraph" w:styleId="18">
    <w:name w:val="Document Map"/>
    <w:basedOn w:val="1"/>
    <w:link w:val="78"/>
    <w:semiHidden/>
    <w:qFormat/>
    <w:uiPriority w:val="99"/>
    <w:pPr>
      <w:shd w:val="clear" w:color="auto" w:fill="000080"/>
    </w:pPr>
  </w:style>
  <w:style w:type="paragraph" w:styleId="19">
    <w:name w:val="toa heading"/>
    <w:basedOn w:val="1"/>
    <w:next w:val="1"/>
    <w:semiHidden/>
    <w:qFormat/>
    <w:uiPriority w:val="99"/>
    <w:pPr>
      <w:spacing w:before="120"/>
    </w:pPr>
    <w:rPr>
      <w:rFonts w:ascii="Arial" w:hAnsi="Arial" w:cs="Arial"/>
      <w:sz w:val="24"/>
      <w:szCs w:val="24"/>
    </w:rPr>
  </w:style>
  <w:style w:type="paragraph" w:styleId="20">
    <w:name w:val="annotation text"/>
    <w:basedOn w:val="1"/>
    <w:link w:val="79"/>
    <w:semiHidden/>
    <w:qFormat/>
    <w:uiPriority w:val="99"/>
    <w:pPr>
      <w:jc w:val="left"/>
    </w:pPr>
  </w:style>
  <w:style w:type="paragraph" w:styleId="21">
    <w:name w:val="Body Text"/>
    <w:basedOn w:val="1"/>
    <w:link w:val="80"/>
    <w:qFormat/>
    <w:uiPriority w:val="99"/>
    <w:pPr>
      <w:spacing w:after="120"/>
    </w:pPr>
  </w:style>
  <w:style w:type="paragraph" w:styleId="22">
    <w:name w:val="Body Text Indent"/>
    <w:basedOn w:val="1"/>
    <w:link w:val="81"/>
    <w:qFormat/>
    <w:uiPriority w:val="99"/>
    <w:pPr>
      <w:spacing w:line="500" w:lineRule="exact"/>
      <w:ind w:firstLine="560" w:firstLineChars="200"/>
    </w:pPr>
    <w:rPr>
      <w:rFonts w:ascii="宋体" w:hAnsi="宋体" w:cs="宋体"/>
      <w:sz w:val="28"/>
      <w:szCs w:val="28"/>
    </w:rPr>
  </w:style>
  <w:style w:type="paragraph" w:styleId="23">
    <w:name w:val="Block Text"/>
    <w:basedOn w:val="1"/>
    <w:qFormat/>
    <w:uiPriority w:val="99"/>
    <w:pPr>
      <w:autoSpaceDE w:val="0"/>
      <w:autoSpaceDN w:val="0"/>
      <w:adjustRightInd w:val="0"/>
      <w:spacing w:line="360" w:lineRule="atLeast"/>
      <w:ind w:left="227" w:right="227" w:firstLine="630"/>
    </w:pPr>
    <w:rPr>
      <w:rFonts w:ascii="宋体" w:cs="宋体"/>
      <w:kern w:val="0"/>
      <w:sz w:val="28"/>
      <w:szCs w:val="28"/>
    </w:rPr>
  </w:style>
  <w:style w:type="paragraph" w:styleId="24">
    <w:name w:val="List Bullet 2"/>
    <w:basedOn w:val="1"/>
    <w:qFormat/>
    <w:uiPriority w:val="99"/>
    <w:pPr>
      <w:tabs>
        <w:tab w:val="left" w:pos="780"/>
        <w:tab w:val="center" w:pos="6360"/>
      </w:tabs>
      <w:adjustRightInd w:val="0"/>
      <w:ind w:left="780" w:hanging="360"/>
      <w:jc w:val="center"/>
      <w:textAlignment w:val="baseline"/>
    </w:pPr>
    <w:rPr>
      <w:b/>
      <w:bCs/>
      <w:kern w:val="0"/>
      <w:sz w:val="20"/>
      <w:szCs w:val="20"/>
    </w:rPr>
  </w:style>
  <w:style w:type="paragraph" w:styleId="25">
    <w:name w:val="toc 5"/>
    <w:basedOn w:val="1"/>
    <w:next w:val="1"/>
    <w:semiHidden/>
    <w:qFormat/>
    <w:uiPriority w:val="99"/>
    <w:pPr>
      <w:ind w:left="840"/>
      <w:jc w:val="left"/>
    </w:pPr>
    <w:rPr>
      <w:sz w:val="18"/>
      <w:szCs w:val="18"/>
    </w:rPr>
  </w:style>
  <w:style w:type="paragraph" w:styleId="26">
    <w:name w:val="toc 3"/>
    <w:basedOn w:val="1"/>
    <w:next w:val="1"/>
    <w:semiHidden/>
    <w:qFormat/>
    <w:uiPriority w:val="99"/>
    <w:pPr>
      <w:ind w:left="840" w:leftChars="400"/>
    </w:pPr>
  </w:style>
  <w:style w:type="paragraph" w:styleId="27">
    <w:name w:val="Plain Text"/>
    <w:basedOn w:val="1"/>
    <w:link w:val="82"/>
    <w:qFormat/>
    <w:uiPriority w:val="99"/>
    <w:rPr>
      <w:rFonts w:ascii="宋体" w:hAnsi="Courier New" w:cs="宋体"/>
    </w:rPr>
  </w:style>
  <w:style w:type="paragraph" w:styleId="28">
    <w:name w:val="toc 8"/>
    <w:basedOn w:val="1"/>
    <w:next w:val="1"/>
    <w:semiHidden/>
    <w:qFormat/>
    <w:uiPriority w:val="99"/>
    <w:pPr>
      <w:ind w:left="1470"/>
      <w:jc w:val="left"/>
    </w:pPr>
    <w:rPr>
      <w:sz w:val="18"/>
      <w:szCs w:val="18"/>
    </w:rPr>
  </w:style>
  <w:style w:type="paragraph" w:styleId="29">
    <w:name w:val="Date"/>
    <w:basedOn w:val="1"/>
    <w:next w:val="1"/>
    <w:link w:val="83"/>
    <w:qFormat/>
    <w:uiPriority w:val="99"/>
    <w:pPr>
      <w:ind w:left="100" w:leftChars="2500"/>
    </w:pPr>
  </w:style>
  <w:style w:type="paragraph" w:styleId="30">
    <w:name w:val="Body Text Indent 2"/>
    <w:basedOn w:val="1"/>
    <w:link w:val="84"/>
    <w:qFormat/>
    <w:uiPriority w:val="99"/>
    <w:pPr>
      <w:spacing w:after="120" w:line="480" w:lineRule="auto"/>
      <w:ind w:left="420" w:leftChars="200"/>
    </w:pPr>
    <w:rPr>
      <w:color w:val="auto"/>
    </w:rPr>
  </w:style>
  <w:style w:type="paragraph" w:styleId="31">
    <w:name w:val="endnote text"/>
    <w:basedOn w:val="1"/>
    <w:link w:val="85"/>
    <w:semiHidden/>
    <w:qFormat/>
    <w:uiPriority w:val="99"/>
    <w:pPr>
      <w:snapToGrid w:val="0"/>
      <w:jc w:val="left"/>
    </w:pPr>
    <w:rPr>
      <w:color w:val="auto"/>
    </w:rPr>
  </w:style>
  <w:style w:type="paragraph" w:styleId="32">
    <w:name w:val="Balloon Text"/>
    <w:basedOn w:val="1"/>
    <w:link w:val="86"/>
    <w:semiHidden/>
    <w:qFormat/>
    <w:uiPriority w:val="99"/>
    <w:rPr>
      <w:sz w:val="18"/>
      <w:szCs w:val="18"/>
    </w:rPr>
  </w:style>
  <w:style w:type="paragraph" w:styleId="33">
    <w:name w:val="footer"/>
    <w:basedOn w:val="1"/>
    <w:link w:val="87"/>
    <w:qFormat/>
    <w:uiPriority w:val="99"/>
    <w:pPr>
      <w:tabs>
        <w:tab w:val="center" w:pos="4153"/>
        <w:tab w:val="right" w:pos="8306"/>
      </w:tabs>
      <w:snapToGrid w:val="0"/>
      <w:jc w:val="left"/>
    </w:pPr>
    <w:rPr>
      <w:sz w:val="18"/>
      <w:szCs w:val="18"/>
    </w:rPr>
  </w:style>
  <w:style w:type="paragraph" w:styleId="34">
    <w:name w:val="header"/>
    <w:basedOn w:val="1"/>
    <w:link w:val="88"/>
    <w:qFormat/>
    <w:uiPriority w:val="99"/>
    <w:pPr>
      <w:pBdr>
        <w:bottom w:val="single" w:color="auto" w:sz="6" w:space="1"/>
      </w:pBdr>
      <w:tabs>
        <w:tab w:val="center" w:pos="4153"/>
        <w:tab w:val="right" w:pos="8306"/>
      </w:tabs>
      <w:snapToGrid w:val="0"/>
      <w:jc w:val="center"/>
    </w:pPr>
    <w:rPr>
      <w:sz w:val="18"/>
      <w:szCs w:val="18"/>
    </w:rPr>
  </w:style>
  <w:style w:type="paragraph" w:styleId="35">
    <w:name w:val="toc 1"/>
    <w:basedOn w:val="1"/>
    <w:next w:val="1"/>
    <w:semiHidden/>
    <w:qFormat/>
    <w:uiPriority w:val="99"/>
    <w:pPr>
      <w:spacing w:line="360" w:lineRule="auto"/>
      <w:jc w:val="center"/>
    </w:pPr>
    <w:rPr>
      <w:rFonts w:hAnsi="宋体"/>
      <w:b/>
      <w:bCs/>
      <w:caps/>
      <w:sz w:val="32"/>
      <w:szCs w:val="32"/>
    </w:rPr>
  </w:style>
  <w:style w:type="paragraph" w:styleId="36">
    <w:name w:val="toc 4"/>
    <w:basedOn w:val="1"/>
    <w:next w:val="1"/>
    <w:semiHidden/>
    <w:qFormat/>
    <w:uiPriority w:val="99"/>
    <w:pPr>
      <w:ind w:left="630"/>
      <w:jc w:val="left"/>
    </w:pPr>
    <w:rPr>
      <w:sz w:val="18"/>
      <w:szCs w:val="18"/>
    </w:rPr>
  </w:style>
  <w:style w:type="paragraph" w:styleId="37">
    <w:name w:val="Subtitle"/>
    <w:basedOn w:val="1"/>
    <w:next w:val="1"/>
    <w:link w:val="89"/>
    <w:qFormat/>
    <w:uiPriority w:val="99"/>
    <w:pPr>
      <w:adjustRightInd w:val="0"/>
      <w:snapToGrid w:val="0"/>
      <w:spacing w:line="360" w:lineRule="auto"/>
      <w:jc w:val="left"/>
      <w:outlineLvl w:val="2"/>
    </w:pPr>
    <w:rPr>
      <w:rFonts w:eastAsia="黑体"/>
      <w:color w:val="C0504D"/>
      <w:kern w:val="28"/>
      <w:sz w:val="24"/>
      <w:szCs w:val="24"/>
    </w:rPr>
  </w:style>
  <w:style w:type="paragraph" w:styleId="38">
    <w:name w:val="List"/>
    <w:basedOn w:val="1"/>
    <w:qFormat/>
    <w:uiPriority w:val="99"/>
    <w:pPr>
      <w:adjustRightInd w:val="0"/>
      <w:spacing w:line="312" w:lineRule="atLeast"/>
      <w:ind w:left="420" w:hanging="420"/>
      <w:textAlignment w:val="baseline"/>
    </w:pPr>
    <w:rPr>
      <w:kern w:val="0"/>
    </w:rPr>
  </w:style>
  <w:style w:type="paragraph" w:styleId="39">
    <w:name w:val="footnote text"/>
    <w:basedOn w:val="1"/>
    <w:link w:val="90"/>
    <w:semiHidden/>
    <w:qFormat/>
    <w:uiPriority w:val="99"/>
    <w:pPr>
      <w:snapToGrid w:val="0"/>
      <w:jc w:val="left"/>
    </w:pPr>
    <w:rPr>
      <w:color w:val="auto"/>
      <w:sz w:val="18"/>
      <w:szCs w:val="18"/>
    </w:rPr>
  </w:style>
  <w:style w:type="paragraph" w:styleId="40">
    <w:name w:val="toc 6"/>
    <w:basedOn w:val="1"/>
    <w:next w:val="1"/>
    <w:semiHidden/>
    <w:qFormat/>
    <w:uiPriority w:val="99"/>
    <w:pPr>
      <w:ind w:left="1050"/>
      <w:jc w:val="left"/>
    </w:pPr>
    <w:rPr>
      <w:sz w:val="18"/>
      <w:szCs w:val="18"/>
    </w:rPr>
  </w:style>
  <w:style w:type="paragraph" w:styleId="41">
    <w:name w:val="Body Text Indent 3"/>
    <w:basedOn w:val="1"/>
    <w:link w:val="91"/>
    <w:qFormat/>
    <w:uiPriority w:val="99"/>
    <w:pPr>
      <w:spacing w:after="120"/>
      <w:ind w:left="420" w:leftChars="200"/>
    </w:pPr>
    <w:rPr>
      <w:sz w:val="16"/>
      <w:szCs w:val="16"/>
    </w:rPr>
  </w:style>
  <w:style w:type="paragraph" w:styleId="42">
    <w:name w:val="toc 2"/>
    <w:basedOn w:val="1"/>
    <w:next w:val="1"/>
    <w:semiHidden/>
    <w:qFormat/>
    <w:uiPriority w:val="99"/>
    <w:pPr>
      <w:ind w:left="210"/>
      <w:jc w:val="left"/>
    </w:pPr>
    <w:rPr>
      <w:smallCaps/>
      <w:sz w:val="20"/>
      <w:szCs w:val="20"/>
    </w:rPr>
  </w:style>
  <w:style w:type="paragraph" w:styleId="43">
    <w:name w:val="toc 9"/>
    <w:basedOn w:val="1"/>
    <w:next w:val="1"/>
    <w:semiHidden/>
    <w:qFormat/>
    <w:uiPriority w:val="99"/>
    <w:pPr>
      <w:ind w:left="3360" w:leftChars="1600"/>
    </w:pPr>
  </w:style>
  <w:style w:type="paragraph" w:styleId="44">
    <w:name w:val="Body Text 2"/>
    <w:basedOn w:val="1"/>
    <w:link w:val="92"/>
    <w:qFormat/>
    <w:uiPriority w:val="99"/>
    <w:pPr>
      <w:jc w:val="center"/>
    </w:pPr>
  </w:style>
  <w:style w:type="paragraph" w:styleId="45">
    <w:name w:val="HTML Preformatted"/>
    <w:basedOn w:val="1"/>
    <w:link w:val="93"/>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color w:val="auto"/>
      <w:kern w:val="0"/>
      <w:sz w:val="24"/>
      <w:szCs w:val="24"/>
    </w:rPr>
  </w:style>
  <w:style w:type="paragraph" w:styleId="46">
    <w:name w:val="Normal (Web)"/>
    <w:basedOn w:val="1"/>
    <w:qFormat/>
    <w:uiPriority w:val="99"/>
    <w:pPr>
      <w:widowControl/>
      <w:spacing w:before="100" w:beforeAutospacing="1" w:after="100" w:afterAutospacing="1" w:line="328" w:lineRule="atLeast"/>
      <w:jc w:val="left"/>
    </w:pPr>
    <w:rPr>
      <w:rFonts w:ascii="宋体" w:hAnsi="宋体" w:cs="宋体"/>
      <w:kern w:val="0"/>
      <w:sz w:val="36"/>
      <w:szCs w:val="36"/>
    </w:rPr>
  </w:style>
  <w:style w:type="paragraph" w:styleId="47">
    <w:name w:val="index 1"/>
    <w:basedOn w:val="1"/>
    <w:next w:val="1"/>
    <w:semiHidden/>
    <w:qFormat/>
    <w:uiPriority w:val="99"/>
    <w:pPr>
      <w:adjustRightInd w:val="0"/>
      <w:spacing w:line="360" w:lineRule="atLeast"/>
      <w:jc w:val="center"/>
      <w:textAlignment w:val="baseline"/>
    </w:pPr>
    <w:rPr>
      <w:kern w:val="0"/>
      <w:sz w:val="24"/>
      <w:szCs w:val="24"/>
    </w:rPr>
  </w:style>
  <w:style w:type="paragraph" w:styleId="48">
    <w:name w:val="Title"/>
    <w:basedOn w:val="1"/>
    <w:link w:val="94"/>
    <w:qFormat/>
    <w:uiPriority w:val="99"/>
    <w:pPr>
      <w:widowControl/>
      <w:spacing w:before="100" w:beforeAutospacing="1" w:after="100" w:afterAutospacing="1" w:line="240" w:lineRule="atLeast"/>
      <w:jc w:val="left"/>
      <w:outlineLvl w:val="0"/>
    </w:pPr>
    <w:rPr>
      <w:rFonts w:ascii="Arial" w:hAnsi="Arial" w:cs="Arial"/>
      <w:b/>
      <w:bCs/>
      <w:color w:val="auto"/>
      <w:kern w:val="0"/>
      <w:sz w:val="28"/>
      <w:szCs w:val="28"/>
    </w:rPr>
  </w:style>
  <w:style w:type="paragraph" w:styleId="49">
    <w:name w:val="annotation subject"/>
    <w:basedOn w:val="20"/>
    <w:next w:val="20"/>
    <w:link w:val="95"/>
    <w:semiHidden/>
    <w:qFormat/>
    <w:uiPriority w:val="99"/>
    <w:rPr>
      <w:b/>
      <w:bCs/>
      <w:color w:val="auto"/>
    </w:rPr>
  </w:style>
  <w:style w:type="paragraph" w:styleId="50">
    <w:name w:val="Body Text First Indent"/>
    <w:basedOn w:val="21"/>
    <w:link w:val="96"/>
    <w:qFormat/>
    <w:uiPriority w:val="99"/>
    <w:pPr>
      <w:ind w:firstLine="420" w:firstLineChars="100"/>
    </w:pPr>
  </w:style>
  <w:style w:type="paragraph" w:styleId="51">
    <w:name w:val="Body Text First Indent 2"/>
    <w:basedOn w:val="22"/>
    <w:link w:val="97"/>
    <w:qFormat/>
    <w:uiPriority w:val="99"/>
    <w:pPr>
      <w:spacing w:after="120" w:line="240" w:lineRule="auto"/>
      <w:ind w:left="420" w:leftChars="200" w:firstLine="420"/>
    </w:pPr>
    <w:rPr>
      <w:rFonts w:ascii="Calibri" w:hAnsi="Calibri" w:cs="Calibri"/>
      <w:color w:val="auto"/>
      <w:sz w:val="21"/>
      <w:szCs w:val="21"/>
    </w:rPr>
  </w:style>
  <w:style w:type="table" w:styleId="53">
    <w:name w:val="Table Grid"/>
    <w:basedOn w:val="52"/>
    <w:qFormat/>
    <w:uiPriority w:val="99"/>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54">
    <w:name w:val="Table Elegant"/>
    <w:basedOn w:val="52"/>
    <w:qFormat/>
    <w:uiPriority w:val="99"/>
    <w:rPr>
      <w:kern w:val="0"/>
      <w:sz w:val="20"/>
      <w:szCs w:val="20"/>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blPr/>
      <w:tcPr>
        <w:tcBorders>
          <w:top w:val="nil"/>
          <w:left w:val="nil"/>
          <w:bottom w:val="nil"/>
          <w:right w:val="nil"/>
          <w:insideH w:val="nil"/>
          <w:insideV w:val="nil"/>
          <w:tl2br w:val="nil"/>
          <w:tr2bl w:val="nil"/>
        </w:tcBorders>
      </w:tcPr>
    </w:tblStylePr>
  </w:style>
  <w:style w:type="table" w:styleId="55">
    <w:name w:val="Table Simple 1"/>
    <w:basedOn w:val="52"/>
    <w:qFormat/>
    <w:uiPriority w:val="99"/>
    <w:pPr>
      <w:widowControl w:val="0"/>
      <w:jc w:val="both"/>
    </w:pPr>
    <w:rPr>
      <w:kern w:val="0"/>
      <w:sz w:val="20"/>
      <w:szCs w:val="20"/>
    </w:rPr>
    <w:tblPr>
      <w:tblBorders>
        <w:top w:val="single" w:color="008000" w:sz="12" w:space="0"/>
        <w:bottom w:val="single" w:color="008000" w:sz="12" w:space="0"/>
      </w:tblBorders>
      <w:tblCellMar>
        <w:top w:w="0" w:type="dxa"/>
        <w:left w:w="108" w:type="dxa"/>
        <w:bottom w:w="0" w:type="dxa"/>
        <w:right w:w="108" w:type="dxa"/>
      </w:tblCellMar>
    </w:tblPr>
    <w:tblStylePr w:type="firstRow">
      <w:tblPr/>
      <w:tcPr>
        <w:tcBorders>
          <w:top w:val="nil"/>
          <w:left w:val="nil"/>
          <w:bottom w:val="single" w:color="008000" w:sz="6" w:space="0"/>
          <w:right w:val="nil"/>
          <w:insideH w:val="nil"/>
          <w:insideV w:val="nil"/>
          <w:tl2br w:val="nil"/>
          <w:tr2bl w:val="nil"/>
        </w:tcBorders>
      </w:tcPr>
    </w:tblStylePr>
    <w:tblStylePr w:type="lastRow">
      <w:tblPr/>
      <w:tcPr>
        <w:tcBorders>
          <w:top w:val="single" w:color="008000" w:sz="6" w:space="0"/>
          <w:left w:val="nil"/>
          <w:bottom w:val="nil"/>
          <w:right w:val="nil"/>
          <w:insideH w:val="nil"/>
          <w:insideV w:val="nil"/>
          <w:tl2br w:val="nil"/>
          <w:tr2bl w:val="nil"/>
        </w:tcBorders>
      </w:tcPr>
    </w:tblStylePr>
  </w:style>
  <w:style w:type="table" w:styleId="56">
    <w:name w:val="Table Grid 1"/>
    <w:basedOn w:val="52"/>
    <w:qFormat/>
    <w:uiPriority w:val="99"/>
    <w:pPr>
      <w:widowControl w:val="0"/>
      <w:jc w:val="both"/>
    </w:pPr>
    <w:rPr>
      <w:kern w:val="0"/>
      <w:sz w:val="20"/>
      <w:szCs w:val="20"/>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57">
    <w:name w:val="Table Grid 5"/>
    <w:basedOn w:val="52"/>
    <w:qFormat/>
    <w:uiPriority w:val="99"/>
    <w:pPr>
      <w:widowControl w:val="0"/>
      <w:autoSpaceDE w:val="0"/>
      <w:autoSpaceDN w:val="0"/>
      <w:adjustRightInd w:val="0"/>
      <w:spacing w:line="312" w:lineRule="atLeast"/>
      <w:jc w:val="both"/>
      <w:textAlignment w:val="baseline"/>
    </w:pPr>
    <w:rPr>
      <w:kern w:val="0"/>
      <w:sz w:val="20"/>
      <w:szCs w:val="20"/>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blStylePr w:type="firstRow">
      <w:tblPr/>
      <w:tcPr>
        <w:tcBorders>
          <w:top w:val="nil"/>
          <w:left w:val="nil"/>
          <w:bottom w:val="single" w:color="000000" w:sz="12" w:space="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character" w:styleId="59">
    <w:name w:val="Strong"/>
    <w:basedOn w:val="58"/>
    <w:qFormat/>
    <w:uiPriority w:val="99"/>
    <w:rPr>
      <w:b/>
      <w:bCs/>
    </w:rPr>
  </w:style>
  <w:style w:type="character" w:styleId="60">
    <w:name w:val="endnote reference"/>
    <w:basedOn w:val="58"/>
    <w:semiHidden/>
    <w:qFormat/>
    <w:uiPriority w:val="99"/>
    <w:rPr>
      <w:vertAlign w:val="superscript"/>
    </w:rPr>
  </w:style>
  <w:style w:type="character" w:styleId="61">
    <w:name w:val="page number"/>
    <w:basedOn w:val="58"/>
    <w:qFormat/>
    <w:uiPriority w:val="99"/>
  </w:style>
  <w:style w:type="character" w:styleId="62">
    <w:name w:val="FollowedHyperlink"/>
    <w:basedOn w:val="58"/>
    <w:qFormat/>
    <w:uiPriority w:val="99"/>
    <w:rPr>
      <w:color w:val="800080"/>
      <w:u w:val="single"/>
    </w:rPr>
  </w:style>
  <w:style w:type="character" w:styleId="63">
    <w:name w:val="Emphasis"/>
    <w:basedOn w:val="58"/>
    <w:qFormat/>
    <w:uiPriority w:val="99"/>
    <w:rPr>
      <w:i/>
      <w:iCs/>
    </w:rPr>
  </w:style>
  <w:style w:type="character" w:styleId="64">
    <w:name w:val="HTML Variable"/>
    <w:basedOn w:val="58"/>
    <w:qFormat/>
    <w:uiPriority w:val="99"/>
    <w:rPr>
      <w:i/>
      <w:iCs/>
    </w:rPr>
  </w:style>
  <w:style w:type="character" w:styleId="65">
    <w:name w:val="Hyperlink"/>
    <w:basedOn w:val="58"/>
    <w:qFormat/>
    <w:uiPriority w:val="99"/>
    <w:rPr>
      <w:color w:val="0000FF"/>
      <w:u w:val="single"/>
    </w:rPr>
  </w:style>
  <w:style w:type="character" w:styleId="66">
    <w:name w:val="annotation reference"/>
    <w:basedOn w:val="58"/>
    <w:semiHidden/>
    <w:qFormat/>
    <w:uiPriority w:val="99"/>
    <w:rPr>
      <w:sz w:val="21"/>
      <w:szCs w:val="21"/>
    </w:rPr>
  </w:style>
  <w:style w:type="character" w:styleId="67">
    <w:name w:val="footnote reference"/>
    <w:basedOn w:val="58"/>
    <w:semiHidden/>
    <w:qFormat/>
    <w:uiPriority w:val="99"/>
    <w:rPr>
      <w:vertAlign w:val="superscript"/>
    </w:rPr>
  </w:style>
  <w:style w:type="character" w:customStyle="1" w:styleId="68">
    <w:name w:val="Heading 1 Char"/>
    <w:basedOn w:val="58"/>
    <w:link w:val="3"/>
    <w:qFormat/>
    <w:locked/>
    <w:uiPriority w:val="99"/>
    <w:rPr>
      <w:rFonts w:ascii="Times New Roman" w:hAnsi="Times New Roman" w:eastAsia="黑体" w:cs="Times New Roman"/>
      <w:sz w:val="30"/>
      <w:szCs w:val="30"/>
    </w:rPr>
  </w:style>
  <w:style w:type="character" w:customStyle="1" w:styleId="69">
    <w:name w:val="Heading 2 Char"/>
    <w:basedOn w:val="58"/>
    <w:link w:val="4"/>
    <w:qFormat/>
    <w:locked/>
    <w:uiPriority w:val="99"/>
    <w:rPr>
      <w:rFonts w:ascii="Arial" w:hAnsi="Arial" w:eastAsia="宋体" w:cs="Arial"/>
      <w:b/>
      <w:bCs/>
      <w:kern w:val="2"/>
      <w:sz w:val="32"/>
      <w:szCs w:val="32"/>
    </w:rPr>
  </w:style>
  <w:style w:type="character" w:customStyle="1" w:styleId="70">
    <w:name w:val="Heading 3 Char"/>
    <w:basedOn w:val="58"/>
    <w:link w:val="5"/>
    <w:qFormat/>
    <w:locked/>
    <w:uiPriority w:val="99"/>
    <w:rPr>
      <w:rFonts w:ascii="Times New Roman" w:hAnsi="Times New Roman" w:eastAsia="宋体" w:cs="Times New Roman"/>
      <w:b/>
      <w:bCs/>
      <w:kern w:val="2"/>
      <w:sz w:val="32"/>
      <w:szCs w:val="32"/>
    </w:rPr>
  </w:style>
  <w:style w:type="character" w:customStyle="1" w:styleId="71">
    <w:name w:val="Heading 4 Char"/>
    <w:basedOn w:val="58"/>
    <w:link w:val="6"/>
    <w:qFormat/>
    <w:locked/>
    <w:uiPriority w:val="99"/>
    <w:rPr>
      <w:rFonts w:ascii="Arial" w:hAnsi="Arial" w:eastAsia="宋体" w:cs="Arial"/>
      <w:b/>
      <w:bCs/>
      <w:kern w:val="2"/>
      <w:sz w:val="28"/>
      <w:szCs w:val="28"/>
    </w:rPr>
  </w:style>
  <w:style w:type="character" w:customStyle="1" w:styleId="72">
    <w:name w:val="Heading 5 Char"/>
    <w:basedOn w:val="58"/>
    <w:link w:val="7"/>
    <w:qFormat/>
    <w:locked/>
    <w:uiPriority w:val="99"/>
    <w:rPr>
      <w:rFonts w:ascii="宋体" w:cs="宋体"/>
      <w:color w:val="000000"/>
      <w:spacing w:val="2"/>
      <w:sz w:val="24"/>
      <w:szCs w:val="24"/>
    </w:rPr>
  </w:style>
  <w:style w:type="character" w:customStyle="1" w:styleId="73">
    <w:name w:val="Heading 6 Char"/>
    <w:basedOn w:val="58"/>
    <w:link w:val="8"/>
    <w:qFormat/>
    <w:locked/>
    <w:uiPriority w:val="99"/>
    <w:rPr>
      <w:rFonts w:ascii="Arial" w:hAnsi="Arial" w:cs="Arial"/>
      <w:color w:val="000000"/>
      <w:spacing w:val="2"/>
      <w:sz w:val="24"/>
      <w:szCs w:val="24"/>
    </w:rPr>
  </w:style>
  <w:style w:type="character" w:customStyle="1" w:styleId="74">
    <w:name w:val="Heading 7 Char"/>
    <w:basedOn w:val="58"/>
    <w:link w:val="9"/>
    <w:qFormat/>
    <w:locked/>
    <w:uiPriority w:val="99"/>
    <w:rPr>
      <w:rFonts w:ascii="宋体" w:cs="宋体"/>
      <w:color w:val="000000"/>
      <w:spacing w:val="2"/>
      <w:sz w:val="24"/>
      <w:szCs w:val="24"/>
    </w:rPr>
  </w:style>
  <w:style w:type="character" w:customStyle="1" w:styleId="75">
    <w:name w:val="Heading 8 Char"/>
    <w:basedOn w:val="58"/>
    <w:link w:val="10"/>
    <w:qFormat/>
    <w:locked/>
    <w:uiPriority w:val="99"/>
    <w:rPr>
      <w:rFonts w:ascii="Arial" w:hAnsi="Arial" w:cs="Arial"/>
      <w:b/>
      <w:bCs/>
      <w:color w:val="000000"/>
      <w:spacing w:val="2"/>
      <w:sz w:val="24"/>
      <w:szCs w:val="24"/>
    </w:rPr>
  </w:style>
  <w:style w:type="character" w:customStyle="1" w:styleId="76">
    <w:name w:val="Heading 9 Char"/>
    <w:basedOn w:val="58"/>
    <w:link w:val="11"/>
    <w:qFormat/>
    <w:locked/>
    <w:uiPriority w:val="99"/>
    <w:rPr>
      <w:rFonts w:ascii="Arial" w:hAnsi="Arial" w:cs="Arial"/>
      <w:b/>
      <w:bCs/>
      <w:color w:val="000000"/>
      <w:spacing w:val="2"/>
      <w:sz w:val="21"/>
      <w:szCs w:val="21"/>
    </w:rPr>
  </w:style>
  <w:style w:type="character" w:customStyle="1" w:styleId="77">
    <w:name w:val="Note Heading Char"/>
    <w:basedOn w:val="58"/>
    <w:link w:val="13"/>
    <w:qFormat/>
    <w:locked/>
    <w:uiPriority w:val="99"/>
    <w:rPr>
      <w:kern w:val="2"/>
      <w:sz w:val="21"/>
      <w:szCs w:val="21"/>
    </w:rPr>
  </w:style>
  <w:style w:type="character" w:customStyle="1" w:styleId="78">
    <w:name w:val="Document Map Char"/>
    <w:basedOn w:val="58"/>
    <w:link w:val="18"/>
    <w:semiHidden/>
    <w:qFormat/>
    <w:locked/>
    <w:uiPriority w:val="99"/>
    <w:rPr>
      <w:rFonts w:ascii="Times New Roman" w:hAnsi="Times New Roman" w:eastAsia="宋体" w:cs="Times New Roman"/>
      <w:kern w:val="2"/>
      <w:sz w:val="24"/>
      <w:szCs w:val="24"/>
      <w:shd w:val="clear" w:color="auto" w:fill="000080"/>
    </w:rPr>
  </w:style>
  <w:style w:type="character" w:customStyle="1" w:styleId="79">
    <w:name w:val="Comment Text Char"/>
    <w:basedOn w:val="58"/>
    <w:link w:val="20"/>
    <w:qFormat/>
    <w:locked/>
    <w:uiPriority w:val="99"/>
    <w:rPr>
      <w:rFonts w:ascii="Times New Roman" w:hAnsi="Times New Roman" w:eastAsia="宋体" w:cs="Times New Roman"/>
      <w:sz w:val="24"/>
      <w:szCs w:val="24"/>
    </w:rPr>
  </w:style>
  <w:style w:type="character" w:customStyle="1" w:styleId="80">
    <w:name w:val="Body Text Char"/>
    <w:basedOn w:val="58"/>
    <w:link w:val="21"/>
    <w:qFormat/>
    <w:locked/>
    <w:uiPriority w:val="99"/>
    <w:rPr>
      <w:rFonts w:ascii="Times New Roman" w:hAnsi="Times New Roman" w:eastAsia="宋体" w:cs="Times New Roman"/>
      <w:sz w:val="24"/>
      <w:szCs w:val="24"/>
    </w:rPr>
  </w:style>
  <w:style w:type="character" w:customStyle="1" w:styleId="81">
    <w:name w:val="Body Text Indent Char"/>
    <w:basedOn w:val="58"/>
    <w:link w:val="22"/>
    <w:qFormat/>
    <w:locked/>
    <w:uiPriority w:val="99"/>
    <w:rPr>
      <w:rFonts w:ascii="宋体" w:hAnsi="宋体" w:eastAsia="宋体" w:cs="宋体"/>
      <w:sz w:val="24"/>
      <w:szCs w:val="24"/>
    </w:rPr>
  </w:style>
  <w:style w:type="character" w:customStyle="1" w:styleId="82">
    <w:name w:val="Plain Text Char"/>
    <w:basedOn w:val="58"/>
    <w:link w:val="27"/>
    <w:qFormat/>
    <w:locked/>
    <w:uiPriority w:val="99"/>
    <w:rPr>
      <w:rFonts w:ascii="宋体" w:hAnsi="Courier New" w:eastAsia="宋体" w:cs="宋体"/>
      <w:sz w:val="20"/>
      <w:szCs w:val="20"/>
    </w:rPr>
  </w:style>
  <w:style w:type="character" w:customStyle="1" w:styleId="83">
    <w:name w:val="Date Char"/>
    <w:basedOn w:val="58"/>
    <w:link w:val="29"/>
    <w:qFormat/>
    <w:locked/>
    <w:uiPriority w:val="99"/>
    <w:rPr>
      <w:rFonts w:ascii="Times New Roman" w:hAnsi="Times New Roman" w:eastAsia="宋体" w:cs="Times New Roman"/>
      <w:sz w:val="24"/>
      <w:szCs w:val="24"/>
    </w:rPr>
  </w:style>
  <w:style w:type="character" w:customStyle="1" w:styleId="84">
    <w:name w:val="Body Text Indent 2 Char"/>
    <w:basedOn w:val="58"/>
    <w:link w:val="30"/>
    <w:qFormat/>
    <w:locked/>
    <w:uiPriority w:val="99"/>
    <w:rPr>
      <w:rFonts w:eastAsia="宋体"/>
      <w:kern w:val="2"/>
      <w:sz w:val="21"/>
      <w:szCs w:val="21"/>
    </w:rPr>
  </w:style>
  <w:style w:type="character" w:customStyle="1" w:styleId="85">
    <w:name w:val="Endnote Text Char"/>
    <w:basedOn w:val="58"/>
    <w:link w:val="31"/>
    <w:qFormat/>
    <w:locked/>
    <w:uiPriority w:val="99"/>
    <w:rPr>
      <w:kern w:val="2"/>
      <w:sz w:val="21"/>
      <w:szCs w:val="21"/>
    </w:rPr>
  </w:style>
  <w:style w:type="character" w:customStyle="1" w:styleId="86">
    <w:name w:val="Balloon Text Char"/>
    <w:basedOn w:val="58"/>
    <w:link w:val="32"/>
    <w:qFormat/>
    <w:locked/>
    <w:uiPriority w:val="99"/>
    <w:rPr>
      <w:sz w:val="18"/>
      <w:szCs w:val="18"/>
    </w:rPr>
  </w:style>
  <w:style w:type="character" w:customStyle="1" w:styleId="87">
    <w:name w:val="Footer Char"/>
    <w:basedOn w:val="58"/>
    <w:link w:val="33"/>
    <w:qFormat/>
    <w:locked/>
    <w:uiPriority w:val="99"/>
    <w:rPr>
      <w:sz w:val="18"/>
      <w:szCs w:val="18"/>
    </w:rPr>
  </w:style>
  <w:style w:type="character" w:customStyle="1" w:styleId="88">
    <w:name w:val="Header Char"/>
    <w:basedOn w:val="58"/>
    <w:link w:val="34"/>
    <w:qFormat/>
    <w:locked/>
    <w:uiPriority w:val="99"/>
    <w:rPr>
      <w:sz w:val="18"/>
      <w:szCs w:val="18"/>
    </w:rPr>
  </w:style>
  <w:style w:type="character" w:customStyle="1" w:styleId="89">
    <w:name w:val="Subtitle Char"/>
    <w:basedOn w:val="58"/>
    <w:link w:val="37"/>
    <w:qFormat/>
    <w:locked/>
    <w:uiPriority w:val="99"/>
    <w:rPr>
      <w:rFonts w:ascii="Times New Roman" w:hAnsi="Times New Roman" w:eastAsia="黑体" w:cs="Times New Roman"/>
      <w:color w:val="C0504D"/>
      <w:kern w:val="28"/>
      <w:sz w:val="32"/>
      <w:szCs w:val="32"/>
    </w:rPr>
  </w:style>
  <w:style w:type="character" w:customStyle="1" w:styleId="90">
    <w:name w:val="Footnote Text Char"/>
    <w:basedOn w:val="58"/>
    <w:link w:val="39"/>
    <w:semiHidden/>
    <w:qFormat/>
    <w:locked/>
    <w:uiPriority w:val="99"/>
    <w:rPr>
      <w:kern w:val="2"/>
      <w:sz w:val="18"/>
      <w:szCs w:val="18"/>
    </w:rPr>
  </w:style>
  <w:style w:type="character" w:customStyle="1" w:styleId="91">
    <w:name w:val="Body Text Indent 3 Char"/>
    <w:basedOn w:val="58"/>
    <w:link w:val="41"/>
    <w:qFormat/>
    <w:locked/>
    <w:uiPriority w:val="99"/>
    <w:rPr>
      <w:rFonts w:ascii="Times New Roman" w:hAnsi="Times New Roman" w:eastAsia="宋体" w:cs="Times New Roman"/>
      <w:sz w:val="16"/>
      <w:szCs w:val="16"/>
    </w:rPr>
  </w:style>
  <w:style w:type="character" w:customStyle="1" w:styleId="92">
    <w:name w:val="Body Text 2 Char"/>
    <w:basedOn w:val="58"/>
    <w:link w:val="44"/>
    <w:qFormat/>
    <w:locked/>
    <w:uiPriority w:val="99"/>
    <w:rPr>
      <w:rFonts w:ascii="Times New Roman" w:hAnsi="Times New Roman" w:eastAsia="宋体" w:cs="Times New Roman"/>
      <w:sz w:val="20"/>
      <w:szCs w:val="20"/>
    </w:rPr>
  </w:style>
  <w:style w:type="character" w:customStyle="1" w:styleId="93">
    <w:name w:val="HTML Preformatted Char"/>
    <w:basedOn w:val="58"/>
    <w:link w:val="45"/>
    <w:qFormat/>
    <w:locked/>
    <w:uiPriority w:val="99"/>
    <w:rPr>
      <w:rFonts w:ascii="宋体" w:eastAsia="宋体" w:cs="宋体"/>
      <w:sz w:val="24"/>
      <w:szCs w:val="24"/>
    </w:rPr>
  </w:style>
  <w:style w:type="character" w:customStyle="1" w:styleId="94">
    <w:name w:val="Title Char"/>
    <w:basedOn w:val="58"/>
    <w:link w:val="48"/>
    <w:qFormat/>
    <w:locked/>
    <w:uiPriority w:val="99"/>
    <w:rPr>
      <w:rFonts w:ascii="Arial" w:hAnsi="Arial" w:cs="Arial"/>
      <w:b/>
      <w:bCs/>
      <w:sz w:val="32"/>
      <w:szCs w:val="32"/>
    </w:rPr>
  </w:style>
  <w:style w:type="character" w:customStyle="1" w:styleId="95">
    <w:name w:val="Comment Subject Char"/>
    <w:basedOn w:val="79"/>
    <w:link w:val="49"/>
    <w:qFormat/>
    <w:locked/>
    <w:uiPriority w:val="99"/>
    <w:rPr>
      <w:b/>
      <w:bCs/>
      <w:kern w:val="2"/>
    </w:rPr>
  </w:style>
  <w:style w:type="character" w:customStyle="1" w:styleId="96">
    <w:name w:val="Body Text First Indent Char"/>
    <w:basedOn w:val="80"/>
    <w:link w:val="50"/>
    <w:qFormat/>
    <w:locked/>
    <w:uiPriority w:val="99"/>
    <w:rPr>
      <w:kern w:val="2"/>
    </w:rPr>
  </w:style>
  <w:style w:type="character" w:customStyle="1" w:styleId="97">
    <w:name w:val="Body Text First Indent 2 Char"/>
    <w:basedOn w:val="81"/>
    <w:link w:val="51"/>
    <w:qFormat/>
    <w:locked/>
    <w:uiPriority w:val="99"/>
    <w:rPr>
      <w:rFonts w:ascii="Calibri" w:hAnsi="Calibri" w:cs="Calibri"/>
      <w:kern w:val="2"/>
    </w:rPr>
  </w:style>
  <w:style w:type="character" w:customStyle="1" w:styleId="98">
    <w:name w:val="Normal Indent Char"/>
    <w:link w:val="14"/>
    <w:qFormat/>
    <w:locked/>
    <w:uiPriority w:val="99"/>
    <w:rPr>
      <w:kern w:val="2"/>
      <w:sz w:val="21"/>
      <w:szCs w:val="21"/>
    </w:rPr>
  </w:style>
  <w:style w:type="paragraph" w:customStyle="1" w:styleId="99">
    <w:name w:val="列出段落1"/>
    <w:basedOn w:val="1"/>
    <w:qFormat/>
    <w:uiPriority w:val="99"/>
    <w:pPr>
      <w:ind w:firstLine="420" w:firstLineChars="200"/>
    </w:pPr>
  </w:style>
  <w:style w:type="paragraph" w:customStyle="1" w:styleId="100">
    <w:name w:val="样式156 + Times New Roman"/>
    <w:basedOn w:val="1"/>
    <w:qFormat/>
    <w:uiPriority w:val="99"/>
    <w:pPr>
      <w:spacing w:line="500" w:lineRule="exact"/>
      <w:ind w:firstLine="560" w:firstLineChars="200"/>
    </w:pPr>
    <w:rPr>
      <w:sz w:val="28"/>
      <w:szCs w:val="28"/>
    </w:rPr>
  </w:style>
  <w:style w:type="character" w:customStyle="1" w:styleId="101">
    <w:name w:val="标题 1 Char"/>
    <w:basedOn w:val="58"/>
    <w:qFormat/>
    <w:uiPriority w:val="99"/>
    <w:rPr>
      <w:rFonts w:eastAsia="宋体"/>
      <w:b/>
      <w:bCs/>
      <w:sz w:val="32"/>
      <w:szCs w:val="32"/>
      <w:lang w:val="en-US" w:eastAsia="zh-CN"/>
    </w:rPr>
  </w:style>
  <w:style w:type="paragraph" w:customStyle="1" w:styleId="102">
    <w:name w:val="Char"/>
    <w:basedOn w:val="1"/>
    <w:qFormat/>
    <w:uiPriority w:val="99"/>
    <w:pPr>
      <w:snapToGrid w:val="0"/>
      <w:spacing w:line="440" w:lineRule="atLeast"/>
    </w:pPr>
    <w:rPr>
      <w:rFonts w:ascii="宋体" w:cs="宋体"/>
      <w:sz w:val="24"/>
      <w:szCs w:val="24"/>
    </w:rPr>
  </w:style>
  <w:style w:type="character" w:customStyle="1" w:styleId="103">
    <w:name w:val="孙普文字 Char Char"/>
    <w:qFormat/>
    <w:uiPriority w:val="99"/>
    <w:rPr>
      <w:rFonts w:ascii="宋体" w:hAnsi="Courier New" w:eastAsia="宋体" w:cs="宋体"/>
      <w:kern w:val="2"/>
      <w:sz w:val="21"/>
      <w:szCs w:val="21"/>
      <w:lang w:val="en-US" w:eastAsia="zh-CN"/>
    </w:rPr>
  </w:style>
  <w:style w:type="paragraph" w:customStyle="1" w:styleId="104">
    <w:name w:val="xl32"/>
    <w:basedOn w:val="1"/>
    <w:qFormat/>
    <w:uiPriority w:val="99"/>
    <w:pPr>
      <w:widowControl/>
      <w:pBdr>
        <w:right w:val="single" w:color="auto" w:sz="4" w:space="0"/>
      </w:pBdr>
      <w:spacing w:before="100" w:beforeAutospacing="1" w:after="100" w:afterAutospacing="1"/>
      <w:jc w:val="center"/>
      <w:textAlignment w:val="center"/>
    </w:pPr>
    <w:rPr>
      <w:rFonts w:ascii="宋体" w:hAnsi="宋体" w:cs="宋体"/>
      <w:kern w:val="0"/>
      <w:sz w:val="24"/>
      <w:szCs w:val="24"/>
    </w:rPr>
  </w:style>
  <w:style w:type="paragraph" w:customStyle="1" w:styleId="105">
    <w:name w:val="6"/>
    <w:basedOn w:val="1"/>
    <w:next w:val="27"/>
    <w:qFormat/>
    <w:uiPriority w:val="99"/>
    <w:rPr>
      <w:rFonts w:ascii="宋体" w:hAnsi="Courier New" w:cs="宋体"/>
    </w:rPr>
  </w:style>
  <w:style w:type="paragraph" w:customStyle="1" w:styleId="106">
    <w:name w:val="Char Char Char1 Char"/>
    <w:basedOn w:val="1"/>
    <w:qFormat/>
    <w:uiPriority w:val="99"/>
    <w:pPr>
      <w:snapToGrid w:val="0"/>
      <w:spacing w:line="440" w:lineRule="atLeast"/>
    </w:pPr>
    <w:rPr>
      <w:rFonts w:ascii="宋体" w:cs="宋体"/>
      <w:sz w:val="24"/>
      <w:szCs w:val="24"/>
    </w:rPr>
  </w:style>
  <w:style w:type="paragraph" w:customStyle="1" w:styleId="107">
    <w:name w:val="样式156"/>
    <w:basedOn w:val="1"/>
    <w:qFormat/>
    <w:uiPriority w:val="99"/>
    <w:pPr>
      <w:spacing w:line="500" w:lineRule="exact"/>
      <w:ind w:firstLine="560" w:firstLineChars="200"/>
    </w:pPr>
    <w:rPr>
      <w:sz w:val="28"/>
      <w:szCs w:val="28"/>
    </w:rPr>
  </w:style>
  <w:style w:type="character" w:customStyle="1" w:styleId="108">
    <w:name w:val="样式156 Char"/>
    <w:qFormat/>
    <w:uiPriority w:val="99"/>
    <w:rPr>
      <w:rFonts w:eastAsia="宋体"/>
      <w:kern w:val="2"/>
      <w:sz w:val="28"/>
      <w:szCs w:val="28"/>
      <w:lang w:val="en-US" w:eastAsia="zh-CN"/>
    </w:rPr>
  </w:style>
  <w:style w:type="paragraph" w:customStyle="1" w:styleId="109">
    <w:name w:val="Char1"/>
    <w:basedOn w:val="1"/>
    <w:link w:val="217"/>
    <w:qFormat/>
    <w:uiPriority w:val="99"/>
    <w:pPr>
      <w:snapToGrid w:val="0"/>
      <w:spacing w:line="440" w:lineRule="atLeast"/>
    </w:pPr>
    <w:rPr>
      <w:rFonts w:ascii="宋体" w:cs="宋体"/>
      <w:color w:val="auto"/>
      <w:sz w:val="24"/>
      <w:szCs w:val="24"/>
    </w:rPr>
  </w:style>
  <w:style w:type="paragraph" w:customStyle="1" w:styleId="110">
    <w:name w:val="默认段落字体 Para Char Char Char Char"/>
    <w:basedOn w:val="1"/>
    <w:qFormat/>
    <w:uiPriority w:val="99"/>
    <w:rPr>
      <w:rFonts w:ascii="宋体" w:hAnsi="宋体" w:cs="宋体"/>
      <w:b/>
      <w:bCs/>
      <w:sz w:val="24"/>
      <w:szCs w:val="24"/>
    </w:rPr>
  </w:style>
  <w:style w:type="paragraph" w:customStyle="1" w:styleId="111">
    <w:name w:val="样式1"/>
    <w:basedOn w:val="1"/>
    <w:link w:val="180"/>
    <w:qFormat/>
    <w:uiPriority w:val="99"/>
    <w:pPr>
      <w:widowControl/>
      <w:snapToGrid w:val="0"/>
      <w:spacing w:before="80" w:after="80" w:line="660" w:lineRule="exact"/>
      <w:ind w:left="-2"/>
    </w:pPr>
    <w:rPr>
      <w:color w:val="auto"/>
      <w:kern w:val="0"/>
      <w:sz w:val="28"/>
      <w:szCs w:val="28"/>
    </w:rPr>
  </w:style>
  <w:style w:type="paragraph" w:customStyle="1" w:styleId="112">
    <w:name w:val="Table Description"/>
    <w:next w:val="1"/>
    <w:qFormat/>
    <w:uiPriority w:val="99"/>
    <w:pPr>
      <w:keepNext/>
      <w:snapToGrid w:val="0"/>
      <w:spacing w:before="160" w:after="80"/>
      <w:jc w:val="center"/>
    </w:pPr>
    <w:rPr>
      <w:rFonts w:ascii="Arial" w:hAnsi="Arial" w:eastAsia="黑体" w:cs="Arial"/>
      <w:color w:val="000000"/>
      <w:kern w:val="2"/>
      <w:sz w:val="18"/>
      <w:szCs w:val="18"/>
      <w:lang w:val="en-US" w:eastAsia="zh-CN" w:bidi="ar-SA"/>
    </w:rPr>
  </w:style>
  <w:style w:type="paragraph" w:customStyle="1" w:styleId="113">
    <w:name w:val="style1 style8"/>
    <w:basedOn w:val="1"/>
    <w:qFormat/>
    <w:uiPriority w:val="99"/>
    <w:pPr>
      <w:widowControl/>
      <w:spacing w:before="100" w:beforeAutospacing="1" w:after="100" w:afterAutospacing="1"/>
      <w:jc w:val="left"/>
    </w:pPr>
    <w:rPr>
      <w:rFonts w:ascii="宋体" w:hAnsi="宋体" w:cs="宋体"/>
      <w:kern w:val="0"/>
      <w:sz w:val="24"/>
      <w:szCs w:val="24"/>
    </w:rPr>
  </w:style>
  <w:style w:type="paragraph" w:customStyle="1" w:styleId="114">
    <w:name w:val="style7 style1"/>
    <w:basedOn w:val="1"/>
    <w:qFormat/>
    <w:uiPriority w:val="99"/>
    <w:pPr>
      <w:widowControl/>
      <w:spacing w:before="100" w:beforeAutospacing="1" w:after="100" w:afterAutospacing="1"/>
      <w:jc w:val="left"/>
    </w:pPr>
    <w:rPr>
      <w:rFonts w:ascii="宋体" w:hAnsi="宋体" w:cs="宋体"/>
      <w:kern w:val="0"/>
      <w:sz w:val="24"/>
      <w:szCs w:val="24"/>
    </w:rPr>
  </w:style>
  <w:style w:type="character" w:customStyle="1" w:styleId="115">
    <w:name w:val="style9"/>
    <w:basedOn w:val="58"/>
    <w:qFormat/>
    <w:uiPriority w:val="99"/>
  </w:style>
  <w:style w:type="character" w:customStyle="1" w:styleId="116">
    <w:name w:val="nava61"/>
    <w:qFormat/>
    <w:uiPriority w:val="99"/>
    <w:rPr>
      <w:color w:val="000000"/>
      <w:sz w:val="21"/>
      <w:szCs w:val="21"/>
      <w:u w:val="none"/>
    </w:rPr>
  </w:style>
  <w:style w:type="character" w:customStyle="1" w:styleId="117">
    <w:name w:val="apple-style-span"/>
    <w:basedOn w:val="58"/>
    <w:qFormat/>
    <w:uiPriority w:val="99"/>
  </w:style>
  <w:style w:type="paragraph" w:customStyle="1" w:styleId="118">
    <w:name w:val="修订1"/>
    <w:hidden/>
    <w:semiHidden/>
    <w:qFormat/>
    <w:uiPriority w:val="99"/>
    <w:rPr>
      <w:rFonts w:ascii="Times New Roman" w:hAnsi="Times New Roman" w:eastAsia="宋体" w:cs="Times New Roman"/>
      <w:color w:val="000000"/>
      <w:kern w:val="2"/>
      <w:sz w:val="21"/>
      <w:szCs w:val="21"/>
      <w:lang w:val="en-US" w:eastAsia="zh-CN" w:bidi="ar-SA"/>
    </w:rPr>
  </w:style>
  <w:style w:type="character" w:customStyle="1" w:styleId="119">
    <w:name w:val="不明显强调1"/>
    <w:qFormat/>
    <w:uiPriority w:val="99"/>
    <w:rPr>
      <w:i/>
      <w:iCs/>
      <w:color w:val="808080"/>
    </w:rPr>
  </w:style>
  <w:style w:type="paragraph" w:customStyle="1" w:styleId="120">
    <w:name w:val="样式 仿宋_GB2312 四号 左 左侧:  0 厘米 段前: 5 磅 段后: 5 磅"/>
    <w:basedOn w:val="1"/>
    <w:qFormat/>
    <w:uiPriority w:val="99"/>
    <w:pPr>
      <w:ind w:firstLine="200" w:firstLineChars="200"/>
      <w:jc w:val="left"/>
    </w:pPr>
    <w:rPr>
      <w:rFonts w:ascii="仿宋_GB2312" w:eastAsia="仿宋_GB2312" w:cs="仿宋_GB2312"/>
      <w:sz w:val="28"/>
      <w:szCs w:val="28"/>
    </w:rPr>
  </w:style>
  <w:style w:type="paragraph" w:customStyle="1" w:styleId="121">
    <w:name w:val="_Style 4"/>
    <w:basedOn w:val="1"/>
    <w:qFormat/>
    <w:uiPriority w:val="99"/>
    <w:pPr>
      <w:ind w:firstLine="420" w:firstLineChars="200"/>
    </w:pPr>
    <w:rPr>
      <w:sz w:val="24"/>
      <w:szCs w:val="24"/>
    </w:rPr>
  </w:style>
  <w:style w:type="paragraph" w:customStyle="1" w:styleId="122">
    <w:name w:val="_Style 2"/>
    <w:basedOn w:val="1"/>
    <w:qFormat/>
    <w:uiPriority w:val="99"/>
    <w:pPr>
      <w:ind w:firstLine="420" w:firstLineChars="200"/>
    </w:pPr>
    <w:rPr>
      <w:sz w:val="24"/>
      <w:szCs w:val="24"/>
    </w:rPr>
  </w:style>
  <w:style w:type="paragraph" w:customStyle="1" w:styleId="123">
    <w:name w:val="_Style 6"/>
    <w:basedOn w:val="1"/>
    <w:qFormat/>
    <w:uiPriority w:val="99"/>
    <w:pPr>
      <w:ind w:firstLine="420" w:firstLineChars="200"/>
    </w:pPr>
    <w:rPr>
      <w:sz w:val="24"/>
      <w:szCs w:val="24"/>
    </w:rPr>
  </w:style>
  <w:style w:type="paragraph" w:customStyle="1" w:styleId="124">
    <w:name w:val="正文-图表居中"/>
    <w:link w:val="125"/>
    <w:qFormat/>
    <w:uiPriority w:val="99"/>
    <w:pPr>
      <w:jc w:val="center"/>
    </w:pPr>
    <w:rPr>
      <w:rFonts w:ascii="Times New Roman" w:hAnsi="Times New Roman" w:eastAsia="宋体" w:cs="Times New Roman"/>
      <w:kern w:val="0"/>
      <w:sz w:val="21"/>
      <w:szCs w:val="21"/>
      <w:lang w:val="en-US" w:eastAsia="zh-CN" w:bidi="ar-SA"/>
    </w:rPr>
  </w:style>
  <w:style w:type="character" w:customStyle="1" w:styleId="125">
    <w:name w:val="正文-图表居中 Char"/>
    <w:link w:val="124"/>
    <w:qFormat/>
    <w:locked/>
    <w:uiPriority w:val="99"/>
    <w:rPr>
      <w:sz w:val="21"/>
      <w:szCs w:val="21"/>
    </w:rPr>
  </w:style>
  <w:style w:type="character" w:customStyle="1" w:styleId="126">
    <w:name w:val="font21"/>
    <w:qFormat/>
    <w:uiPriority w:val="99"/>
    <w:rPr>
      <w:rFonts w:ascii="Times New Roman" w:hAnsi="Times New Roman" w:cs="Times New Roman"/>
      <w:color w:val="000000"/>
      <w:sz w:val="20"/>
      <w:szCs w:val="20"/>
      <w:u w:val="none"/>
    </w:rPr>
  </w:style>
  <w:style w:type="character" w:customStyle="1" w:styleId="127">
    <w:name w:val="font41"/>
    <w:qFormat/>
    <w:uiPriority w:val="99"/>
    <w:rPr>
      <w:rFonts w:ascii="宋体" w:hAnsi="宋体" w:eastAsia="宋体" w:cs="宋体"/>
      <w:color w:val="000000"/>
      <w:sz w:val="20"/>
      <w:szCs w:val="20"/>
      <w:u w:val="none"/>
    </w:rPr>
  </w:style>
  <w:style w:type="character" w:customStyle="1" w:styleId="128">
    <w:name w:val="正文首行缩进 2 字符1"/>
    <w:basedOn w:val="81"/>
    <w:qFormat/>
    <w:uiPriority w:val="99"/>
    <w:rPr>
      <w:kern w:val="2"/>
      <w:sz w:val="22"/>
      <w:szCs w:val="22"/>
    </w:rPr>
  </w:style>
  <w:style w:type="paragraph" w:customStyle="1" w:styleId="129">
    <w:name w:val="无间隔1"/>
    <w:link w:val="258"/>
    <w:qFormat/>
    <w:uiPriority w:val="99"/>
    <w:pPr>
      <w:widowControl w:val="0"/>
      <w:jc w:val="both"/>
    </w:pPr>
    <w:rPr>
      <w:rFonts w:ascii="Times New Roman" w:hAnsi="Times New Roman" w:eastAsia="宋体" w:cs="Times New Roman"/>
      <w:kern w:val="2"/>
      <w:sz w:val="21"/>
      <w:szCs w:val="21"/>
      <w:lang w:val="en-US" w:eastAsia="zh-CN" w:bidi="ar-SA"/>
    </w:rPr>
  </w:style>
  <w:style w:type="paragraph" w:customStyle="1" w:styleId="130">
    <w:name w:val="列出段落2"/>
    <w:basedOn w:val="1"/>
    <w:qFormat/>
    <w:uiPriority w:val="99"/>
    <w:pPr>
      <w:ind w:firstLine="420" w:firstLineChars="200"/>
    </w:pPr>
  </w:style>
  <w:style w:type="character" w:customStyle="1" w:styleId="131">
    <w:name w:val="正文缩进 Char"/>
    <w:qFormat/>
    <w:uiPriority w:val="99"/>
    <w:rPr>
      <w:rFonts w:eastAsia="宋体"/>
      <w:kern w:val="2"/>
      <w:sz w:val="21"/>
      <w:szCs w:val="21"/>
      <w:lang w:val="en-US" w:eastAsia="zh-CN"/>
    </w:rPr>
  </w:style>
  <w:style w:type="character" w:customStyle="1" w:styleId="132">
    <w:name w:val="fontstyle01"/>
    <w:qFormat/>
    <w:uiPriority w:val="99"/>
    <w:rPr>
      <w:rFonts w:ascii="宋体" w:hAnsi="宋体" w:eastAsia="宋体" w:cs="宋体"/>
      <w:color w:val="000000"/>
      <w:sz w:val="24"/>
      <w:szCs w:val="24"/>
    </w:rPr>
  </w:style>
  <w:style w:type="character" w:customStyle="1" w:styleId="133">
    <w:name w:val="fontstyle11"/>
    <w:qFormat/>
    <w:uiPriority w:val="99"/>
    <w:rPr>
      <w:rFonts w:ascii="Times New Roman" w:hAnsi="Times New Roman" w:cs="Times New Roman"/>
      <w:color w:val="000000"/>
      <w:sz w:val="24"/>
      <w:szCs w:val="24"/>
    </w:rPr>
  </w:style>
  <w:style w:type="character" w:customStyle="1" w:styleId="134">
    <w:name w:val="批注主题 字符1"/>
    <w:basedOn w:val="79"/>
    <w:semiHidden/>
    <w:qFormat/>
    <w:uiPriority w:val="99"/>
    <w:rPr>
      <w:b/>
      <w:bCs/>
      <w:kern w:val="2"/>
      <w:sz w:val="22"/>
      <w:szCs w:val="22"/>
    </w:rPr>
  </w:style>
  <w:style w:type="paragraph" w:customStyle="1" w:styleId="135">
    <w:name w:val="列出段落21"/>
    <w:basedOn w:val="1"/>
    <w:qFormat/>
    <w:uiPriority w:val="99"/>
    <w:pPr>
      <w:ind w:firstLine="420" w:firstLineChars="200"/>
    </w:pPr>
  </w:style>
  <w:style w:type="paragraph" w:customStyle="1" w:styleId="136">
    <w:name w:val="Char2"/>
    <w:basedOn w:val="1"/>
    <w:qFormat/>
    <w:uiPriority w:val="99"/>
    <w:pPr>
      <w:snapToGrid w:val="0"/>
      <w:spacing w:line="440" w:lineRule="atLeast"/>
    </w:pPr>
    <w:rPr>
      <w:rFonts w:ascii="宋体" w:cs="宋体"/>
      <w:sz w:val="24"/>
      <w:szCs w:val="24"/>
    </w:rPr>
  </w:style>
  <w:style w:type="paragraph" w:customStyle="1" w:styleId="137">
    <w:name w:val="Char Char Char1 Char1"/>
    <w:basedOn w:val="1"/>
    <w:qFormat/>
    <w:uiPriority w:val="99"/>
    <w:pPr>
      <w:snapToGrid w:val="0"/>
      <w:spacing w:line="440" w:lineRule="atLeast"/>
    </w:pPr>
    <w:rPr>
      <w:rFonts w:ascii="宋体" w:cs="宋体"/>
      <w:sz w:val="24"/>
      <w:szCs w:val="24"/>
    </w:rPr>
  </w:style>
  <w:style w:type="paragraph" w:customStyle="1" w:styleId="138">
    <w:name w:val="正文2"/>
    <w:basedOn w:val="50"/>
    <w:qFormat/>
    <w:uiPriority w:val="99"/>
    <w:pPr>
      <w:adjustRightInd w:val="0"/>
      <w:snapToGrid w:val="0"/>
      <w:spacing w:after="0" w:line="360" w:lineRule="auto"/>
      <w:ind w:firstLine="200" w:firstLineChars="200"/>
    </w:pPr>
    <w:rPr>
      <w:sz w:val="24"/>
      <w:szCs w:val="24"/>
    </w:rPr>
  </w:style>
  <w:style w:type="paragraph" w:customStyle="1" w:styleId="139">
    <w:name w:val="正文3"/>
    <w:basedOn w:val="138"/>
    <w:qFormat/>
    <w:uiPriority w:val="99"/>
  </w:style>
  <w:style w:type="paragraph" w:customStyle="1" w:styleId="140">
    <w:name w:val="正文居中"/>
    <w:basedOn w:val="141"/>
    <w:qFormat/>
    <w:uiPriority w:val="99"/>
    <w:rPr>
      <w:color w:val="31849B"/>
    </w:rPr>
  </w:style>
  <w:style w:type="paragraph" w:customStyle="1" w:styleId="141">
    <w:name w:val="无间隔11"/>
    <w:link w:val="318"/>
    <w:qFormat/>
    <w:uiPriority w:val="99"/>
    <w:pPr>
      <w:widowControl w:val="0"/>
      <w:adjustRightInd w:val="0"/>
      <w:snapToGrid w:val="0"/>
      <w:spacing w:line="360" w:lineRule="auto"/>
      <w:jc w:val="center"/>
    </w:pPr>
    <w:rPr>
      <w:rFonts w:ascii="Times New Roman" w:hAnsi="Times New Roman" w:eastAsia="宋体" w:cs="Times New Roman"/>
      <w:kern w:val="2"/>
      <w:sz w:val="24"/>
      <w:szCs w:val="24"/>
      <w:lang w:val="en-US" w:eastAsia="zh-CN" w:bidi="ar-SA"/>
    </w:rPr>
  </w:style>
  <w:style w:type="paragraph" w:customStyle="1" w:styleId="142">
    <w:name w:val="填表正文"/>
    <w:basedOn w:val="1"/>
    <w:qFormat/>
    <w:uiPriority w:val="99"/>
    <w:pPr>
      <w:adjustRightInd w:val="0"/>
      <w:snapToGrid w:val="0"/>
      <w:jc w:val="center"/>
    </w:pPr>
    <w:rPr>
      <w:kern w:val="0"/>
    </w:rPr>
  </w:style>
  <w:style w:type="paragraph" w:customStyle="1" w:styleId="143">
    <w:name w:val="正文首行不"/>
    <w:basedOn w:val="1"/>
    <w:qFormat/>
    <w:uiPriority w:val="99"/>
    <w:pPr>
      <w:snapToGrid w:val="0"/>
      <w:spacing w:line="360" w:lineRule="auto"/>
      <w:jc w:val="left"/>
    </w:pPr>
    <w:rPr>
      <w:rFonts w:ascii="宋体" w:hAnsi="宋体" w:cs="宋体"/>
      <w:kern w:val="0"/>
      <w:sz w:val="24"/>
      <w:szCs w:val="24"/>
    </w:rPr>
  </w:style>
  <w:style w:type="paragraph" w:customStyle="1" w:styleId="144">
    <w:name w:val="修订2"/>
    <w:semiHidden/>
    <w:qFormat/>
    <w:uiPriority w:val="99"/>
    <w:rPr>
      <w:rFonts w:ascii="Times New Roman" w:hAnsi="Times New Roman" w:eastAsia="宋体" w:cs="Times New Roman"/>
      <w:color w:val="000000"/>
      <w:kern w:val="2"/>
      <w:sz w:val="21"/>
      <w:szCs w:val="21"/>
      <w:lang w:val="en-US" w:eastAsia="zh-CN" w:bidi="ar-SA"/>
    </w:rPr>
  </w:style>
  <w:style w:type="character" w:customStyle="1" w:styleId="145">
    <w:name w:val="纯文本 Char"/>
    <w:qFormat/>
    <w:uiPriority w:val="99"/>
    <w:rPr>
      <w:rFonts w:ascii="宋体" w:hAnsi="Courier New" w:eastAsia="宋体" w:cs="宋体"/>
      <w:kern w:val="2"/>
      <w:sz w:val="21"/>
      <w:szCs w:val="21"/>
      <w:lang w:val="en-US" w:eastAsia="zh-CN"/>
    </w:rPr>
  </w:style>
  <w:style w:type="paragraph" w:customStyle="1" w:styleId="146">
    <w:name w:val="TOC 标题1"/>
    <w:basedOn w:val="3"/>
    <w:next w:val="1"/>
    <w:qFormat/>
    <w:uiPriority w:val="99"/>
    <w:pPr>
      <w:widowControl/>
      <w:adjustRightInd/>
      <w:spacing w:before="240" w:line="259" w:lineRule="auto"/>
      <w:jc w:val="left"/>
      <w:textAlignment w:val="auto"/>
      <w:outlineLvl w:val="9"/>
    </w:pPr>
    <w:rPr>
      <w:rFonts w:ascii="等线 Light" w:hAnsi="等线 Light" w:eastAsia="等线 Light" w:cs="等线 Light"/>
      <w:b/>
      <w:bCs/>
      <w:color w:val="2E74B5"/>
      <w:sz w:val="32"/>
      <w:szCs w:val="32"/>
    </w:rPr>
  </w:style>
  <w:style w:type="character" w:customStyle="1" w:styleId="147">
    <w:name w:val="标题 5 Char"/>
    <w:qFormat/>
    <w:uiPriority w:val="99"/>
    <w:rPr>
      <w:rFonts w:ascii="宋体" w:cs="宋体"/>
      <w:spacing w:val="2"/>
      <w:sz w:val="24"/>
      <w:szCs w:val="24"/>
    </w:rPr>
  </w:style>
  <w:style w:type="character" w:customStyle="1" w:styleId="148">
    <w:name w:val="bbb1"/>
    <w:qFormat/>
    <w:uiPriority w:val="99"/>
    <w:rPr>
      <w:sz w:val="25"/>
      <w:szCs w:val="25"/>
    </w:rPr>
  </w:style>
  <w:style w:type="character" w:customStyle="1" w:styleId="149">
    <w:name w:val="MTEquationSection"/>
    <w:qFormat/>
    <w:uiPriority w:val="99"/>
    <w:rPr>
      <w:vanish/>
      <w:color w:val="FF0000"/>
    </w:rPr>
  </w:style>
  <w:style w:type="character" w:customStyle="1" w:styleId="150">
    <w:name w:val="三级标题 Char"/>
    <w:link w:val="151"/>
    <w:qFormat/>
    <w:locked/>
    <w:uiPriority w:val="99"/>
    <w:rPr>
      <w:b/>
      <w:bCs/>
      <w:kern w:val="44"/>
      <w:sz w:val="44"/>
      <w:szCs w:val="44"/>
    </w:rPr>
  </w:style>
  <w:style w:type="paragraph" w:customStyle="1" w:styleId="151">
    <w:name w:val="三级标题"/>
    <w:basedOn w:val="3"/>
    <w:link w:val="150"/>
    <w:qFormat/>
    <w:uiPriority w:val="99"/>
    <w:pPr>
      <w:tabs>
        <w:tab w:val="left" w:pos="432"/>
      </w:tabs>
      <w:adjustRightInd/>
      <w:spacing w:before="120" w:after="120" w:line="240" w:lineRule="auto"/>
      <w:ind w:left="432"/>
      <w:textAlignment w:val="auto"/>
      <w:outlineLvl w:val="3"/>
    </w:pPr>
    <w:rPr>
      <w:rFonts w:eastAsia="宋体"/>
      <w:b/>
      <w:bCs/>
      <w:color w:val="auto"/>
      <w:kern w:val="44"/>
      <w:sz w:val="28"/>
      <w:szCs w:val="28"/>
    </w:rPr>
  </w:style>
  <w:style w:type="character" w:customStyle="1" w:styleId="152">
    <w:name w:val="ch中文正文 Char"/>
    <w:link w:val="153"/>
    <w:qFormat/>
    <w:locked/>
    <w:uiPriority w:val="99"/>
    <w:rPr>
      <w:color w:val="000000"/>
      <w:kern w:val="2"/>
      <w:sz w:val="21"/>
      <w:szCs w:val="21"/>
      <w:lang w:val="en-US" w:eastAsia="zh-CN"/>
    </w:rPr>
  </w:style>
  <w:style w:type="paragraph" w:customStyle="1" w:styleId="153">
    <w:name w:val="ch中文正文"/>
    <w:link w:val="152"/>
    <w:qFormat/>
    <w:uiPriority w:val="99"/>
    <w:pPr>
      <w:spacing w:beforeLines="50" w:afterLines="50" w:line="360" w:lineRule="auto"/>
      <w:ind w:firstLine="200" w:firstLineChars="200"/>
    </w:pPr>
    <w:rPr>
      <w:rFonts w:ascii="Times New Roman" w:hAnsi="Times New Roman" w:eastAsia="宋体" w:cs="Times New Roman"/>
      <w:color w:val="000000"/>
      <w:kern w:val="2"/>
      <w:sz w:val="24"/>
      <w:szCs w:val="24"/>
      <w:lang w:val="en-US" w:eastAsia="zh-CN" w:bidi="ar-SA"/>
    </w:rPr>
  </w:style>
  <w:style w:type="character" w:customStyle="1" w:styleId="154">
    <w:name w:val="图表标题 Char Char"/>
    <w:qFormat/>
    <w:uiPriority w:val="99"/>
    <w:rPr>
      <w:rFonts w:eastAsia="宋体"/>
      <w:kern w:val="2"/>
      <w:sz w:val="21"/>
      <w:szCs w:val="21"/>
      <w:lang w:val="en-US" w:eastAsia="zh-CN"/>
    </w:rPr>
  </w:style>
  <w:style w:type="character" w:customStyle="1" w:styleId="155">
    <w:name w:val="批注主题 Char1"/>
    <w:qFormat/>
    <w:uiPriority w:val="99"/>
    <w:rPr>
      <w:b/>
      <w:bCs/>
      <w:kern w:val="2"/>
      <w:sz w:val="21"/>
      <w:szCs w:val="21"/>
    </w:rPr>
  </w:style>
  <w:style w:type="character" w:customStyle="1" w:styleId="156">
    <w:name w:val="表头 Char"/>
    <w:link w:val="157"/>
    <w:qFormat/>
    <w:locked/>
    <w:uiPriority w:val="99"/>
    <w:rPr>
      <w:rFonts w:ascii="宋体" w:eastAsia="宋体" w:cs="宋体"/>
      <w:b/>
      <w:bCs/>
      <w:sz w:val="24"/>
      <w:szCs w:val="24"/>
    </w:rPr>
  </w:style>
  <w:style w:type="paragraph" w:customStyle="1" w:styleId="157">
    <w:name w:val="表头"/>
    <w:basedOn w:val="1"/>
    <w:link w:val="156"/>
    <w:qFormat/>
    <w:uiPriority w:val="99"/>
    <w:pPr>
      <w:widowControl/>
      <w:tabs>
        <w:tab w:val="center" w:pos="4179"/>
        <w:tab w:val="right" w:pos="8592"/>
      </w:tabs>
      <w:autoSpaceDE w:val="0"/>
      <w:autoSpaceDN w:val="0"/>
      <w:adjustRightInd w:val="0"/>
      <w:snapToGrid w:val="0"/>
      <w:spacing w:beforeLines="50" w:after="20"/>
      <w:jc w:val="center"/>
    </w:pPr>
    <w:rPr>
      <w:rFonts w:ascii="宋体" w:hAnsi="宋体" w:cs="宋体"/>
      <w:b/>
      <w:bCs/>
      <w:color w:val="auto"/>
      <w:kern w:val="0"/>
      <w:sz w:val="24"/>
      <w:szCs w:val="24"/>
    </w:rPr>
  </w:style>
  <w:style w:type="character" w:customStyle="1" w:styleId="158">
    <w:name w:val="标题2 Char"/>
    <w:link w:val="159"/>
    <w:qFormat/>
    <w:locked/>
    <w:uiPriority w:val="99"/>
    <w:rPr>
      <w:rFonts w:ascii="Arial" w:hAnsi="Arial" w:cs="Arial"/>
      <w:b/>
      <w:bCs/>
      <w:kern w:val="44"/>
      <w:sz w:val="44"/>
      <w:szCs w:val="44"/>
    </w:rPr>
  </w:style>
  <w:style w:type="paragraph" w:customStyle="1" w:styleId="159">
    <w:name w:val="标题2"/>
    <w:basedOn w:val="3"/>
    <w:link w:val="158"/>
    <w:qFormat/>
    <w:uiPriority w:val="99"/>
    <w:pPr>
      <w:adjustRightInd/>
      <w:spacing w:before="340" w:after="330"/>
      <w:jc w:val="both"/>
      <w:textAlignment w:val="auto"/>
    </w:pPr>
    <w:rPr>
      <w:rFonts w:ascii="Arial" w:hAnsi="Arial" w:eastAsia="宋体" w:cs="Arial"/>
      <w:b/>
      <w:bCs/>
      <w:color w:val="auto"/>
      <w:kern w:val="44"/>
    </w:rPr>
  </w:style>
  <w:style w:type="character" w:customStyle="1" w:styleId="160">
    <w:name w:val="未处理的提及1"/>
    <w:qFormat/>
    <w:uiPriority w:val="99"/>
    <w:rPr>
      <w:color w:val="auto"/>
      <w:shd w:val="clear" w:color="auto" w:fill="auto"/>
    </w:rPr>
  </w:style>
  <w:style w:type="character" w:customStyle="1" w:styleId="161">
    <w:name w:val="正文首行缩进 字符2"/>
    <w:qFormat/>
    <w:uiPriority w:val="99"/>
    <w:rPr>
      <w:rFonts w:ascii="宋体" w:eastAsia="宋体" w:cs="宋体"/>
      <w:spacing w:val="-20"/>
      <w:kern w:val="2"/>
      <w:position w:val="2"/>
      <w:sz w:val="24"/>
      <w:szCs w:val="24"/>
      <w:lang w:val="en-US" w:eastAsia="zh-CN"/>
    </w:rPr>
  </w:style>
  <w:style w:type="character" w:customStyle="1" w:styleId="162">
    <w:name w:val="标题 1 Char1"/>
    <w:qFormat/>
    <w:uiPriority w:val="99"/>
    <w:rPr>
      <w:rFonts w:eastAsia="宋体"/>
      <w:sz w:val="28"/>
      <w:szCs w:val="28"/>
      <w:lang w:val="en-US" w:eastAsia="zh-CN"/>
    </w:rPr>
  </w:style>
  <w:style w:type="character" w:customStyle="1" w:styleId="163">
    <w:name w:val="content Char"/>
    <w:link w:val="164"/>
    <w:qFormat/>
    <w:locked/>
    <w:uiPriority w:val="99"/>
    <w:rPr>
      <w:rFonts w:hAnsi="宋体"/>
      <w:color w:val="000000"/>
      <w:kern w:val="2"/>
      <w:sz w:val="24"/>
      <w:szCs w:val="24"/>
      <w:lang w:val="en-US" w:eastAsia="zh-CN"/>
    </w:rPr>
  </w:style>
  <w:style w:type="paragraph" w:customStyle="1" w:styleId="164">
    <w:name w:val="content"/>
    <w:link w:val="163"/>
    <w:qFormat/>
    <w:uiPriority w:val="99"/>
    <w:pPr>
      <w:adjustRightInd w:val="0"/>
      <w:spacing w:line="360" w:lineRule="auto"/>
      <w:ind w:firstLine="480" w:firstLineChars="200"/>
      <w:jc w:val="both"/>
    </w:pPr>
    <w:rPr>
      <w:rFonts w:ascii="Times New Roman" w:hAnsi="宋体" w:eastAsia="宋体" w:cs="Times New Roman"/>
      <w:color w:val="000000"/>
      <w:kern w:val="2"/>
      <w:sz w:val="24"/>
      <w:szCs w:val="24"/>
      <w:lang w:val="en-US" w:eastAsia="zh-CN" w:bidi="ar-SA"/>
    </w:rPr>
  </w:style>
  <w:style w:type="character" w:customStyle="1" w:styleId="165">
    <w:name w:val="t_tag"/>
    <w:basedOn w:val="58"/>
    <w:qFormat/>
    <w:uiPriority w:val="99"/>
  </w:style>
  <w:style w:type="character" w:customStyle="1" w:styleId="166">
    <w:name w:val="节 Char"/>
    <w:qFormat/>
    <w:uiPriority w:val="99"/>
    <w:rPr>
      <w:rFonts w:ascii="Times New Roman" w:hAnsi="Times New Roman" w:eastAsia="黑体" w:cs="Times New Roman"/>
      <w:kern w:val="0"/>
      <w:sz w:val="20"/>
      <w:szCs w:val="20"/>
    </w:rPr>
  </w:style>
  <w:style w:type="character" w:customStyle="1" w:styleId="167">
    <w:name w:val="洋正 Char2"/>
    <w:link w:val="168"/>
    <w:qFormat/>
    <w:locked/>
    <w:uiPriority w:val="99"/>
    <w:rPr>
      <w:kern w:val="2"/>
      <w:sz w:val="24"/>
      <w:szCs w:val="24"/>
    </w:rPr>
  </w:style>
  <w:style w:type="paragraph" w:customStyle="1" w:styleId="168">
    <w:name w:val="洋正"/>
    <w:basedOn w:val="1"/>
    <w:next w:val="4"/>
    <w:link w:val="167"/>
    <w:qFormat/>
    <w:uiPriority w:val="99"/>
    <w:pPr>
      <w:snapToGrid w:val="0"/>
      <w:spacing w:line="360" w:lineRule="auto"/>
      <w:ind w:firstLine="200" w:firstLineChars="200"/>
    </w:pPr>
    <w:rPr>
      <w:color w:val="auto"/>
      <w:sz w:val="24"/>
      <w:szCs w:val="24"/>
    </w:rPr>
  </w:style>
  <w:style w:type="character" w:customStyle="1" w:styleId="169">
    <w:name w:val="批注文字 字符1"/>
    <w:qFormat/>
    <w:uiPriority w:val="99"/>
    <w:rPr>
      <w:rFonts w:eastAsia="宋体"/>
      <w:kern w:val="2"/>
      <w:sz w:val="24"/>
      <w:szCs w:val="24"/>
      <w:lang w:val="en-US" w:eastAsia="zh-CN"/>
    </w:rPr>
  </w:style>
  <w:style w:type="character" w:customStyle="1" w:styleId="170">
    <w:name w:val="正文全文 Char Char"/>
    <w:link w:val="171"/>
    <w:qFormat/>
    <w:locked/>
    <w:uiPriority w:val="99"/>
    <w:rPr>
      <w:rFonts w:ascii="仿宋_GB2312" w:eastAsia="仿宋_GB2312" w:cs="仿宋_GB2312"/>
      <w:kern w:val="2"/>
      <w:sz w:val="24"/>
      <w:szCs w:val="24"/>
    </w:rPr>
  </w:style>
  <w:style w:type="paragraph" w:customStyle="1" w:styleId="171">
    <w:name w:val="正文全文"/>
    <w:basedOn w:val="21"/>
    <w:link w:val="170"/>
    <w:qFormat/>
    <w:uiPriority w:val="99"/>
    <w:pPr>
      <w:spacing w:line="360" w:lineRule="auto"/>
      <w:ind w:firstLine="420"/>
    </w:pPr>
    <w:rPr>
      <w:rFonts w:ascii="仿宋_GB2312" w:eastAsia="仿宋_GB2312" w:cs="仿宋_GB2312"/>
      <w:color w:val="auto"/>
      <w:sz w:val="24"/>
      <w:szCs w:val="24"/>
    </w:rPr>
  </w:style>
  <w:style w:type="character" w:customStyle="1" w:styleId="172">
    <w:name w:val="报告正文 Char"/>
    <w:link w:val="173"/>
    <w:qFormat/>
    <w:locked/>
    <w:uiPriority w:val="99"/>
    <w:rPr>
      <w:kern w:val="2"/>
      <w:sz w:val="24"/>
      <w:szCs w:val="24"/>
    </w:rPr>
  </w:style>
  <w:style w:type="paragraph" w:customStyle="1" w:styleId="173">
    <w:name w:val="报告正文"/>
    <w:basedOn w:val="1"/>
    <w:link w:val="172"/>
    <w:qFormat/>
    <w:uiPriority w:val="99"/>
    <w:pPr>
      <w:adjustRightInd w:val="0"/>
      <w:snapToGrid w:val="0"/>
      <w:spacing w:before="120" w:line="440" w:lineRule="atLeast"/>
      <w:ind w:firstLine="480" w:firstLineChars="200"/>
    </w:pPr>
    <w:rPr>
      <w:color w:val="auto"/>
      <w:sz w:val="24"/>
      <w:szCs w:val="24"/>
    </w:rPr>
  </w:style>
  <w:style w:type="character" w:customStyle="1" w:styleId="174">
    <w:name w:val="ｗｏｒｄ正文 Char"/>
    <w:link w:val="175"/>
    <w:qFormat/>
    <w:locked/>
    <w:uiPriority w:val="99"/>
    <w:rPr>
      <w:sz w:val="28"/>
      <w:szCs w:val="28"/>
    </w:rPr>
  </w:style>
  <w:style w:type="paragraph" w:customStyle="1" w:styleId="175">
    <w:name w:val="ｗｏｒｄ正文"/>
    <w:basedOn w:val="50"/>
    <w:link w:val="174"/>
    <w:qFormat/>
    <w:uiPriority w:val="99"/>
    <w:pPr>
      <w:spacing w:after="0" w:line="360" w:lineRule="auto"/>
      <w:ind w:firstLine="200" w:firstLineChars="200"/>
    </w:pPr>
    <w:rPr>
      <w:color w:val="auto"/>
      <w:kern w:val="0"/>
      <w:sz w:val="28"/>
      <w:szCs w:val="28"/>
    </w:rPr>
  </w:style>
  <w:style w:type="character" w:customStyle="1" w:styleId="176">
    <w:name w:val="样式 (中文) 黑体 12 磅 加粗 黑色"/>
    <w:qFormat/>
    <w:uiPriority w:val="99"/>
    <w:rPr>
      <w:rFonts w:eastAsia="黑体"/>
      <w:color w:val="000000"/>
      <w:kern w:val="0"/>
      <w:sz w:val="28"/>
      <w:szCs w:val="28"/>
    </w:rPr>
  </w:style>
  <w:style w:type="character" w:customStyle="1" w:styleId="177">
    <w:name w:val="标题 2 Char"/>
    <w:qFormat/>
    <w:uiPriority w:val="99"/>
    <w:rPr>
      <w:rFonts w:ascii="Arial" w:hAnsi="Arial" w:eastAsia="黑体" w:cs="Arial"/>
      <w:b/>
      <w:bCs/>
      <w:kern w:val="2"/>
      <w:sz w:val="32"/>
      <w:szCs w:val="32"/>
      <w:lang w:val="en-US" w:eastAsia="zh-CN"/>
    </w:rPr>
  </w:style>
  <w:style w:type="character" w:customStyle="1" w:styleId="178">
    <w:name w:val="正文首行缩进 2 字符2"/>
    <w:qFormat/>
    <w:uiPriority w:val="99"/>
    <w:rPr>
      <w:rFonts w:eastAsia="宋体"/>
      <w:kern w:val="2"/>
      <w:sz w:val="24"/>
      <w:szCs w:val="24"/>
      <w:lang w:val="en-US" w:eastAsia="zh-CN"/>
    </w:rPr>
  </w:style>
  <w:style w:type="character" w:customStyle="1" w:styleId="179">
    <w:name w:val="样式 (中文) 黑体 小三 加粗"/>
    <w:qFormat/>
    <w:uiPriority w:val="99"/>
    <w:rPr>
      <w:rFonts w:eastAsia="黑体"/>
      <w:b/>
      <w:bCs/>
      <w:sz w:val="30"/>
      <w:szCs w:val="30"/>
    </w:rPr>
  </w:style>
  <w:style w:type="character" w:customStyle="1" w:styleId="180">
    <w:name w:val="样式1 Char"/>
    <w:link w:val="111"/>
    <w:qFormat/>
    <w:locked/>
    <w:uiPriority w:val="99"/>
    <w:rPr>
      <w:rFonts w:ascii="Times New Roman" w:hAnsi="Times New Roman" w:eastAsia="宋体" w:cs="Times New Roman"/>
      <w:sz w:val="28"/>
      <w:szCs w:val="28"/>
    </w:rPr>
  </w:style>
  <w:style w:type="character" w:customStyle="1" w:styleId="181">
    <w:name w:val="章节标题 Char1"/>
    <w:qFormat/>
    <w:uiPriority w:val="99"/>
    <w:rPr>
      <w:rFonts w:eastAsia="宋体"/>
      <w:sz w:val="28"/>
      <w:szCs w:val="28"/>
      <w:lang w:val="en-US" w:eastAsia="zh-CN"/>
    </w:rPr>
  </w:style>
  <w:style w:type="character" w:customStyle="1" w:styleId="182">
    <w:name w:val="洋正 Char1"/>
    <w:qFormat/>
    <w:uiPriority w:val="99"/>
    <w:rPr>
      <w:rFonts w:eastAsia="宋体"/>
      <w:kern w:val="2"/>
      <w:sz w:val="24"/>
      <w:szCs w:val="24"/>
      <w:lang w:val="en-US" w:eastAsia="zh-CN"/>
    </w:rPr>
  </w:style>
  <w:style w:type="character" w:customStyle="1" w:styleId="183">
    <w:name w:val="风电表头 Char"/>
    <w:link w:val="184"/>
    <w:qFormat/>
    <w:locked/>
    <w:uiPriority w:val="99"/>
    <w:rPr>
      <w:rFonts w:ascii="黑体" w:hAnsi="宋体" w:eastAsia="黑体" w:cs="黑体"/>
      <w:sz w:val="24"/>
      <w:szCs w:val="24"/>
    </w:rPr>
  </w:style>
  <w:style w:type="paragraph" w:customStyle="1" w:styleId="184">
    <w:name w:val="风电表头"/>
    <w:basedOn w:val="14"/>
    <w:link w:val="183"/>
    <w:qFormat/>
    <w:uiPriority w:val="99"/>
    <w:pPr>
      <w:spacing w:beforeLines="50" w:line="500" w:lineRule="exact"/>
      <w:ind w:firstLine="200"/>
    </w:pPr>
    <w:rPr>
      <w:rFonts w:ascii="黑体" w:hAnsi="宋体" w:eastAsia="黑体" w:cs="黑体"/>
      <w:kern w:val="0"/>
      <w:sz w:val="24"/>
      <w:szCs w:val="24"/>
    </w:rPr>
  </w:style>
  <w:style w:type="character" w:customStyle="1" w:styleId="185">
    <w:name w:val="条标题1.1.1 Char"/>
    <w:qFormat/>
    <w:uiPriority w:val="99"/>
    <w:rPr>
      <w:rFonts w:eastAsia="宋体"/>
      <w:b/>
      <w:bCs/>
      <w:kern w:val="2"/>
      <w:sz w:val="32"/>
      <w:szCs w:val="32"/>
      <w:lang w:val="en-US" w:eastAsia="zh-CN"/>
    </w:rPr>
  </w:style>
  <w:style w:type="character" w:customStyle="1" w:styleId="186">
    <w:name w:val="Char Char13"/>
    <w:qFormat/>
    <w:uiPriority w:val="99"/>
    <w:rPr>
      <w:rFonts w:ascii="Times New Roman" w:hAnsi="Times New Roman" w:eastAsia="宋体" w:cs="Times New Roman"/>
      <w:sz w:val="18"/>
      <w:szCs w:val="18"/>
    </w:rPr>
  </w:style>
  <w:style w:type="character" w:customStyle="1" w:styleId="187">
    <w:name w:val="Char Char18"/>
    <w:qFormat/>
    <w:uiPriority w:val="99"/>
    <w:rPr>
      <w:rFonts w:ascii="宋体" w:cs="宋体"/>
      <w:spacing w:val="2"/>
      <w:sz w:val="24"/>
      <w:szCs w:val="24"/>
    </w:rPr>
  </w:style>
  <w:style w:type="character" w:customStyle="1" w:styleId="188">
    <w:name w:val="bbbbb Char"/>
    <w:link w:val="189"/>
    <w:qFormat/>
    <w:locked/>
    <w:uiPriority w:val="99"/>
    <w:rPr>
      <w:kern w:val="2"/>
      <w:sz w:val="24"/>
      <w:szCs w:val="24"/>
    </w:rPr>
  </w:style>
  <w:style w:type="paragraph" w:customStyle="1" w:styleId="189">
    <w:name w:val="bbbbb"/>
    <w:basedOn w:val="173"/>
    <w:link w:val="188"/>
    <w:qFormat/>
    <w:uiPriority w:val="99"/>
    <w:pPr>
      <w:spacing w:before="0" w:line="440" w:lineRule="exact"/>
      <w:ind w:firstLine="200"/>
    </w:pPr>
  </w:style>
  <w:style w:type="character" w:customStyle="1" w:styleId="190">
    <w:name w:val="正文小四 Char Char"/>
    <w:link w:val="191"/>
    <w:qFormat/>
    <w:locked/>
    <w:uiPriority w:val="99"/>
    <w:rPr>
      <w:rFonts w:eastAsia="仿宋_GB2312"/>
      <w:sz w:val="24"/>
      <w:szCs w:val="24"/>
    </w:rPr>
  </w:style>
  <w:style w:type="paragraph" w:customStyle="1" w:styleId="191">
    <w:name w:val="正文小四"/>
    <w:basedOn w:val="1"/>
    <w:link w:val="190"/>
    <w:qFormat/>
    <w:uiPriority w:val="99"/>
    <w:pPr>
      <w:adjustRightInd w:val="0"/>
      <w:snapToGrid w:val="0"/>
      <w:spacing w:line="360" w:lineRule="auto"/>
      <w:ind w:left="-125" w:firstLine="480" w:firstLineChars="200"/>
    </w:pPr>
    <w:rPr>
      <w:rFonts w:eastAsia="仿宋_GB2312"/>
      <w:color w:val="auto"/>
      <w:kern w:val="0"/>
      <w:sz w:val="24"/>
      <w:szCs w:val="24"/>
    </w:rPr>
  </w:style>
  <w:style w:type="character" w:customStyle="1" w:styleId="192">
    <w:name w:val="Char1 Char"/>
    <w:link w:val="193"/>
    <w:qFormat/>
    <w:locked/>
    <w:uiPriority w:val="99"/>
    <w:rPr>
      <w:kern w:val="2"/>
      <w:sz w:val="24"/>
      <w:szCs w:val="24"/>
    </w:rPr>
  </w:style>
  <w:style w:type="paragraph" w:customStyle="1" w:styleId="193">
    <w:name w:val="Char12"/>
    <w:basedOn w:val="1"/>
    <w:link w:val="192"/>
    <w:qFormat/>
    <w:uiPriority w:val="99"/>
    <w:rPr>
      <w:color w:val="auto"/>
    </w:rPr>
  </w:style>
  <w:style w:type="character" w:customStyle="1" w:styleId="194">
    <w:name w:val="样式 正文缩进s4标题4 + (符号) 宋体 四号 行距: 固定值 24 磅 Char"/>
    <w:link w:val="195"/>
    <w:qFormat/>
    <w:locked/>
    <w:uiPriority w:val="99"/>
    <w:rPr>
      <w:rFonts w:ascii="宋体" w:eastAsia="宋体" w:cs="宋体"/>
      <w:sz w:val="28"/>
      <w:szCs w:val="28"/>
    </w:rPr>
  </w:style>
  <w:style w:type="paragraph" w:customStyle="1" w:styleId="195">
    <w:name w:val="样式 正文缩进s4标题4 + (符号) 宋体 四号 行距: 固定值 24 磅"/>
    <w:basedOn w:val="14"/>
    <w:link w:val="194"/>
    <w:qFormat/>
    <w:uiPriority w:val="99"/>
    <w:pPr>
      <w:adjustRightInd w:val="0"/>
      <w:snapToGrid w:val="0"/>
      <w:spacing w:line="480" w:lineRule="exact"/>
      <w:ind w:left="13" w:leftChars="6" w:firstLine="560"/>
      <w:textAlignment w:val="baseline"/>
    </w:pPr>
    <w:rPr>
      <w:rFonts w:ascii="宋体" w:hAnsi="宋体" w:cs="宋体"/>
      <w:kern w:val="0"/>
      <w:sz w:val="28"/>
      <w:szCs w:val="28"/>
    </w:rPr>
  </w:style>
  <w:style w:type="character" w:customStyle="1" w:styleId="196">
    <w:name w:val="表格标题 Char"/>
    <w:qFormat/>
    <w:uiPriority w:val="99"/>
    <w:rPr>
      <w:rFonts w:ascii="黑体" w:eastAsia="黑体" w:cs="黑体"/>
      <w:kern w:val="2"/>
      <w:sz w:val="28"/>
      <w:szCs w:val="28"/>
      <w:lang w:val="en-US" w:eastAsia="zh-CN"/>
    </w:rPr>
  </w:style>
  <w:style w:type="character" w:customStyle="1" w:styleId="197">
    <w:name w:val="批注框文本 Char"/>
    <w:qFormat/>
    <w:uiPriority w:val="99"/>
    <w:rPr>
      <w:kern w:val="2"/>
      <w:sz w:val="18"/>
      <w:szCs w:val="18"/>
    </w:rPr>
  </w:style>
  <w:style w:type="character" w:customStyle="1" w:styleId="198">
    <w:name w:val="Char Char15"/>
    <w:qFormat/>
    <w:uiPriority w:val="99"/>
    <w:rPr>
      <w:rFonts w:eastAsia="宋体"/>
      <w:kern w:val="2"/>
      <w:sz w:val="18"/>
      <w:szCs w:val="18"/>
      <w:lang w:val="en-US" w:eastAsia="zh-CN"/>
    </w:rPr>
  </w:style>
  <w:style w:type="character" w:customStyle="1" w:styleId="199">
    <w:name w:val="二级标题 Char Char1"/>
    <w:qFormat/>
    <w:uiPriority w:val="99"/>
    <w:rPr>
      <w:rFonts w:eastAsia="宋体"/>
      <w:b/>
      <w:bCs/>
      <w:kern w:val="2"/>
      <w:sz w:val="28"/>
      <w:szCs w:val="28"/>
      <w:lang w:val="en-US" w:eastAsia="zh-CN"/>
    </w:rPr>
  </w:style>
  <w:style w:type="character" w:customStyle="1" w:styleId="200">
    <w:name w:val="style12"/>
    <w:basedOn w:val="58"/>
    <w:qFormat/>
    <w:uiPriority w:val="99"/>
  </w:style>
  <w:style w:type="character" w:customStyle="1" w:styleId="201">
    <w:name w:val="Char Char Char"/>
    <w:qFormat/>
    <w:locked/>
    <w:uiPriority w:val="99"/>
    <w:rPr>
      <w:rFonts w:ascii="宋体" w:hAnsi="Courier New" w:eastAsia="宋体" w:cs="宋体"/>
      <w:kern w:val="2"/>
      <w:sz w:val="21"/>
      <w:szCs w:val="21"/>
      <w:lang w:val="en-US" w:eastAsia="zh-CN"/>
    </w:rPr>
  </w:style>
  <w:style w:type="character" w:customStyle="1" w:styleId="202">
    <w:name w:val="洋1 Char"/>
    <w:link w:val="203"/>
    <w:qFormat/>
    <w:locked/>
    <w:uiPriority w:val="99"/>
    <w:rPr>
      <w:b/>
      <w:bCs/>
      <w:kern w:val="44"/>
      <w:sz w:val="44"/>
      <w:szCs w:val="44"/>
    </w:rPr>
  </w:style>
  <w:style w:type="paragraph" w:customStyle="1" w:styleId="203">
    <w:name w:val="洋1"/>
    <w:basedOn w:val="3"/>
    <w:next w:val="4"/>
    <w:link w:val="202"/>
    <w:qFormat/>
    <w:uiPriority w:val="99"/>
    <w:pPr>
      <w:adjustRightInd/>
      <w:spacing w:before="260" w:after="260"/>
      <w:jc w:val="both"/>
      <w:textAlignment w:val="auto"/>
    </w:pPr>
    <w:rPr>
      <w:rFonts w:eastAsia="宋体"/>
      <w:b/>
      <w:bCs/>
      <w:color w:val="auto"/>
      <w:kern w:val="44"/>
      <w:sz w:val="24"/>
      <w:szCs w:val="24"/>
    </w:rPr>
  </w:style>
  <w:style w:type="character" w:customStyle="1" w:styleId="204">
    <w:name w:val="文档结构图 Char"/>
    <w:qFormat/>
    <w:uiPriority w:val="99"/>
    <w:rPr>
      <w:rFonts w:eastAsia="宋体"/>
      <w:sz w:val="21"/>
      <w:szCs w:val="21"/>
      <w:lang w:val="en-US" w:eastAsia="zh-CN"/>
    </w:rPr>
  </w:style>
  <w:style w:type="character" w:customStyle="1" w:styleId="205">
    <w:name w:val="Char Char6"/>
    <w:qFormat/>
    <w:uiPriority w:val="99"/>
    <w:rPr>
      <w:rFonts w:eastAsia="宋体"/>
      <w:kern w:val="2"/>
      <w:sz w:val="18"/>
      <w:szCs w:val="18"/>
      <w:lang w:val="en-US" w:eastAsia="zh-CN"/>
    </w:rPr>
  </w:style>
  <w:style w:type="character" w:customStyle="1" w:styleId="206">
    <w:name w:val="表格题注 Char"/>
    <w:link w:val="207"/>
    <w:qFormat/>
    <w:locked/>
    <w:uiPriority w:val="99"/>
    <w:rPr>
      <w:rFonts w:eastAsia="仿宋_GB2312"/>
      <w:kern w:val="2"/>
      <w:sz w:val="24"/>
      <w:szCs w:val="24"/>
    </w:rPr>
  </w:style>
  <w:style w:type="paragraph" w:customStyle="1" w:styleId="207">
    <w:name w:val="表格题注"/>
    <w:basedOn w:val="1"/>
    <w:link w:val="206"/>
    <w:qFormat/>
    <w:uiPriority w:val="99"/>
    <w:pPr>
      <w:tabs>
        <w:tab w:val="left" w:pos="2700"/>
      </w:tabs>
      <w:spacing w:line="480" w:lineRule="atLeast"/>
      <w:ind w:left="2700"/>
    </w:pPr>
    <w:rPr>
      <w:rFonts w:eastAsia="仿宋_GB2312"/>
      <w:color w:val="auto"/>
      <w:sz w:val="28"/>
      <w:szCs w:val="28"/>
    </w:rPr>
  </w:style>
  <w:style w:type="character" w:customStyle="1" w:styleId="208">
    <w:name w:val="成容 Char"/>
    <w:link w:val="209"/>
    <w:qFormat/>
    <w:locked/>
    <w:uiPriority w:val="99"/>
    <w:rPr>
      <w:color w:val="000000"/>
      <w:kern w:val="2"/>
      <w:sz w:val="24"/>
      <w:szCs w:val="24"/>
      <w:lang w:val="en-US" w:eastAsia="zh-CN"/>
    </w:rPr>
  </w:style>
  <w:style w:type="paragraph" w:customStyle="1" w:styleId="209">
    <w:name w:val="成容"/>
    <w:link w:val="208"/>
    <w:qFormat/>
    <w:uiPriority w:val="99"/>
    <w:pPr>
      <w:spacing w:line="360" w:lineRule="auto"/>
      <w:ind w:firstLine="200" w:firstLineChars="200"/>
    </w:pPr>
    <w:rPr>
      <w:rFonts w:ascii="Times New Roman" w:hAnsi="Times New Roman" w:eastAsia="宋体" w:cs="Times New Roman"/>
      <w:color w:val="000000"/>
      <w:kern w:val="2"/>
      <w:sz w:val="24"/>
      <w:szCs w:val="24"/>
      <w:lang w:val="en-US" w:eastAsia="zh-CN" w:bidi="ar-SA"/>
    </w:rPr>
  </w:style>
  <w:style w:type="character" w:customStyle="1" w:styleId="210">
    <w:name w:val="line241"/>
    <w:qFormat/>
    <w:uiPriority w:val="99"/>
  </w:style>
  <w:style w:type="character" w:customStyle="1" w:styleId="211">
    <w:name w:val="日期 Char"/>
    <w:qFormat/>
    <w:uiPriority w:val="99"/>
    <w:rPr>
      <w:rFonts w:ascii="宋体" w:hAnsi="Courier New" w:cs="宋体"/>
      <w:sz w:val="24"/>
      <w:szCs w:val="24"/>
    </w:rPr>
  </w:style>
  <w:style w:type="character" w:customStyle="1" w:styleId="212">
    <w:name w:val="无间隔 Char"/>
    <w:qFormat/>
    <w:uiPriority w:val="99"/>
    <w:rPr>
      <w:kern w:val="2"/>
      <w:sz w:val="24"/>
      <w:szCs w:val="24"/>
      <w:lang w:val="en-US" w:eastAsia="zh-CN"/>
    </w:rPr>
  </w:style>
  <w:style w:type="character" w:customStyle="1" w:styleId="213">
    <w:name w:val="标题 7 Char"/>
    <w:qFormat/>
    <w:uiPriority w:val="99"/>
    <w:rPr>
      <w:rFonts w:ascii="宋体" w:cs="宋体"/>
      <w:spacing w:val="2"/>
      <w:sz w:val="24"/>
      <w:szCs w:val="24"/>
    </w:rPr>
  </w:style>
  <w:style w:type="character" w:customStyle="1" w:styleId="214">
    <w:name w:val="zhei1"/>
    <w:qFormat/>
    <w:uiPriority w:val="99"/>
    <w:rPr>
      <w:color w:val="auto"/>
      <w:sz w:val="21"/>
      <w:szCs w:val="21"/>
      <w:u w:val="none"/>
    </w:rPr>
  </w:style>
  <w:style w:type="character" w:customStyle="1" w:styleId="215">
    <w:name w:val="日期 Char2"/>
    <w:qFormat/>
    <w:uiPriority w:val="99"/>
    <w:rPr>
      <w:rFonts w:ascii="宋体" w:hAnsi="Courier New" w:cs="宋体"/>
      <w:kern w:val="2"/>
      <w:sz w:val="28"/>
      <w:szCs w:val="28"/>
    </w:rPr>
  </w:style>
  <w:style w:type="character" w:customStyle="1" w:styleId="216">
    <w:name w:val="纯文本 Char3"/>
    <w:qFormat/>
    <w:uiPriority w:val="99"/>
    <w:rPr>
      <w:rFonts w:ascii="宋体" w:hAnsi="Courier New" w:eastAsia="宋体" w:cs="宋体"/>
      <w:kern w:val="2"/>
      <w:sz w:val="21"/>
      <w:szCs w:val="21"/>
      <w:lang w:val="en-US" w:eastAsia="zh-CN"/>
    </w:rPr>
  </w:style>
  <w:style w:type="character" w:customStyle="1" w:styleId="217">
    <w:name w:val="Char1 Char1"/>
    <w:link w:val="109"/>
    <w:qFormat/>
    <w:locked/>
    <w:uiPriority w:val="99"/>
    <w:rPr>
      <w:rFonts w:ascii="宋体" w:hAnsi="Times New Roman" w:eastAsia="宋体" w:cs="宋体"/>
      <w:kern w:val="2"/>
      <w:sz w:val="24"/>
      <w:szCs w:val="24"/>
    </w:rPr>
  </w:style>
  <w:style w:type="character" w:customStyle="1" w:styleId="218">
    <w:name w:val="Char Char4"/>
    <w:qFormat/>
    <w:uiPriority w:val="99"/>
    <w:rPr>
      <w:rFonts w:ascii="宋体" w:hAnsi="Courier New" w:eastAsia="宋体" w:cs="宋体"/>
      <w:sz w:val="28"/>
      <w:szCs w:val="28"/>
    </w:rPr>
  </w:style>
  <w:style w:type="character" w:customStyle="1" w:styleId="219">
    <w:name w:val="样式5 Char Char"/>
    <w:qFormat/>
    <w:uiPriority w:val="99"/>
    <w:rPr>
      <w:rFonts w:eastAsia="黑体"/>
      <w:color w:val="000000"/>
      <w:kern w:val="2"/>
      <w:sz w:val="28"/>
      <w:szCs w:val="28"/>
      <w:lang w:val="en-US" w:eastAsia="zh-CN"/>
    </w:rPr>
  </w:style>
  <w:style w:type="character" w:customStyle="1" w:styleId="220">
    <w:name w:val="洋2 Char"/>
    <w:link w:val="221"/>
    <w:qFormat/>
    <w:locked/>
    <w:uiPriority w:val="99"/>
    <w:rPr>
      <w:b/>
      <w:bCs/>
      <w:kern w:val="2"/>
      <w:sz w:val="24"/>
      <w:szCs w:val="24"/>
    </w:rPr>
  </w:style>
  <w:style w:type="paragraph" w:customStyle="1" w:styleId="221">
    <w:name w:val="洋2"/>
    <w:basedOn w:val="4"/>
    <w:next w:val="1"/>
    <w:link w:val="220"/>
    <w:qFormat/>
    <w:uiPriority w:val="99"/>
    <w:pPr>
      <w:snapToGrid w:val="0"/>
      <w:spacing w:before="260" w:after="260"/>
      <w:jc w:val="both"/>
    </w:pPr>
    <w:rPr>
      <w:rFonts w:ascii="Times New Roman" w:hAnsi="Times New Roman" w:cs="Times New Roman"/>
      <w:color w:val="auto"/>
      <w:sz w:val="24"/>
      <w:szCs w:val="24"/>
    </w:rPr>
  </w:style>
  <w:style w:type="character" w:customStyle="1" w:styleId="222">
    <w:name w:val="内容 Char Char"/>
    <w:qFormat/>
    <w:uiPriority w:val="99"/>
    <w:rPr>
      <w:rFonts w:ascii="宋体" w:eastAsia="宋体" w:cs="宋体"/>
      <w:kern w:val="2"/>
      <w:sz w:val="24"/>
      <w:szCs w:val="24"/>
    </w:rPr>
  </w:style>
  <w:style w:type="character" w:customStyle="1" w:styleId="223">
    <w:name w:val="style161"/>
    <w:qFormat/>
    <w:uiPriority w:val="99"/>
    <w:rPr>
      <w:color w:val="auto"/>
      <w:sz w:val="21"/>
      <w:szCs w:val="21"/>
    </w:rPr>
  </w:style>
  <w:style w:type="character" w:customStyle="1" w:styleId="224">
    <w:name w:val="正文首行缩进 字符1"/>
    <w:qFormat/>
    <w:uiPriority w:val="99"/>
    <w:rPr>
      <w:rFonts w:ascii="宋体" w:eastAsia="宋体" w:cs="宋体"/>
      <w:spacing w:val="-20"/>
      <w:kern w:val="2"/>
      <w:position w:val="2"/>
      <w:sz w:val="24"/>
      <w:szCs w:val="24"/>
      <w:lang w:val="en-US" w:eastAsia="zh-CN"/>
    </w:rPr>
  </w:style>
  <w:style w:type="character" w:customStyle="1" w:styleId="225">
    <w:name w:val="Footer-Even Char1"/>
    <w:qFormat/>
    <w:uiPriority w:val="99"/>
    <w:rPr>
      <w:kern w:val="2"/>
      <w:sz w:val="18"/>
      <w:szCs w:val="18"/>
    </w:rPr>
  </w:style>
  <w:style w:type="character" w:customStyle="1" w:styleId="226">
    <w:name w:val="HTML 预设格式 Char"/>
    <w:qFormat/>
    <w:uiPriority w:val="99"/>
    <w:rPr>
      <w:rFonts w:ascii="宋体" w:hAnsi="Courier New" w:eastAsia="宋体" w:cs="宋体"/>
      <w:kern w:val="2"/>
      <w:sz w:val="21"/>
      <w:szCs w:val="21"/>
      <w:lang w:val="en-US" w:eastAsia="zh-CN"/>
    </w:rPr>
  </w:style>
  <w:style w:type="character" w:customStyle="1" w:styleId="227">
    <w:name w:val="标题 1 Char Char"/>
    <w:qFormat/>
    <w:uiPriority w:val="99"/>
    <w:rPr>
      <w:kern w:val="0"/>
      <w:sz w:val="44"/>
      <w:szCs w:val="44"/>
    </w:rPr>
  </w:style>
  <w:style w:type="character" w:customStyle="1" w:styleId="228">
    <w:name w:val="正文文字 2 Char"/>
    <w:qFormat/>
    <w:uiPriority w:val="99"/>
    <w:rPr>
      <w:rFonts w:ascii="Arial" w:hAnsi="Arial" w:eastAsia="宋体" w:cs="Arial"/>
      <w:sz w:val="24"/>
      <w:szCs w:val="24"/>
      <w:lang w:val="en-IE" w:eastAsia="en-US"/>
    </w:rPr>
  </w:style>
  <w:style w:type="character" w:customStyle="1" w:styleId="229">
    <w:name w:val="样式 洋正 + (符号) 宋体 Char"/>
    <w:link w:val="230"/>
    <w:qFormat/>
    <w:locked/>
    <w:uiPriority w:val="99"/>
    <w:rPr>
      <w:kern w:val="2"/>
      <w:sz w:val="24"/>
      <w:szCs w:val="24"/>
    </w:rPr>
  </w:style>
  <w:style w:type="paragraph" w:customStyle="1" w:styleId="230">
    <w:name w:val="样式 洋正 + (符号) 宋体"/>
    <w:basedOn w:val="1"/>
    <w:link w:val="229"/>
    <w:qFormat/>
    <w:uiPriority w:val="99"/>
    <w:pPr>
      <w:snapToGrid w:val="0"/>
      <w:spacing w:line="360" w:lineRule="auto"/>
      <w:ind w:firstLine="200" w:firstLineChars="200"/>
    </w:pPr>
    <w:rPr>
      <w:color w:val="auto"/>
      <w:sz w:val="24"/>
      <w:szCs w:val="24"/>
    </w:rPr>
  </w:style>
  <w:style w:type="character" w:customStyle="1" w:styleId="231">
    <w:name w:val="内容 Char"/>
    <w:link w:val="232"/>
    <w:qFormat/>
    <w:locked/>
    <w:uiPriority w:val="99"/>
    <w:rPr>
      <w:kern w:val="2"/>
      <w:sz w:val="24"/>
      <w:szCs w:val="24"/>
    </w:rPr>
  </w:style>
  <w:style w:type="paragraph" w:customStyle="1" w:styleId="232">
    <w:name w:val="内容"/>
    <w:basedOn w:val="51"/>
    <w:link w:val="231"/>
    <w:qFormat/>
    <w:uiPriority w:val="99"/>
    <w:pPr>
      <w:spacing w:after="0" w:line="360" w:lineRule="auto"/>
      <w:ind w:left="0" w:leftChars="0" w:firstLine="200"/>
    </w:pPr>
    <w:rPr>
      <w:rFonts w:ascii="Times New Roman" w:hAnsi="Times New Roman" w:cs="Times New Roman"/>
      <w:sz w:val="24"/>
      <w:szCs w:val="24"/>
    </w:rPr>
  </w:style>
  <w:style w:type="character" w:customStyle="1" w:styleId="233">
    <w:name w:val="Char Char25"/>
    <w:qFormat/>
    <w:uiPriority w:val="99"/>
    <w:rPr>
      <w:rFonts w:ascii="Arial" w:hAnsi="Arial" w:cs="Arial"/>
      <w:b/>
      <w:bCs/>
      <w:kern w:val="2"/>
      <w:sz w:val="28"/>
      <w:szCs w:val="28"/>
    </w:rPr>
  </w:style>
  <w:style w:type="character" w:customStyle="1" w:styleId="234">
    <w:name w:val="样式 标题 2节1.1 标题 2 + 黑色 Char"/>
    <w:link w:val="235"/>
    <w:qFormat/>
    <w:locked/>
    <w:uiPriority w:val="99"/>
    <w:rPr>
      <w:b/>
      <w:bCs/>
      <w:color w:val="000000"/>
      <w:sz w:val="32"/>
      <w:szCs w:val="32"/>
    </w:rPr>
  </w:style>
  <w:style w:type="paragraph" w:customStyle="1" w:styleId="235">
    <w:name w:val="样式 标题 2节1.1 标题 2 + 黑色"/>
    <w:basedOn w:val="4"/>
    <w:link w:val="234"/>
    <w:qFormat/>
    <w:uiPriority w:val="99"/>
    <w:pPr>
      <w:jc w:val="both"/>
    </w:pPr>
    <w:rPr>
      <w:rFonts w:ascii="Times New Roman" w:hAnsi="Times New Roman" w:cs="Times New Roman"/>
      <w:kern w:val="0"/>
      <w:sz w:val="24"/>
      <w:szCs w:val="24"/>
    </w:rPr>
  </w:style>
  <w:style w:type="character" w:customStyle="1" w:styleId="236">
    <w:name w:val="条标题1.1.1 Char1"/>
    <w:qFormat/>
    <w:uiPriority w:val="99"/>
    <w:rPr>
      <w:kern w:val="2"/>
      <w:sz w:val="32"/>
      <w:szCs w:val="32"/>
    </w:rPr>
  </w:style>
  <w:style w:type="character" w:customStyle="1" w:styleId="237">
    <w:name w:val="正文文字缩进 2 Char Char"/>
    <w:qFormat/>
    <w:uiPriority w:val="99"/>
    <w:rPr>
      <w:rFonts w:eastAsia="宋体"/>
      <w:kern w:val="2"/>
      <w:sz w:val="21"/>
      <w:szCs w:val="21"/>
      <w:lang w:val="en-US" w:eastAsia="zh-CN"/>
    </w:rPr>
  </w:style>
  <w:style w:type="character" w:customStyle="1" w:styleId="238">
    <w:name w:val="表内文字 Char"/>
    <w:qFormat/>
    <w:uiPriority w:val="99"/>
    <w:rPr>
      <w:sz w:val="21"/>
      <w:szCs w:val="21"/>
      <w:lang w:val="en-US" w:eastAsia="zh-CN"/>
    </w:rPr>
  </w:style>
  <w:style w:type="character" w:customStyle="1" w:styleId="239">
    <w:name w:val="Char Char131"/>
    <w:qFormat/>
    <w:uiPriority w:val="99"/>
    <w:rPr>
      <w:rFonts w:eastAsia="宋体"/>
      <w:kern w:val="2"/>
      <w:sz w:val="18"/>
      <w:szCs w:val="18"/>
      <w:lang w:val="en-US" w:eastAsia="zh-CN"/>
    </w:rPr>
  </w:style>
  <w:style w:type="character" w:customStyle="1" w:styleId="240">
    <w:name w:val="批注文字 Char1"/>
    <w:qFormat/>
    <w:uiPriority w:val="99"/>
    <w:rPr>
      <w:rFonts w:eastAsia="宋体"/>
      <w:kern w:val="2"/>
      <w:sz w:val="21"/>
      <w:szCs w:val="21"/>
      <w:lang w:val="en-US" w:eastAsia="zh-CN"/>
    </w:rPr>
  </w:style>
  <w:style w:type="character" w:customStyle="1" w:styleId="241">
    <w:name w:val="样式 标题 2 + 加粗 黑色 Char"/>
    <w:link w:val="242"/>
    <w:qFormat/>
    <w:locked/>
    <w:uiPriority w:val="99"/>
    <w:rPr>
      <w:b/>
      <w:bCs/>
      <w:color w:val="000000"/>
      <w:sz w:val="24"/>
      <w:szCs w:val="24"/>
    </w:rPr>
  </w:style>
  <w:style w:type="paragraph" w:customStyle="1" w:styleId="242">
    <w:name w:val="样式 标题 2 + 加粗 黑色"/>
    <w:basedOn w:val="4"/>
    <w:link w:val="241"/>
    <w:qFormat/>
    <w:uiPriority w:val="99"/>
    <w:pPr>
      <w:keepLines w:val="0"/>
      <w:widowControl/>
      <w:overflowPunct w:val="0"/>
      <w:autoSpaceDE w:val="0"/>
      <w:autoSpaceDN w:val="0"/>
      <w:adjustRightInd w:val="0"/>
      <w:textAlignment w:val="baseline"/>
    </w:pPr>
    <w:rPr>
      <w:rFonts w:ascii="Times New Roman" w:hAnsi="Times New Roman" w:cs="Times New Roman"/>
      <w:kern w:val="0"/>
      <w:sz w:val="24"/>
      <w:szCs w:val="24"/>
    </w:rPr>
  </w:style>
  <w:style w:type="character" w:customStyle="1" w:styleId="243">
    <w:name w:val="Char Char41"/>
    <w:qFormat/>
    <w:uiPriority w:val="99"/>
    <w:rPr>
      <w:rFonts w:ascii="宋体" w:hAnsi="Courier New" w:eastAsia="宋体" w:cs="宋体"/>
      <w:sz w:val="28"/>
      <w:szCs w:val="28"/>
    </w:rPr>
  </w:style>
  <w:style w:type="character" w:customStyle="1" w:styleId="244">
    <w:name w:val="孙普文字 Char2"/>
    <w:qFormat/>
    <w:uiPriority w:val="99"/>
    <w:rPr>
      <w:rFonts w:ascii="宋体" w:hAnsi="Courier New" w:eastAsia="宋体" w:cs="宋体"/>
      <w:kern w:val="2"/>
      <w:sz w:val="21"/>
      <w:szCs w:val="21"/>
      <w:lang w:val="en-US" w:eastAsia="zh-CN"/>
    </w:rPr>
  </w:style>
  <w:style w:type="character" w:customStyle="1" w:styleId="245">
    <w:name w:val="图下文字 Char"/>
    <w:link w:val="246"/>
    <w:qFormat/>
    <w:locked/>
    <w:uiPriority w:val="99"/>
    <w:rPr>
      <w:color w:val="000000"/>
      <w:kern w:val="2"/>
      <w:sz w:val="24"/>
      <w:szCs w:val="24"/>
      <w:lang w:val="en-US" w:eastAsia="zh-CN"/>
    </w:rPr>
  </w:style>
  <w:style w:type="paragraph" w:customStyle="1" w:styleId="246">
    <w:name w:val="图下文字"/>
    <w:link w:val="245"/>
    <w:qFormat/>
    <w:uiPriority w:val="99"/>
    <w:pPr>
      <w:adjustRightInd w:val="0"/>
      <w:snapToGrid w:val="0"/>
      <w:spacing w:line="360" w:lineRule="auto"/>
      <w:jc w:val="center"/>
    </w:pPr>
    <w:rPr>
      <w:rFonts w:ascii="Times New Roman" w:hAnsi="Times New Roman" w:eastAsia="宋体" w:cs="Times New Roman"/>
      <w:color w:val="000000"/>
      <w:kern w:val="2"/>
      <w:sz w:val="24"/>
      <w:szCs w:val="24"/>
      <w:lang w:val="en-US" w:eastAsia="zh-CN" w:bidi="ar-SA"/>
    </w:rPr>
  </w:style>
  <w:style w:type="character" w:customStyle="1" w:styleId="247">
    <w:name w:val="正文文本缩进 Char1"/>
    <w:qFormat/>
    <w:uiPriority w:val="99"/>
    <w:rPr>
      <w:kern w:val="2"/>
      <w:sz w:val="28"/>
      <w:szCs w:val="28"/>
    </w:rPr>
  </w:style>
  <w:style w:type="character" w:customStyle="1" w:styleId="248">
    <w:name w:val="纯文本 Char1"/>
    <w:qFormat/>
    <w:uiPriority w:val="99"/>
    <w:rPr>
      <w:rFonts w:ascii="宋体" w:hAnsi="Courier New" w:eastAsia="宋体" w:cs="宋体"/>
      <w:kern w:val="2"/>
      <w:sz w:val="21"/>
      <w:szCs w:val="21"/>
      <w:lang w:val="en-US" w:eastAsia="zh-CN"/>
    </w:rPr>
  </w:style>
  <w:style w:type="character" w:customStyle="1" w:styleId="249">
    <w:name w:val="洋图 Char"/>
    <w:qFormat/>
    <w:uiPriority w:val="99"/>
    <w:rPr>
      <w:rFonts w:eastAsia="宋体"/>
      <w:kern w:val="2"/>
      <w:sz w:val="24"/>
      <w:szCs w:val="24"/>
      <w:lang w:val="en-US" w:eastAsia="zh-CN"/>
    </w:rPr>
  </w:style>
  <w:style w:type="character" w:customStyle="1" w:styleId="250">
    <w:name w:val="洋正 Char"/>
    <w:qFormat/>
    <w:uiPriority w:val="99"/>
    <w:rPr>
      <w:rFonts w:eastAsia="宋体"/>
      <w:kern w:val="2"/>
      <w:sz w:val="24"/>
      <w:szCs w:val="24"/>
      <w:lang w:val="en-US" w:eastAsia="zh-CN"/>
    </w:rPr>
  </w:style>
  <w:style w:type="character" w:customStyle="1" w:styleId="251">
    <w:name w:val="风电正文 Char"/>
    <w:link w:val="252"/>
    <w:qFormat/>
    <w:locked/>
    <w:uiPriority w:val="99"/>
    <w:rPr>
      <w:kern w:val="2"/>
      <w:sz w:val="28"/>
      <w:szCs w:val="28"/>
    </w:rPr>
  </w:style>
  <w:style w:type="paragraph" w:customStyle="1" w:styleId="252">
    <w:name w:val="风电正文"/>
    <w:basedOn w:val="1"/>
    <w:link w:val="251"/>
    <w:qFormat/>
    <w:uiPriority w:val="99"/>
    <w:pPr>
      <w:spacing w:line="480" w:lineRule="exact"/>
      <w:ind w:firstLine="560" w:firstLineChars="200"/>
    </w:pPr>
    <w:rPr>
      <w:color w:val="auto"/>
      <w:sz w:val="28"/>
      <w:szCs w:val="28"/>
    </w:rPr>
  </w:style>
  <w:style w:type="character" w:customStyle="1" w:styleId="253">
    <w:name w:val="HTML 预设格式 Char1"/>
    <w:semiHidden/>
    <w:qFormat/>
    <w:uiPriority w:val="99"/>
    <w:rPr>
      <w:rFonts w:ascii="Courier New" w:hAnsi="Courier New" w:cs="Courier New"/>
      <w:kern w:val="2"/>
    </w:rPr>
  </w:style>
  <w:style w:type="character" w:customStyle="1" w:styleId="254">
    <w:name w:val="尾注文本 Char"/>
    <w:qFormat/>
    <w:uiPriority w:val="99"/>
    <w:rPr>
      <w:kern w:val="2"/>
      <w:sz w:val="21"/>
      <w:szCs w:val="21"/>
    </w:rPr>
  </w:style>
  <w:style w:type="character" w:customStyle="1" w:styleId="255">
    <w:name w:val="Char Char61"/>
    <w:qFormat/>
    <w:uiPriority w:val="99"/>
    <w:rPr>
      <w:rFonts w:eastAsia="宋体"/>
      <w:kern w:val="2"/>
      <w:sz w:val="18"/>
      <w:szCs w:val="18"/>
      <w:lang w:val="en-US" w:eastAsia="zh-CN"/>
    </w:rPr>
  </w:style>
  <w:style w:type="character" w:customStyle="1" w:styleId="256">
    <w:name w:val="t31"/>
    <w:qFormat/>
    <w:uiPriority w:val="99"/>
    <w:rPr>
      <w:color w:val="000000"/>
      <w:sz w:val="20"/>
      <w:szCs w:val="20"/>
    </w:rPr>
  </w:style>
  <w:style w:type="character" w:customStyle="1" w:styleId="257">
    <w:name w:val="二级标题 Char Char"/>
    <w:qFormat/>
    <w:uiPriority w:val="99"/>
    <w:rPr>
      <w:rFonts w:ascii="Arial" w:hAnsi="Arial" w:eastAsia="宋体" w:cs="Arial"/>
      <w:b/>
      <w:bCs/>
      <w:kern w:val="2"/>
      <w:sz w:val="32"/>
      <w:szCs w:val="32"/>
      <w:lang w:val="en-US" w:eastAsia="zh-CN"/>
    </w:rPr>
  </w:style>
  <w:style w:type="character" w:customStyle="1" w:styleId="258">
    <w:name w:val="无间隔 字符"/>
    <w:link w:val="129"/>
    <w:qFormat/>
    <w:locked/>
    <w:uiPriority w:val="99"/>
    <w:rPr>
      <w:kern w:val="2"/>
      <w:sz w:val="24"/>
      <w:szCs w:val="24"/>
    </w:rPr>
  </w:style>
  <w:style w:type="character" w:customStyle="1" w:styleId="259">
    <w:name w:val="样式 首行缩进:  2 字符 Char Char Char"/>
    <w:link w:val="260"/>
    <w:qFormat/>
    <w:locked/>
    <w:uiPriority w:val="99"/>
    <w:rPr>
      <w:kern w:val="2"/>
      <w:sz w:val="28"/>
      <w:szCs w:val="28"/>
    </w:rPr>
  </w:style>
  <w:style w:type="paragraph" w:customStyle="1" w:styleId="260">
    <w:name w:val="样式 首行缩进:  2 字符 Char Char"/>
    <w:basedOn w:val="1"/>
    <w:link w:val="259"/>
    <w:qFormat/>
    <w:uiPriority w:val="99"/>
    <w:pPr>
      <w:ind w:firstLine="560" w:firstLineChars="200"/>
    </w:pPr>
    <w:rPr>
      <w:color w:val="auto"/>
      <w:sz w:val="28"/>
      <w:szCs w:val="28"/>
    </w:rPr>
  </w:style>
  <w:style w:type="character" w:customStyle="1" w:styleId="261">
    <w:name w:val="标题 4 Char"/>
    <w:qFormat/>
    <w:uiPriority w:val="99"/>
    <w:rPr>
      <w:rFonts w:ascii="Arial" w:hAnsi="Arial" w:eastAsia="宋体" w:cs="Arial"/>
      <w:b/>
      <w:bCs/>
      <w:kern w:val="2"/>
      <w:sz w:val="28"/>
      <w:szCs w:val="28"/>
      <w:lang w:val="en-US" w:eastAsia="zh-CN"/>
    </w:rPr>
  </w:style>
  <w:style w:type="character" w:customStyle="1" w:styleId="262">
    <w:name w:val="正文文本缩进 2 Char1"/>
    <w:qFormat/>
    <w:uiPriority w:val="99"/>
    <w:rPr>
      <w:rFonts w:eastAsia="宋体"/>
      <w:kern w:val="2"/>
      <w:sz w:val="21"/>
      <w:szCs w:val="21"/>
      <w:lang w:val="en-US" w:eastAsia="zh-CN"/>
    </w:rPr>
  </w:style>
  <w:style w:type="character" w:customStyle="1" w:styleId="263">
    <w:name w:val="洋表 Char"/>
    <w:qFormat/>
    <w:uiPriority w:val="99"/>
    <w:rPr>
      <w:rFonts w:eastAsia="宋体"/>
      <w:kern w:val="2"/>
      <w:sz w:val="21"/>
      <w:szCs w:val="21"/>
      <w:lang w:val="en-US" w:eastAsia="zh-CN"/>
    </w:rPr>
  </w:style>
  <w:style w:type="character" w:customStyle="1" w:styleId="264">
    <w:name w:val="批注主题 Char"/>
    <w:qFormat/>
    <w:uiPriority w:val="99"/>
    <w:rPr>
      <w:b/>
      <w:bCs/>
      <w:kern w:val="2"/>
      <w:sz w:val="24"/>
      <w:szCs w:val="24"/>
    </w:rPr>
  </w:style>
  <w:style w:type="character" w:customStyle="1" w:styleId="265">
    <w:name w:val="样式 @ Char"/>
    <w:link w:val="266"/>
    <w:qFormat/>
    <w:locked/>
    <w:uiPriority w:val="99"/>
    <w:rPr>
      <w:sz w:val="24"/>
      <w:szCs w:val="24"/>
    </w:rPr>
  </w:style>
  <w:style w:type="paragraph" w:customStyle="1" w:styleId="266">
    <w:name w:val="样式 @"/>
    <w:basedOn w:val="1"/>
    <w:next w:val="1"/>
    <w:link w:val="265"/>
    <w:qFormat/>
    <w:uiPriority w:val="99"/>
    <w:pPr>
      <w:spacing w:line="360" w:lineRule="auto"/>
      <w:ind w:firstLine="480" w:firstLineChars="200"/>
    </w:pPr>
    <w:rPr>
      <w:color w:val="auto"/>
      <w:kern w:val="0"/>
      <w:sz w:val="24"/>
      <w:szCs w:val="24"/>
    </w:rPr>
  </w:style>
  <w:style w:type="character" w:customStyle="1" w:styleId="267">
    <w:name w:val="样式11 Char Char"/>
    <w:link w:val="268"/>
    <w:qFormat/>
    <w:locked/>
    <w:uiPriority w:val="99"/>
    <w:rPr>
      <w:rFonts w:eastAsia="华文中宋"/>
      <w:kern w:val="2"/>
      <w:sz w:val="28"/>
      <w:szCs w:val="28"/>
    </w:rPr>
  </w:style>
  <w:style w:type="paragraph" w:customStyle="1" w:styleId="268">
    <w:name w:val="样式11 Char"/>
    <w:basedOn w:val="29"/>
    <w:link w:val="267"/>
    <w:qFormat/>
    <w:uiPriority w:val="99"/>
    <w:pPr>
      <w:ind w:left="0" w:leftChars="0" w:firstLine="472" w:firstLineChars="200"/>
      <w:outlineLvl w:val="0"/>
    </w:pPr>
    <w:rPr>
      <w:rFonts w:eastAsia="华文中宋"/>
      <w:color w:val="auto"/>
      <w:sz w:val="24"/>
      <w:szCs w:val="24"/>
    </w:rPr>
  </w:style>
  <w:style w:type="character" w:customStyle="1" w:styleId="269">
    <w:name w:val="样式 标题 3 + 宋体 小四 Char"/>
    <w:link w:val="270"/>
    <w:qFormat/>
    <w:locked/>
    <w:uiPriority w:val="99"/>
    <w:rPr>
      <w:rFonts w:ascii="宋体" w:eastAsia="宋体" w:cs="宋体"/>
      <w:b/>
      <w:bCs/>
      <w:kern w:val="2"/>
      <w:sz w:val="32"/>
      <w:szCs w:val="32"/>
    </w:rPr>
  </w:style>
  <w:style w:type="paragraph" w:customStyle="1" w:styleId="270">
    <w:name w:val="样式 标题 3 + 宋体 小四"/>
    <w:basedOn w:val="5"/>
    <w:link w:val="269"/>
    <w:qFormat/>
    <w:uiPriority w:val="99"/>
    <w:pPr>
      <w:spacing w:before="260" w:after="260" w:line="416" w:lineRule="auto"/>
      <w:jc w:val="both"/>
    </w:pPr>
    <w:rPr>
      <w:rFonts w:ascii="宋体" w:hAnsi="宋体" w:cs="宋体"/>
      <w:color w:val="auto"/>
      <w:sz w:val="24"/>
      <w:szCs w:val="24"/>
    </w:rPr>
  </w:style>
  <w:style w:type="character" w:customStyle="1" w:styleId="271">
    <w:name w:val="Char Char8"/>
    <w:qFormat/>
    <w:uiPriority w:val="99"/>
    <w:rPr>
      <w:rFonts w:eastAsia="宋体"/>
      <w:b/>
      <w:bCs/>
      <w:sz w:val="28"/>
      <w:szCs w:val="28"/>
      <w:lang w:val="en-US" w:eastAsia="zh-CN"/>
    </w:rPr>
  </w:style>
  <w:style w:type="character" w:customStyle="1" w:styleId="272">
    <w:name w:val="Char Char17"/>
    <w:qFormat/>
    <w:uiPriority w:val="99"/>
    <w:rPr>
      <w:rFonts w:ascii="宋体" w:hAnsi="Courier New" w:eastAsia="宋体" w:cs="宋体"/>
      <w:kern w:val="2"/>
      <w:sz w:val="28"/>
      <w:szCs w:val="28"/>
      <w:lang w:val="en-US" w:eastAsia="zh-CN"/>
    </w:rPr>
  </w:style>
  <w:style w:type="character" w:customStyle="1" w:styleId="273">
    <w:name w:val="Char Char81"/>
    <w:qFormat/>
    <w:uiPriority w:val="99"/>
    <w:rPr>
      <w:rFonts w:eastAsia="宋体"/>
      <w:b/>
      <w:bCs/>
      <w:sz w:val="28"/>
      <w:szCs w:val="28"/>
      <w:lang w:val="en-US" w:eastAsia="zh-CN"/>
    </w:rPr>
  </w:style>
  <w:style w:type="character" w:customStyle="1" w:styleId="274">
    <w:name w:val="标题 Char"/>
    <w:qFormat/>
    <w:uiPriority w:val="99"/>
    <w:rPr>
      <w:rFonts w:ascii="Arial" w:hAnsi="Arial" w:cs="Arial"/>
      <w:b/>
      <w:bCs/>
      <w:sz w:val="32"/>
      <w:szCs w:val="32"/>
    </w:rPr>
  </w:style>
  <w:style w:type="character" w:customStyle="1" w:styleId="275">
    <w:name w:val="洋3 Char"/>
    <w:qFormat/>
    <w:uiPriority w:val="99"/>
    <w:rPr>
      <w:rFonts w:eastAsia="宋体"/>
      <w:b/>
      <w:bCs/>
      <w:kern w:val="2"/>
      <w:sz w:val="32"/>
      <w:szCs w:val="32"/>
      <w:lang w:val="en-US" w:eastAsia="zh-CN"/>
    </w:rPr>
  </w:style>
  <w:style w:type="character" w:customStyle="1" w:styleId="276">
    <w:name w:val="二级标题 Char"/>
    <w:link w:val="277"/>
    <w:qFormat/>
    <w:locked/>
    <w:uiPriority w:val="99"/>
    <w:rPr>
      <w:rFonts w:ascii="Arial" w:hAnsi="Arial" w:eastAsia="黑体" w:cs="Arial"/>
      <w:b/>
      <w:bCs/>
      <w:kern w:val="2"/>
      <w:sz w:val="32"/>
      <w:szCs w:val="32"/>
    </w:rPr>
  </w:style>
  <w:style w:type="paragraph" w:customStyle="1" w:styleId="277">
    <w:name w:val="二级标题"/>
    <w:basedOn w:val="4"/>
    <w:link w:val="276"/>
    <w:qFormat/>
    <w:uiPriority w:val="99"/>
    <w:pPr>
      <w:tabs>
        <w:tab w:val="left" w:pos="1620"/>
      </w:tabs>
      <w:spacing w:before="260" w:after="260" w:line="415" w:lineRule="auto"/>
      <w:ind w:left="1620" w:leftChars="600" w:hanging="360" w:hangingChars="200"/>
      <w:jc w:val="both"/>
    </w:pPr>
    <w:rPr>
      <w:rFonts w:eastAsia="黑体"/>
      <w:color w:val="auto"/>
      <w:sz w:val="24"/>
      <w:szCs w:val="24"/>
    </w:rPr>
  </w:style>
  <w:style w:type="character" w:customStyle="1" w:styleId="278">
    <w:name w:val="批注文字 Char"/>
    <w:qFormat/>
    <w:uiPriority w:val="99"/>
    <w:rPr>
      <w:kern w:val="2"/>
      <w:sz w:val="24"/>
      <w:szCs w:val="24"/>
    </w:rPr>
  </w:style>
  <w:style w:type="character" w:customStyle="1" w:styleId="279">
    <w:name w:val="章 Char Char"/>
    <w:qFormat/>
    <w:uiPriority w:val="99"/>
    <w:rPr>
      <w:rFonts w:eastAsia="宋体"/>
      <w:b/>
      <w:bCs/>
      <w:kern w:val="44"/>
      <w:sz w:val="44"/>
      <w:szCs w:val="44"/>
      <w:lang w:val="en-US" w:eastAsia="zh-CN"/>
    </w:rPr>
  </w:style>
  <w:style w:type="character" w:customStyle="1" w:styleId="280">
    <w:name w:val="样式 标题 2 + (西文) Times New Roman (中文) 宋体 四号 Char"/>
    <w:link w:val="281"/>
    <w:qFormat/>
    <w:locked/>
    <w:uiPriority w:val="99"/>
    <w:rPr>
      <w:rFonts w:ascii="Arial" w:hAnsi="Arial" w:eastAsia="黑体" w:cs="Arial"/>
      <w:b/>
      <w:bCs/>
      <w:kern w:val="2"/>
      <w:sz w:val="32"/>
      <w:szCs w:val="32"/>
    </w:rPr>
  </w:style>
  <w:style w:type="paragraph" w:customStyle="1" w:styleId="281">
    <w:name w:val="样式 标题 2 + (西文) Times New Roman (中文) 宋体 四号"/>
    <w:basedOn w:val="4"/>
    <w:link w:val="280"/>
    <w:qFormat/>
    <w:uiPriority w:val="99"/>
    <w:pPr>
      <w:spacing w:before="260" w:after="260" w:line="416" w:lineRule="auto"/>
      <w:jc w:val="both"/>
    </w:pPr>
    <w:rPr>
      <w:rFonts w:eastAsia="黑体"/>
      <w:color w:val="auto"/>
    </w:rPr>
  </w:style>
  <w:style w:type="character" w:customStyle="1" w:styleId="282">
    <w:name w:val="Char Char42"/>
    <w:qFormat/>
    <w:uiPriority w:val="99"/>
    <w:rPr>
      <w:rFonts w:ascii="宋体" w:hAnsi="Courier New" w:eastAsia="宋体" w:cs="宋体"/>
      <w:sz w:val="28"/>
      <w:szCs w:val="28"/>
    </w:rPr>
  </w:style>
  <w:style w:type="character" w:customStyle="1" w:styleId="283">
    <w:name w:val="普通(网站) Char"/>
    <w:qFormat/>
    <w:uiPriority w:val="99"/>
    <w:rPr>
      <w:rFonts w:eastAsia="宋体"/>
      <w:sz w:val="24"/>
      <w:szCs w:val="24"/>
      <w:lang w:val="en-US" w:eastAsia="zh-CN"/>
    </w:rPr>
  </w:style>
  <w:style w:type="character" w:customStyle="1" w:styleId="284">
    <w:name w:val="b2 Char Char"/>
    <w:qFormat/>
    <w:uiPriority w:val="99"/>
    <w:rPr>
      <w:rFonts w:ascii="Arial" w:hAnsi="Arial" w:eastAsia="黑体" w:cs="Arial"/>
      <w:b/>
      <w:bCs/>
      <w:kern w:val="2"/>
      <w:sz w:val="32"/>
      <w:szCs w:val="32"/>
      <w:lang w:val="en-US" w:eastAsia="zh-CN"/>
    </w:rPr>
  </w:style>
  <w:style w:type="character" w:customStyle="1" w:styleId="285">
    <w:name w:val="Char Char Char1"/>
    <w:qFormat/>
    <w:uiPriority w:val="99"/>
    <w:rPr>
      <w:rFonts w:ascii="宋体" w:hAnsi="Courier New" w:eastAsia="宋体" w:cs="宋体"/>
      <w:kern w:val="2"/>
      <w:sz w:val="21"/>
      <w:szCs w:val="21"/>
      <w:lang w:val="en-US" w:eastAsia="zh-CN"/>
    </w:rPr>
  </w:style>
  <w:style w:type="character" w:customStyle="1" w:styleId="286">
    <w:name w:val="ganfy_0011"/>
    <w:qFormat/>
    <w:uiPriority w:val="99"/>
    <w:rPr>
      <w:sz w:val="18"/>
      <w:szCs w:val="18"/>
    </w:rPr>
  </w:style>
  <w:style w:type="character" w:customStyle="1" w:styleId="287">
    <w:name w:val="Char Char12"/>
    <w:qFormat/>
    <w:uiPriority w:val="99"/>
    <w:rPr>
      <w:rFonts w:ascii="Times New Roman" w:hAnsi="Times New Roman" w:eastAsia="宋体" w:cs="Times New Roman"/>
      <w:sz w:val="18"/>
      <w:szCs w:val="18"/>
    </w:rPr>
  </w:style>
  <w:style w:type="character" w:customStyle="1" w:styleId="288">
    <w:name w:val="页眉 Char1"/>
    <w:qFormat/>
    <w:uiPriority w:val="99"/>
    <w:rPr>
      <w:rFonts w:eastAsia="宋体"/>
      <w:kern w:val="2"/>
      <w:sz w:val="18"/>
      <w:szCs w:val="18"/>
      <w:lang w:val="en-US" w:eastAsia="zh-CN"/>
    </w:rPr>
  </w:style>
  <w:style w:type="character" w:customStyle="1" w:styleId="289">
    <w:name w:val="洋 Char"/>
    <w:link w:val="290"/>
    <w:qFormat/>
    <w:locked/>
    <w:uiPriority w:val="99"/>
    <w:rPr>
      <w:color w:val="000000"/>
      <w:sz w:val="24"/>
      <w:szCs w:val="24"/>
    </w:rPr>
  </w:style>
  <w:style w:type="paragraph" w:customStyle="1" w:styleId="290">
    <w:name w:val="洋"/>
    <w:basedOn w:val="1"/>
    <w:next w:val="1"/>
    <w:link w:val="289"/>
    <w:qFormat/>
    <w:uiPriority w:val="99"/>
    <w:pPr>
      <w:spacing w:line="360" w:lineRule="auto"/>
      <w:ind w:firstLine="200" w:firstLineChars="200"/>
    </w:pPr>
    <w:rPr>
      <w:kern w:val="0"/>
      <w:sz w:val="24"/>
      <w:szCs w:val="24"/>
    </w:rPr>
  </w:style>
  <w:style w:type="character" w:customStyle="1" w:styleId="291">
    <w:name w:val="正文文本缩进 3 Char"/>
    <w:qFormat/>
    <w:uiPriority w:val="99"/>
    <w:rPr>
      <w:rFonts w:eastAsia="宋体"/>
      <w:kern w:val="2"/>
      <w:sz w:val="16"/>
      <w:szCs w:val="16"/>
      <w:lang w:val="en-US" w:eastAsia="zh-CN"/>
    </w:rPr>
  </w:style>
  <w:style w:type="character" w:customStyle="1" w:styleId="292">
    <w:name w:val="页脚 Char"/>
    <w:qFormat/>
    <w:uiPriority w:val="99"/>
    <w:rPr>
      <w:rFonts w:eastAsia="宋体"/>
      <w:kern w:val="2"/>
      <w:sz w:val="18"/>
      <w:szCs w:val="18"/>
      <w:lang w:val="en-US" w:eastAsia="zh-CN"/>
    </w:rPr>
  </w:style>
  <w:style w:type="character" w:customStyle="1" w:styleId="293">
    <w:name w:val="正文文本 Char"/>
    <w:qFormat/>
    <w:uiPriority w:val="99"/>
    <w:rPr>
      <w:rFonts w:ascii="宋体" w:cs="宋体"/>
      <w:spacing w:val="-20"/>
      <w:kern w:val="21"/>
      <w:position w:val="2"/>
      <w:sz w:val="28"/>
      <w:szCs w:val="28"/>
    </w:rPr>
  </w:style>
  <w:style w:type="character" w:customStyle="1" w:styleId="294">
    <w:name w:val="Char Char19"/>
    <w:qFormat/>
    <w:uiPriority w:val="99"/>
    <w:rPr>
      <w:rFonts w:eastAsia="宋体"/>
      <w:kern w:val="2"/>
      <w:sz w:val="18"/>
      <w:szCs w:val="18"/>
      <w:lang w:val="en-US" w:eastAsia="zh-CN"/>
    </w:rPr>
  </w:style>
  <w:style w:type="character" w:customStyle="1" w:styleId="295">
    <w:name w:val="Char Char23"/>
    <w:qFormat/>
    <w:uiPriority w:val="99"/>
    <w:rPr>
      <w:rFonts w:ascii="Arial" w:hAnsi="Arial" w:cs="Arial"/>
      <w:spacing w:val="2"/>
      <w:sz w:val="24"/>
      <w:szCs w:val="24"/>
    </w:rPr>
  </w:style>
  <w:style w:type="character" w:customStyle="1" w:styleId="296">
    <w:name w:val="明显强调1"/>
    <w:qFormat/>
    <w:uiPriority w:val="99"/>
    <w:rPr>
      <w:b/>
      <w:bCs/>
      <w:i/>
      <w:iCs/>
      <w:color w:val="auto"/>
    </w:rPr>
  </w:style>
  <w:style w:type="character" w:customStyle="1" w:styleId="297">
    <w:name w:val="副标题 Char"/>
    <w:qFormat/>
    <w:uiPriority w:val="99"/>
    <w:rPr>
      <w:rFonts w:ascii="Arial" w:hAnsi="Arial" w:cs="Arial"/>
      <w:b/>
      <w:bCs/>
      <w:kern w:val="28"/>
      <w:sz w:val="32"/>
      <w:szCs w:val="32"/>
    </w:rPr>
  </w:style>
  <w:style w:type="character" w:customStyle="1" w:styleId="298">
    <w:name w:val="标题 3 Char"/>
    <w:qFormat/>
    <w:uiPriority w:val="99"/>
    <w:rPr>
      <w:rFonts w:eastAsia="宋体"/>
      <w:b/>
      <w:bCs/>
      <w:kern w:val="2"/>
      <w:sz w:val="32"/>
      <w:szCs w:val="32"/>
      <w:lang w:val="en-US" w:eastAsia="zh-CN"/>
    </w:rPr>
  </w:style>
  <w:style w:type="character" w:customStyle="1" w:styleId="299">
    <w:name w:val="ｗｏｒｄ正文 Char Char"/>
    <w:qFormat/>
    <w:uiPriority w:val="99"/>
    <w:rPr>
      <w:rFonts w:eastAsia="宋体"/>
      <w:kern w:val="24"/>
      <w:sz w:val="28"/>
      <w:szCs w:val="28"/>
      <w:lang w:val="en-US" w:eastAsia="zh-CN"/>
    </w:rPr>
  </w:style>
  <w:style w:type="character" w:customStyle="1" w:styleId="300">
    <w:name w:val="标题 3 Char1"/>
    <w:qFormat/>
    <w:uiPriority w:val="99"/>
    <w:rPr>
      <w:rFonts w:eastAsia="宋体"/>
      <w:kern w:val="2"/>
      <w:sz w:val="32"/>
      <w:szCs w:val="32"/>
      <w:lang w:val="en-US" w:eastAsia="zh-CN"/>
    </w:rPr>
  </w:style>
  <w:style w:type="character" w:customStyle="1" w:styleId="301">
    <w:name w:val="标题 8 Char"/>
    <w:qFormat/>
    <w:uiPriority w:val="99"/>
    <w:rPr>
      <w:rFonts w:ascii="Arial" w:hAnsi="Arial" w:cs="Arial"/>
      <w:b/>
      <w:bCs/>
      <w:spacing w:val="2"/>
      <w:sz w:val="24"/>
      <w:szCs w:val="24"/>
    </w:rPr>
  </w:style>
  <w:style w:type="character" w:customStyle="1" w:styleId="302">
    <w:name w:val="content Char Char"/>
    <w:qFormat/>
    <w:uiPriority w:val="99"/>
    <w:rPr>
      <w:rFonts w:ascii="宋体" w:eastAsia="宋体" w:cs="宋体"/>
      <w:snapToGrid w:val="0"/>
      <w:color w:val="000000"/>
      <w:sz w:val="24"/>
      <w:szCs w:val="24"/>
      <w:lang w:val="en-US" w:eastAsia="zh-CN"/>
    </w:rPr>
  </w:style>
  <w:style w:type="character" w:customStyle="1" w:styleId="303">
    <w:name w:val="样式 正文段落宋体 Char"/>
    <w:link w:val="304"/>
    <w:qFormat/>
    <w:locked/>
    <w:uiPriority w:val="99"/>
    <w:rPr>
      <w:rFonts w:ascii="宋体" w:eastAsia="宋体" w:cs="宋体"/>
      <w:kern w:val="2"/>
      <w:sz w:val="28"/>
      <w:szCs w:val="28"/>
    </w:rPr>
  </w:style>
  <w:style w:type="paragraph" w:customStyle="1" w:styleId="304">
    <w:name w:val="样式 正文段落宋体"/>
    <w:basedOn w:val="1"/>
    <w:link w:val="303"/>
    <w:qFormat/>
    <w:uiPriority w:val="99"/>
    <w:pPr>
      <w:ind w:firstLine="560" w:firstLineChars="200"/>
    </w:pPr>
    <w:rPr>
      <w:rFonts w:ascii="宋体" w:hAnsi="宋体" w:cs="宋体"/>
      <w:color w:val="auto"/>
      <w:sz w:val="28"/>
      <w:szCs w:val="28"/>
    </w:rPr>
  </w:style>
  <w:style w:type="character" w:customStyle="1" w:styleId="305">
    <w:name w:val="正文文本缩进 2 Char"/>
    <w:qFormat/>
    <w:uiPriority w:val="99"/>
    <w:rPr>
      <w:kern w:val="2"/>
      <w:sz w:val="24"/>
      <w:szCs w:val="24"/>
    </w:rPr>
  </w:style>
  <w:style w:type="character" w:customStyle="1" w:styleId="306">
    <w:name w:val="纯文本 Char2"/>
    <w:qFormat/>
    <w:uiPriority w:val="99"/>
    <w:rPr>
      <w:rFonts w:ascii="宋体" w:hAnsi="Courier New" w:cs="宋体"/>
      <w:kern w:val="2"/>
      <w:sz w:val="21"/>
      <w:szCs w:val="21"/>
    </w:rPr>
  </w:style>
  <w:style w:type="character" w:customStyle="1" w:styleId="307">
    <w:name w:val="页眉 Char"/>
    <w:qFormat/>
    <w:uiPriority w:val="99"/>
    <w:rPr>
      <w:rFonts w:eastAsia="宋体"/>
      <w:kern w:val="2"/>
      <w:sz w:val="18"/>
      <w:szCs w:val="18"/>
      <w:lang w:val="en-US" w:eastAsia="zh-CN"/>
    </w:rPr>
  </w:style>
  <w:style w:type="character" w:customStyle="1" w:styleId="308">
    <w:name w:val="标题 9 Char"/>
    <w:qFormat/>
    <w:uiPriority w:val="99"/>
    <w:rPr>
      <w:rFonts w:ascii="Arial" w:hAnsi="Arial" w:cs="Arial"/>
      <w:b/>
      <w:bCs/>
      <w:spacing w:val="2"/>
      <w:sz w:val="21"/>
      <w:szCs w:val="21"/>
    </w:rPr>
  </w:style>
  <w:style w:type="character" w:customStyle="1" w:styleId="309">
    <w:name w:val="标题 2 Char1"/>
    <w:qFormat/>
    <w:uiPriority w:val="99"/>
    <w:rPr>
      <w:rFonts w:eastAsia="宋体"/>
      <w:sz w:val="24"/>
      <w:szCs w:val="24"/>
      <w:lang w:val="en-US" w:eastAsia="zh-CN"/>
    </w:rPr>
  </w:style>
  <w:style w:type="character" w:customStyle="1" w:styleId="310">
    <w:name w:val="Char Char20"/>
    <w:qFormat/>
    <w:uiPriority w:val="99"/>
    <w:rPr>
      <w:rFonts w:ascii="Arial" w:hAnsi="Arial" w:cs="Arial"/>
      <w:b/>
      <w:bCs/>
      <w:spacing w:val="2"/>
      <w:sz w:val="21"/>
      <w:szCs w:val="21"/>
    </w:rPr>
  </w:style>
  <w:style w:type="character" w:customStyle="1" w:styleId="311">
    <w:name w:val="正文文本 2 Char"/>
    <w:qFormat/>
    <w:uiPriority w:val="99"/>
    <w:rPr>
      <w:rFonts w:eastAsia="宋体"/>
      <w:kern w:val="2"/>
      <w:sz w:val="24"/>
      <w:szCs w:val="24"/>
      <w:lang w:val="en-US" w:eastAsia="zh-CN"/>
    </w:rPr>
  </w:style>
  <w:style w:type="character" w:customStyle="1" w:styleId="312">
    <w:name w:val="页脚 Char2"/>
    <w:qFormat/>
    <w:uiPriority w:val="99"/>
    <w:rPr>
      <w:kern w:val="2"/>
      <w:sz w:val="18"/>
      <w:szCs w:val="18"/>
    </w:rPr>
  </w:style>
  <w:style w:type="character" w:customStyle="1" w:styleId="313">
    <w:name w:val="Char Char21"/>
    <w:qFormat/>
    <w:uiPriority w:val="99"/>
    <w:rPr>
      <w:rFonts w:ascii="Arial" w:hAnsi="Arial" w:cs="Arial"/>
      <w:b/>
      <w:bCs/>
      <w:spacing w:val="2"/>
      <w:sz w:val="24"/>
      <w:szCs w:val="24"/>
    </w:rPr>
  </w:style>
  <w:style w:type="character" w:customStyle="1" w:styleId="314">
    <w:name w:val="标题 6 Char"/>
    <w:qFormat/>
    <w:uiPriority w:val="99"/>
    <w:rPr>
      <w:rFonts w:ascii="Arial" w:hAnsi="Arial" w:cs="Arial"/>
      <w:spacing w:val="2"/>
      <w:sz w:val="24"/>
      <w:szCs w:val="24"/>
    </w:rPr>
  </w:style>
  <w:style w:type="character" w:customStyle="1" w:styleId="315">
    <w:name w:val="Char Char24"/>
    <w:qFormat/>
    <w:uiPriority w:val="99"/>
    <w:rPr>
      <w:rFonts w:ascii="宋体" w:cs="宋体"/>
      <w:spacing w:val="2"/>
      <w:sz w:val="24"/>
      <w:szCs w:val="24"/>
    </w:rPr>
  </w:style>
  <w:style w:type="character" w:customStyle="1" w:styleId="316">
    <w:name w:val="Char Char22"/>
    <w:qFormat/>
    <w:uiPriority w:val="99"/>
    <w:rPr>
      <w:rFonts w:eastAsia="宋体"/>
      <w:sz w:val="30"/>
      <w:szCs w:val="30"/>
      <w:lang w:val="en-US" w:eastAsia="zh-CN"/>
    </w:rPr>
  </w:style>
  <w:style w:type="character" w:customStyle="1" w:styleId="317">
    <w:name w:val="正文文本缩进 Char"/>
    <w:qFormat/>
    <w:uiPriority w:val="99"/>
    <w:rPr>
      <w:color w:val="000000"/>
      <w:kern w:val="2"/>
      <w:sz w:val="24"/>
      <w:szCs w:val="24"/>
    </w:rPr>
  </w:style>
  <w:style w:type="character" w:customStyle="1" w:styleId="318">
    <w:name w:val="无间隔 Char1"/>
    <w:link w:val="141"/>
    <w:qFormat/>
    <w:locked/>
    <w:uiPriority w:val="99"/>
    <w:rPr>
      <w:kern w:val="2"/>
      <w:sz w:val="24"/>
      <w:szCs w:val="24"/>
    </w:rPr>
  </w:style>
  <w:style w:type="character" w:customStyle="1" w:styleId="319">
    <w:name w:val="注释标题 字符1"/>
    <w:basedOn w:val="58"/>
    <w:semiHidden/>
    <w:qFormat/>
    <w:uiPriority w:val="99"/>
    <w:rPr>
      <w:kern w:val="2"/>
      <w:sz w:val="22"/>
      <w:szCs w:val="22"/>
    </w:rPr>
  </w:style>
  <w:style w:type="character" w:customStyle="1" w:styleId="320">
    <w:name w:val="正文文本缩进 2 字符1"/>
    <w:basedOn w:val="58"/>
    <w:semiHidden/>
    <w:qFormat/>
    <w:uiPriority w:val="99"/>
    <w:rPr>
      <w:kern w:val="2"/>
      <w:sz w:val="22"/>
      <w:szCs w:val="22"/>
    </w:rPr>
  </w:style>
  <w:style w:type="character" w:customStyle="1" w:styleId="321">
    <w:name w:val="脚注文本 字符1"/>
    <w:basedOn w:val="58"/>
    <w:semiHidden/>
    <w:qFormat/>
    <w:uiPriority w:val="99"/>
    <w:rPr>
      <w:kern w:val="2"/>
      <w:sz w:val="18"/>
      <w:szCs w:val="18"/>
    </w:rPr>
  </w:style>
  <w:style w:type="character" w:customStyle="1" w:styleId="322">
    <w:name w:val="HTML 预设格式 字符1"/>
    <w:basedOn w:val="58"/>
    <w:semiHidden/>
    <w:qFormat/>
    <w:uiPriority w:val="99"/>
    <w:rPr>
      <w:rFonts w:ascii="Courier New" w:hAnsi="Courier New" w:cs="Courier New"/>
      <w:kern w:val="2"/>
    </w:rPr>
  </w:style>
  <w:style w:type="character" w:customStyle="1" w:styleId="323">
    <w:name w:val="尾注文本 字符1"/>
    <w:basedOn w:val="58"/>
    <w:semiHidden/>
    <w:qFormat/>
    <w:uiPriority w:val="99"/>
    <w:rPr>
      <w:kern w:val="2"/>
      <w:sz w:val="22"/>
      <w:szCs w:val="22"/>
    </w:rPr>
  </w:style>
  <w:style w:type="character" w:customStyle="1" w:styleId="324">
    <w:name w:val="标题 字符1"/>
    <w:basedOn w:val="58"/>
    <w:qFormat/>
    <w:uiPriority w:val="99"/>
    <w:rPr>
      <w:rFonts w:ascii="等线 Light" w:hAnsi="等线 Light" w:eastAsia="等线 Light" w:cs="等线 Light"/>
      <w:b/>
      <w:bCs/>
      <w:kern w:val="2"/>
      <w:sz w:val="32"/>
      <w:szCs w:val="32"/>
    </w:rPr>
  </w:style>
  <w:style w:type="paragraph" w:customStyle="1" w:styleId="325">
    <w:name w:val="样式 标题 3 + 非加粗"/>
    <w:basedOn w:val="5"/>
    <w:qFormat/>
    <w:uiPriority w:val="99"/>
    <w:pPr>
      <w:keepLines w:val="0"/>
      <w:widowControl/>
      <w:tabs>
        <w:tab w:val="left" w:pos="1134"/>
        <w:tab w:val="left" w:pos="2520"/>
        <w:tab w:val="left" w:pos="2552"/>
        <w:tab w:val="left" w:pos="3969"/>
        <w:tab w:val="left" w:pos="5387"/>
      </w:tabs>
      <w:spacing w:line="460" w:lineRule="exact"/>
    </w:pPr>
    <w:rPr>
      <w:kern w:val="0"/>
      <w:lang w:eastAsia="en-US"/>
    </w:rPr>
  </w:style>
  <w:style w:type="paragraph" w:customStyle="1" w:styleId="326">
    <w:name w:val="xl64"/>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327">
    <w:name w:val="font16"/>
    <w:basedOn w:val="1"/>
    <w:qFormat/>
    <w:uiPriority w:val="99"/>
    <w:pPr>
      <w:widowControl/>
      <w:spacing w:before="100" w:beforeAutospacing="1" w:after="100" w:afterAutospacing="1"/>
      <w:jc w:val="left"/>
    </w:pPr>
    <w:rPr>
      <w:rFonts w:ascii="宋体" w:hAnsi="宋体" w:cs="宋体"/>
      <w:kern w:val="0"/>
      <w:sz w:val="20"/>
      <w:szCs w:val="20"/>
    </w:rPr>
  </w:style>
  <w:style w:type="paragraph" w:customStyle="1" w:styleId="328">
    <w:name w:val="xl26"/>
    <w:basedOn w:val="1"/>
    <w:qFormat/>
    <w:uiPriority w:val="99"/>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cs="Arial Unicode MS"/>
      <w:kern w:val="0"/>
      <w:sz w:val="16"/>
      <w:szCs w:val="16"/>
    </w:rPr>
  </w:style>
  <w:style w:type="paragraph" w:customStyle="1" w:styleId="329">
    <w:name w:val="mayus"/>
    <w:basedOn w:val="1"/>
    <w:qFormat/>
    <w:uiPriority w:val="99"/>
    <w:pPr>
      <w:widowControl/>
      <w:spacing w:before="120" w:line="460" w:lineRule="exact"/>
      <w:ind w:firstLine="560" w:firstLineChars="200"/>
    </w:pPr>
    <w:rPr>
      <w:rFonts w:ascii="Arial Narrow" w:hAnsi="Arial Narrow" w:cs="Arial Narrow"/>
      <w:kern w:val="0"/>
      <w:sz w:val="22"/>
      <w:szCs w:val="22"/>
    </w:rPr>
  </w:style>
  <w:style w:type="paragraph" w:customStyle="1" w:styleId="330">
    <w:name w:val="样式 样式24 +"/>
    <w:basedOn w:val="1"/>
    <w:qFormat/>
    <w:uiPriority w:val="99"/>
    <w:pPr>
      <w:spacing w:line="300" w:lineRule="exact"/>
      <w:ind w:left="-120" w:leftChars="-50" w:right="-120" w:rightChars="-50"/>
      <w:jc w:val="center"/>
    </w:pPr>
    <w:rPr>
      <w:rFonts w:eastAsia="华文中宋"/>
      <w:kern w:val="0"/>
    </w:rPr>
  </w:style>
  <w:style w:type="paragraph" w:customStyle="1" w:styleId="331">
    <w:name w:val="纯文本1"/>
    <w:basedOn w:val="1"/>
    <w:qFormat/>
    <w:uiPriority w:val="99"/>
    <w:pPr>
      <w:adjustRightInd w:val="0"/>
      <w:spacing w:line="480" w:lineRule="exact"/>
      <w:ind w:left="1134" w:right="-108" w:hanging="1134"/>
      <w:textAlignment w:val="baseline"/>
    </w:pPr>
    <w:rPr>
      <w:rFonts w:ascii="宋体" w:hAnsi="Courier New" w:cs="宋体"/>
      <w:sz w:val="24"/>
      <w:szCs w:val="24"/>
    </w:rPr>
  </w:style>
  <w:style w:type="paragraph" w:customStyle="1" w:styleId="332">
    <w:name w:val="CM18"/>
    <w:basedOn w:val="2"/>
    <w:next w:val="2"/>
    <w:qFormat/>
    <w:uiPriority w:val="99"/>
    <w:pPr>
      <w:spacing w:line="468" w:lineRule="atLeast"/>
    </w:pPr>
    <w:rPr>
      <w:color w:val="auto"/>
    </w:rPr>
  </w:style>
  <w:style w:type="paragraph" w:customStyle="1" w:styleId="333">
    <w:name w:val="xl22"/>
    <w:basedOn w:val="1"/>
    <w:qFormat/>
    <w:uiPriority w:val="99"/>
    <w:pPr>
      <w:widowControl/>
      <w:spacing w:before="100" w:beforeAutospacing="1" w:after="100" w:afterAutospacing="1"/>
      <w:jc w:val="center"/>
      <w:textAlignment w:val="center"/>
    </w:pPr>
    <w:rPr>
      <w:rFonts w:ascii="Arial Unicode MS" w:hAnsi="Arial Unicode MS" w:cs="Arial Unicode MS"/>
      <w:kern w:val="0"/>
      <w:sz w:val="20"/>
      <w:szCs w:val="20"/>
    </w:rPr>
  </w:style>
  <w:style w:type="paragraph" w:customStyle="1" w:styleId="334">
    <w:name w:val="样式7"/>
    <w:basedOn w:val="1"/>
    <w:qFormat/>
    <w:uiPriority w:val="99"/>
    <w:pPr>
      <w:keepNext/>
      <w:adjustRightInd w:val="0"/>
      <w:spacing w:line="480" w:lineRule="exact"/>
      <w:ind w:firstLine="510"/>
      <w:textAlignment w:val="baseline"/>
    </w:pPr>
    <w:rPr>
      <w:b/>
      <w:bCs/>
      <w:spacing w:val="2"/>
      <w:kern w:val="0"/>
      <w:sz w:val="24"/>
      <w:szCs w:val="24"/>
    </w:rPr>
  </w:style>
  <w:style w:type="paragraph" w:customStyle="1" w:styleId="335">
    <w:name w:val="p0"/>
    <w:basedOn w:val="1"/>
    <w:qFormat/>
    <w:uiPriority w:val="99"/>
    <w:pPr>
      <w:widowControl/>
      <w:spacing w:line="240" w:lineRule="atLeast"/>
    </w:pPr>
    <w:rPr>
      <w:kern w:val="0"/>
      <w:sz w:val="32"/>
      <w:szCs w:val="32"/>
    </w:rPr>
  </w:style>
  <w:style w:type="paragraph" w:customStyle="1" w:styleId="336">
    <w:name w:val="列出段落3"/>
    <w:basedOn w:val="1"/>
    <w:qFormat/>
    <w:uiPriority w:val="99"/>
    <w:pPr>
      <w:spacing w:line="360" w:lineRule="auto"/>
      <w:ind w:firstLine="420" w:firstLineChars="200"/>
    </w:pPr>
  </w:style>
  <w:style w:type="paragraph" w:customStyle="1" w:styleId="337">
    <w:name w:val="a"/>
    <w:basedOn w:val="1"/>
    <w:qFormat/>
    <w:uiPriority w:val="99"/>
    <w:pPr>
      <w:widowControl/>
      <w:spacing w:before="100" w:beforeAutospacing="1" w:after="100" w:afterAutospacing="1"/>
      <w:jc w:val="left"/>
    </w:pPr>
    <w:rPr>
      <w:rFonts w:ascii="宋体" w:hAnsi="宋体" w:cs="宋体"/>
      <w:kern w:val="0"/>
      <w:sz w:val="24"/>
      <w:szCs w:val="24"/>
    </w:rPr>
  </w:style>
  <w:style w:type="paragraph" w:customStyle="1" w:styleId="338">
    <w:name w:val="x"/>
    <w:basedOn w:val="1"/>
    <w:qFormat/>
    <w:uiPriority w:val="99"/>
    <w:pPr>
      <w:ind w:firstLine="560" w:firstLineChars="200"/>
    </w:pPr>
    <w:rPr>
      <w:rFonts w:ascii="宋体" w:hAnsi="宋体" w:cs="宋体"/>
      <w:kern w:val="0"/>
      <w:sz w:val="28"/>
      <w:szCs w:val="28"/>
    </w:rPr>
  </w:style>
  <w:style w:type="paragraph" w:customStyle="1" w:styleId="339">
    <w:name w:val="xl34"/>
    <w:basedOn w:val="1"/>
    <w:qFormat/>
    <w:uiPriority w:val="99"/>
    <w:pPr>
      <w:widowControl/>
      <w:pBdr>
        <w:top w:val="single" w:color="auto" w:sz="8" w:space="0"/>
        <w:left w:val="single" w:color="auto" w:sz="8"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8"/>
      <w:szCs w:val="28"/>
    </w:rPr>
  </w:style>
  <w:style w:type="paragraph" w:customStyle="1" w:styleId="340">
    <w:name w:val="Char Char Char Char Char Char"/>
    <w:basedOn w:val="1"/>
    <w:qFormat/>
    <w:uiPriority w:val="99"/>
  </w:style>
  <w:style w:type="paragraph" w:customStyle="1" w:styleId="341">
    <w:name w:val="style121"/>
    <w:basedOn w:val="1"/>
    <w:qFormat/>
    <w:uiPriority w:val="99"/>
    <w:pPr>
      <w:widowControl/>
      <w:spacing w:before="100" w:beforeAutospacing="1" w:after="100" w:afterAutospacing="1"/>
      <w:jc w:val="left"/>
    </w:pPr>
    <w:rPr>
      <w:rFonts w:ascii="宋体" w:hAnsi="宋体" w:cs="宋体"/>
      <w:kern w:val="0"/>
      <w:sz w:val="24"/>
      <w:szCs w:val="24"/>
    </w:rPr>
  </w:style>
  <w:style w:type="paragraph" w:customStyle="1" w:styleId="342">
    <w:name w:val="样式 洋正 + 左侧:  0.85 厘米 首行缩进:  2 字符"/>
    <w:basedOn w:val="168"/>
    <w:qFormat/>
    <w:uiPriority w:val="99"/>
    <w:pPr>
      <w:keepLines/>
      <w:ind w:firstLine="480"/>
    </w:pPr>
  </w:style>
  <w:style w:type="paragraph" w:customStyle="1" w:styleId="343">
    <w:name w:val="样式 样式 (中文) 黑体 三号 加粗 黑色 段前: 23.4 磅 段后: 7.8 磅 行距: 固定值 24 磅 + 加粗"/>
    <w:basedOn w:val="344"/>
    <w:next w:val="21"/>
    <w:qFormat/>
    <w:uiPriority w:val="99"/>
    <w:rPr>
      <w:b/>
      <w:bCs/>
    </w:rPr>
  </w:style>
  <w:style w:type="paragraph" w:customStyle="1" w:styleId="344">
    <w:name w:val="样式 (中文) 黑体 三号 加粗 黑色 段前: 23.4 磅 段后: 7.8 磅 行距: 固定值 24 磅"/>
    <w:basedOn w:val="3"/>
    <w:next w:val="3"/>
    <w:qFormat/>
    <w:uiPriority w:val="99"/>
    <w:pPr>
      <w:adjustRightInd/>
      <w:spacing w:before="468" w:after="156" w:line="480" w:lineRule="exact"/>
      <w:jc w:val="both"/>
      <w:textAlignment w:val="auto"/>
    </w:pPr>
    <w:rPr>
      <w:kern w:val="44"/>
      <w:sz w:val="32"/>
      <w:szCs w:val="32"/>
    </w:rPr>
  </w:style>
  <w:style w:type="paragraph" w:customStyle="1" w:styleId="345">
    <w:name w:val="样式 标题 4项 + 首行缩进:  2 字符"/>
    <w:basedOn w:val="6"/>
    <w:qFormat/>
    <w:uiPriority w:val="99"/>
    <w:pPr>
      <w:keepNext w:val="0"/>
      <w:adjustRightInd w:val="0"/>
      <w:spacing w:before="0" w:after="0" w:line="500" w:lineRule="exact"/>
      <w:jc w:val="left"/>
      <w:textAlignment w:val="baseline"/>
    </w:pPr>
    <w:rPr>
      <w:rFonts w:ascii="Times New Roman" w:hAnsi="Times New Roman" w:cs="Times New Roman"/>
      <w:spacing w:val="4"/>
      <w:kern w:val="28"/>
      <w:sz w:val="24"/>
      <w:szCs w:val="24"/>
    </w:rPr>
  </w:style>
  <w:style w:type="paragraph" w:customStyle="1" w:styleId="346">
    <w:name w:val="Tit 3 doc tec"/>
    <w:basedOn w:val="3"/>
    <w:next w:val="1"/>
    <w:qFormat/>
    <w:uiPriority w:val="99"/>
    <w:pPr>
      <w:keepLines w:val="0"/>
      <w:widowControl/>
      <w:tabs>
        <w:tab w:val="left" w:pos="780"/>
      </w:tabs>
      <w:adjustRightInd/>
      <w:spacing w:line="460" w:lineRule="exact"/>
      <w:ind w:left="780" w:leftChars="200" w:hanging="360" w:hangingChars="200"/>
      <w:jc w:val="both"/>
      <w:textAlignment w:val="auto"/>
    </w:pPr>
    <w:rPr>
      <w:rFonts w:ascii="Arial" w:hAnsi="Arial" w:eastAsia="宋体" w:cs="Arial"/>
      <w:b/>
      <w:bCs/>
      <w:caps/>
      <w:kern w:val="28"/>
      <w:sz w:val="16"/>
      <w:szCs w:val="16"/>
      <w:lang w:val="en-AU" w:eastAsia="es-ES"/>
    </w:rPr>
  </w:style>
  <w:style w:type="paragraph" w:customStyle="1" w:styleId="347">
    <w:name w:val="样式 宋体 小四 加粗 行距: 1.5 倍行距"/>
    <w:basedOn w:val="1"/>
    <w:qFormat/>
    <w:uiPriority w:val="99"/>
    <w:pPr>
      <w:spacing w:line="360" w:lineRule="auto"/>
    </w:pPr>
    <w:rPr>
      <w:rFonts w:ascii="宋体" w:hAnsi="宋体" w:cs="宋体"/>
      <w:b/>
      <w:bCs/>
      <w:sz w:val="24"/>
      <w:szCs w:val="24"/>
    </w:rPr>
  </w:style>
  <w:style w:type="paragraph" w:customStyle="1" w:styleId="348">
    <w:name w:val="Char Char Char Char Char Char Char Char Char Char Char Char1 Char"/>
    <w:basedOn w:val="1"/>
    <w:qFormat/>
    <w:uiPriority w:val="99"/>
    <w:pPr>
      <w:widowControl/>
      <w:jc w:val="left"/>
    </w:pPr>
    <w:rPr>
      <w:rFonts w:ascii="宋体" w:hAnsi="宋体" w:cs="宋体"/>
      <w:kern w:val="0"/>
      <w:sz w:val="24"/>
      <w:szCs w:val="24"/>
    </w:rPr>
  </w:style>
  <w:style w:type="paragraph" w:customStyle="1" w:styleId="349">
    <w:name w:val="xl69"/>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0"/>
      <w:szCs w:val="20"/>
    </w:rPr>
  </w:style>
  <w:style w:type="paragraph" w:customStyle="1" w:styleId="350">
    <w:name w:val="xl53"/>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351">
    <w:name w:val="font18"/>
    <w:basedOn w:val="1"/>
    <w:qFormat/>
    <w:uiPriority w:val="99"/>
    <w:pPr>
      <w:widowControl/>
      <w:spacing w:before="100" w:beforeAutospacing="1" w:after="100" w:afterAutospacing="1"/>
      <w:jc w:val="left"/>
    </w:pPr>
    <w:rPr>
      <w:rFonts w:ascii="宋体" w:hAnsi="宋体" w:cs="宋体"/>
      <w:kern w:val="0"/>
      <w:sz w:val="20"/>
      <w:szCs w:val="20"/>
    </w:rPr>
  </w:style>
  <w:style w:type="paragraph" w:customStyle="1" w:styleId="352">
    <w:name w:val="b"/>
    <w:next w:val="353"/>
    <w:qFormat/>
    <w:uiPriority w:val="99"/>
    <w:pPr>
      <w:spacing w:beforeLines="100" w:afterLines="50"/>
      <w:outlineLvl w:val="0"/>
    </w:pPr>
    <w:rPr>
      <w:rFonts w:ascii="Times New Roman" w:hAnsi="Times New Roman" w:eastAsia="宋体" w:cs="Times New Roman"/>
      <w:b/>
      <w:bCs/>
      <w:color w:val="000000"/>
      <w:kern w:val="2"/>
      <w:sz w:val="32"/>
      <w:szCs w:val="32"/>
      <w:lang w:val="en-US" w:eastAsia="zh-CN" w:bidi="ar-SA"/>
    </w:rPr>
  </w:style>
  <w:style w:type="paragraph" w:customStyle="1" w:styleId="353">
    <w:name w:val="0"/>
    <w:basedOn w:val="173"/>
    <w:qFormat/>
    <w:uiPriority w:val="99"/>
  </w:style>
  <w:style w:type="paragraph" w:customStyle="1" w:styleId="354">
    <w:name w:val="Char Char Char Char Char Char Char"/>
    <w:basedOn w:val="1"/>
    <w:qFormat/>
    <w:uiPriority w:val="99"/>
    <w:pPr>
      <w:snapToGrid w:val="0"/>
      <w:spacing w:line="420" w:lineRule="exact"/>
      <w:ind w:firstLine="480" w:firstLineChars="200"/>
    </w:pPr>
    <w:rPr>
      <w:sz w:val="24"/>
      <w:szCs w:val="24"/>
    </w:rPr>
  </w:style>
  <w:style w:type="paragraph" w:customStyle="1" w:styleId="355">
    <w:name w:val="xl108"/>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356">
    <w:name w:val="样式 标题 2 + (西文) 宋体"/>
    <w:basedOn w:val="4"/>
    <w:qFormat/>
    <w:uiPriority w:val="99"/>
    <w:pPr>
      <w:adjustRightInd w:val="0"/>
      <w:spacing w:beforeLines="50" w:afterLines="50" w:line="240" w:lineRule="auto"/>
      <w:jc w:val="both"/>
      <w:textAlignment w:val="baseline"/>
    </w:pPr>
    <w:rPr>
      <w:rFonts w:ascii="Times New Roman" w:hAnsi="Times New Roman" w:eastAsia="黑体" w:cs="Times New Roman"/>
      <w:sz w:val="24"/>
      <w:szCs w:val="24"/>
    </w:rPr>
  </w:style>
  <w:style w:type="paragraph" w:customStyle="1" w:styleId="357">
    <w:name w:val="bbb"/>
    <w:basedOn w:val="173"/>
    <w:qFormat/>
    <w:uiPriority w:val="99"/>
    <w:pPr>
      <w:spacing w:beforeLines="100" w:afterLines="50" w:line="240" w:lineRule="auto"/>
      <w:ind w:firstLine="0" w:firstLineChars="0"/>
      <w:outlineLvl w:val="2"/>
    </w:pPr>
    <w:rPr>
      <w:b/>
      <w:bCs/>
      <w:sz w:val="28"/>
      <w:szCs w:val="28"/>
    </w:rPr>
  </w:style>
  <w:style w:type="paragraph" w:customStyle="1" w:styleId="358">
    <w:name w:val="font20"/>
    <w:basedOn w:val="1"/>
    <w:qFormat/>
    <w:uiPriority w:val="99"/>
    <w:pPr>
      <w:widowControl/>
      <w:spacing w:before="100" w:beforeAutospacing="1" w:after="100" w:afterAutospacing="1"/>
      <w:jc w:val="left"/>
    </w:pPr>
    <w:rPr>
      <w:rFonts w:ascii="宋体" w:hAnsi="宋体" w:cs="宋体"/>
      <w:kern w:val="0"/>
      <w:sz w:val="20"/>
      <w:szCs w:val="20"/>
    </w:rPr>
  </w:style>
  <w:style w:type="paragraph" w:customStyle="1" w:styleId="359">
    <w:name w:val="content1"/>
    <w:next w:val="164"/>
    <w:qFormat/>
    <w:uiPriority w:val="99"/>
    <w:pPr>
      <w:adjustRightInd w:val="0"/>
      <w:snapToGrid w:val="0"/>
      <w:spacing w:line="360" w:lineRule="auto"/>
      <w:ind w:firstLine="420" w:firstLineChars="200"/>
      <w:jc w:val="both"/>
    </w:pPr>
    <w:rPr>
      <w:rFonts w:ascii="Times New Roman" w:hAnsi="Times New Roman" w:eastAsia="宋体" w:cs="Times New Roman"/>
      <w:color w:val="000000"/>
      <w:kern w:val="2"/>
      <w:sz w:val="24"/>
      <w:szCs w:val="24"/>
      <w:lang w:val="en-US" w:eastAsia="zh-CN" w:bidi="ar-SA"/>
    </w:rPr>
  </w:style>
  <w:style w:type="paragraph" w:customStyle="1" w:styleId="360">
    <w:name w:val="样式 样式 首行缩进:  2 字符 + 首行缩进:  2 字符"/>
    <w:basedOn w:val="361"/>
    <w:qFormat/>
    <w:uiPriority w:val="99"/>
    <w:pPr>
      <w:autoSpaceDE w:val="0"/>
      <w:autoSpaceDN w:val="0"/>
      <w:adjustRightInd w:val="0"/>
      <w:snapToGrid w:val="0"/>
      <w:spacing w:line="360" w:lineRule="auto"/>
      <w:ind w:firstLine="420"/>
    </w:pPr>
    <w:rPr>
      <w:kern w:val="0"/>
      <w:sz w:val="28"/>
      <w:szCs w:val="28"/>
    </w:rPr>
  </w:style>
  <w:style w:type="paragraph" w:customStyle="1" w:styleId="361">
    <w:name w:val="样式 首行缩进:  2 字符"/>
    <w:basedOn w:val="1"/>
    <w:qFormat/>
    <w:uiPriority w:val="99"/>
    <w:pPr>
      <w:spacing w:line="440" w:lineRule="exact"/>
      <w:ind w:firstLine="200" w:firstLineChars="200"/>
    </w:pPr>
    <w:rPr>
      <w:sz w:val="24"/>
      <w:szCs w:val="24"/>
    </w:rPr>
  </w:style>
  <w:style w:type="paragraph" w:customStyle="1" w:styleId="362">
    <w:name w:val="xl48"/>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363">
    <w:name w:val="初设二"/>
    <w:basedOn w:val="1"/>
    <w:qFormat/>
    <w:uiPriority w:val="99"/>
    <w:pPr>
      <w:spacing w:line="520" w:lineRule="exact"/>
      <w:outlineLvl w:val="1"/>
    </w:pPr>
    <w:rPr>
      <w:rFonts w:hAnsi="宋体"/>
      <w:sz w:val="24"/>
      <w:szCs w:val="24"/>
    </w:rPr>
  </w:style>
  <w:style w:type="paragraph" w:customStyle="1" w:styleId="364">
    <w:name w:val="xl30"/>
    <w:basedOn w:val="1"/>
    <w:qFormat/>
    <w:uiPriority w:val="99"/>
    <w:pPr>
      <w:widowControl/>
      <w:pBdr>
        <w:bottom w:val="single" w:color="auto" w:sz="4" w:space="0"/>
      </w:pBdr>
      <w:spacing w:before="100" w:beforeAutospacing="1" w:after="100" w:afterAutospacing="1"/>
      <w:jc w:val="left"/>
      <w:textAlignment w:val="center"/>
    </w:pPr>
    <w:rPr>
      <w:rFonts w:ascii="Arial Unicode MS" w:hAnsi="Arial Unicode MS" w:cs="Arial Unicode MS"/>
      <w:kern w:val="0"/>
    </w:rPr>
  </w:style>
  <w:style w:type="paragraph" w:customStyle="1" w:styleId="365">
    <w:name w:val="Table Paragraph"/>
    <w:basedOn w:val="1"/>
    <w:qFormat/>
    <w:uiPriority w:val="99"/>
    <w:pPr>
      <w:widowControl/>
      <w:jc w:val="left"/>
    </w:pPr>
    <w:rPr>
      <w:rFonts w:ascii="Calibri" w:hAnsi="Calibri" w:cs="Calibri"/>
      <w:kern w:val="0"/>
      <w:sz w:val="22"/>
      <w:szCs w:val="22"/>
      <w:lang w:eastAsia="en-US"/>
    </w:rPr>
  </w:style>
  <w:style w:type="paragraph" w:customStyle="1" w:styleId="366">
    <w:name w:val="font5"/>
    <w:basedOn w:val="1"/>
    <w:qFormat/>
    <w:uiPriority w:val="99"/>
    <w:pPr>
      <w:widowControl/>
      <w:spacing w:before="100" w:beforeAutospacing="1" w:after="100" w:afterAutospacing="1"/>
      <w:jc w:val="left"/>
    </w:pPr>
    <w:rPr>
      <w:rFonts w:ascii="宋体" w:hAnsi="宋体" w:cs="宋体"/>
      <w:kern w:val="0"/>
      <w:sz w:val="18"/>
      <w:szCs w:val="18"/>
    </w:rPr>
  </w:style>
  <w:style w:type="paragraph" w:customStyle="1" w:styleId="367">
    <w:name w:val="样式 样式 标题 2 + 段后: 0.5 行 + 段后: 0.5 行"/>
    <w:basedOn w:val="368"/>
    <w:qFormat/>
    <w:uiPriority w:val="99"/>
    <w:pPr>
      <w:tabs>
        <w:tab w:val="left" w:pos="2100"/>
      </w:tabs>
      <w:spacing w:after="120"/>
      <w:ind w:left="578" w:hanging="578" w:hangingChars="192"/>
    </w:pPr>
  </w:style>
  <w:style w:type="paragraph" w:customStyle="1" w:styleId="368">
    <w:name w:val="样式 标题 2 + 段后: 0.5 行"/>
    <w:basedOn w:val="4"/>
    <w:qFormat/>
    <w:uiPriority w:val="99"/>
    <w:pPr>
      <w:keepLines w:val="0"/>
      <w:widowControl/>
      <w:tabs>
        <w:tab w:val="left" w:pos="2100"/>
      </w:tabs>
      <w:spacing w:beforeLines="50" w:afterLines="50" w:line="460" w:lineRule="exact"/>
      <w:ind w:left="2100" w:hanging="420" w:firstLineChars="200"/>
      <w:jc w:val="both"/>
    </w:pPr>
    <w:rPr>
      <w:rFonts w:ascii="Times New Roman" w:hAnsi="Times New Roman" w:cs="Times New Roman"/>
      <w:caps/>
      <w:kern w:val="0"/>
      <w:sz w:val="30"/>
      <w:szCs w:val="30"/>
      <w:lang w:eastAsia="en-US"/>
    </w:rPr>
  </w:style>
  <w:style w:type="paragraph" w:customStyle="1" w:styleId="369">
    <w:name w:val="xl44"/>
    <w:basedOn w:val="1"/>
    <w:qFormat/>
    <w:uiPriority w:val="99"/>
    <w:pPr>
      <w:widowControl/>
      <w:pBdr>
        <w:top w:val="single" w:color="auto" w:sz="4" w:space="0"/>
        <w:left w:val="single" w:color="auto" w:sz="4" w:space="0"/>
        <w:right w:val="single" w:color="auto" w:sz="4" w:space="0"/>
      </w:pBdr>
      <w:spacing w:before="100" w:beforeAutospacing="1" w:after="100" w:afterAutospacing="1"/>
      <w:jc w:val="center"/>
    </w:pPr>
    <w:rPr>
      <w:kern w:val="0"/>
      <w:sz w:val="18"/>
      <w:szCs w:val="18"/>
    </w:rPr>
  </w:style>
  <w:style w:type="paragraph" w:customStyle="1" w:styleId="370">
    <w:name w:val="xl389"/>
    <w:basedOn w:val="1"/>
    <w:qFormat/>
    <w:uiPriority w:val="99"/>
    <w:pPr>
      <w:widowControl/>
      <w:pBdr>
        <w:left w:val="single" w:color="auto" w:sz="4" w:space="0"/>
        <w:bottom w:val="single" w:color="auto" w:sz="4" w:space="0"/>
      </w:pBdr>
      <w:spacing w:before="100" w:beforeAutospacing="1" w:after="100" w:afterAutospacing="1"/>
      <w:jc w:val="center"/>
      <w:textAlignment w:val="center"/>
    </w:pPr>
    <w:rPr>
      <w:rFonts w:ascii="宋体" w:hAnsi="宋体" w:cs="宋体"/>
      <w:kern w:val="0"/>
      <w:sz w:val="24"/>
      <w:szCs w:val="24"/>
    </w:rPr>
  </w:style>
  <w:style w:type="paragraph" w:customStyle="1" w:styleId="371">
    <w:name w:val="font17"/>
    <w:basedOn w:val="1"/>
    <w:qFormat/>
    <w:uiPriority w:val="99"/>
    <w:pPr>
      <w:widowControl/>
      <w:spacing w:before="100" w:beforeAutospacing="1" w:after="100" w:afterAutospacing="1"/>
      <w:jc w:val="left"/>
    </w:pPr>
    <w:rPr>
      <w:rFonts w:ascii="宋体" w:hAnsi="宋体" w:cs="宋体"/>
      <w:kern w:val="0"/>
      <w:sz w:val="20"/>
      <w:szCs w:val="20"/>
    </w:rPr>
  </w:style>
  <w:style w:type="paragraph" w:customStyle="1" w:styleId="372">
    <w:name w:val="Char6"/>
    <w:basedOn w:val="1"/>
    <w:qFormat/>
    <w:uiPriority w:val="99"/>
    <w:pPr>
      <w:adjustRightInd w:val="0"/>
      <w:spacing w:line="360" w:lineRule="auto"/>
    </w:pPr>
    <w:rPr>
      <w:kern w:val="0"/>
      <w:sz w:val="24"/>
      <w:szCs w:val="24"/>
    </w:rPr>
  </w:style>
  <w:style w:type="paragraph" w:customStyle="1" w:styleId="373">
    <w:name w:val="xl49"/>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2"/>
      <w:szCs w:val="22"/>
    </w:rPr>
  </w:style>
  <w:style w:type="paragraph" w:customStyle="1" w:styleId="374">
    <w:name w:val="样式 标题 3标题 3 Char Char条标题1.1.1 + 首行缩进:  0.99 厘米"/>
    <w:basedOn w:val="5"/>
    <w:qFormat/>
    <w:uiPriority w:val="99"/>
    <w:pPr>
      <w:adjustRightInd w:val="0"/>
      <w:snapToGrid w:val="0"/>
      <w:spacing w:before="40" w:after="40" w:line="440" w:lineRule="exact"/>
      <w:ind w:firstLine="200" w:firstLineChars="200"/>
    </w:pPr>
    <w:rPr>
      <w:kern w:val="0"/>
      <w:sz w:val="24"/>
      <w:szCs w:val="24"/>
    </w:rPr>
  </w:style>
  <w:style w:type="paragraph" w:customStyle="1" w:styleId="375">
    <w:name w:val="样式 标题 1 + 左侧:  0 厘米 首行缩进:  0 厘米 段前: 0 磅"/>
    <w:basedOn w:val="3"/>
    <w:qFormat/>
    <w:uiPriority w:val="99"/>
    <w:pPr>
      <w:keepLines w:val="0"/>
      <w:widowControl/>
      <w:tabs>
        <w:tab w:val="left" w:pos="340"/>
      </w:tabs>
      <w:adjustRightInd/>
      <w:spacing w:after="60" w:line="460" w:lineRule="exact"/>
      <w:jc w:val="both"/>
      <w:textAlignment w:val="auto"/>
    </w:pPr>
    <w:rPr>
      <w:rFonts w:eastAsia="宋体"/>
      <w:b/>
      <w:bCs/>
      <w:caps/>
      <w:kern w:val="28"/>
      <w:sz w:val="32"/>
      <w:szCs w:val="32"/>
    </w:rPr>
  </w:style>
  <w:style w:type="paragraph" w:customStyle="1" w:styleId="376">
    <w:name w:val="样式 正文（首行缩进两字） + 首行缩进:  2 字符"/>
    <w:basedOn w:val="14"/>
    <w:qFormat/>
    <w:uiPriority w:val="99"/>
    <w:pPr>
      <w:spacing w:line="440" w:lineRule="atLeast"/>
      <w:ind w:left="420" w:leftChars="100" w:right="100" w:rightChars="100" w:firstLine="480"/>
    </w:pPr>
    <w:rPr>
      <w:sz w:val="24"/>
      <w:szCs w:val="24"/>
    </w:rPr>
  </w:style>
  <w:style w:type="paragraph" w:customStyle="1" w:styleId="377">
    <w:name w:val="Tit 2 doc tec"/>
    <w:basedOn w:val="378"/>
    <w:next w:val="1"/>
    <w:qFormat/>
    <w:uiPriority w:val="99"/>
    <w:pPr>
      <w:tabs>
        <w:tab w:val="left" w:pos="360"/>
        <w:tab w:val="left" w:pos="780"/>
      </w:tabs>
      <w:ind w:left="780" w:hanging="360"/>
      <w:outlineLvl w:val="1"/>
    </w:pPr>
    <w:rPr>
      <w:kern w:val="18"/>
      <w:sz w:val="18"/>
      <w:szCs w:val="18"/>
    </w:rPr>
  </w:style>
  <w:style w:type="paragraph" w:customStyle="1" w:styleId="378">
    <w:name w:val="Tit 1 doc tec"/>
    <w:basedOn w:val="3"/>
    <w:next w:val="1"/>
    <w:qFormat/>
    <w:uiPriority w:val="99"/>
    <w:pPr>
      <w:keepLines w:val="0"/>
      <w:widowControl/>
      <w:tabs>
        <w:tab w:val="left" w:pos="780"/>
      </w:tabs>
      <w:adjustRightInd/>
      <w:spacing w:line="460" w:lineRule="exact"/>
      <w:ind w:left="432" w:leftChars="200" w:hanging="432" w:hangingChars="200"/>
      <w:jc w:val="left"/>
      <w:textAlignment w:val="auto"/>
    </w:pPr>
    <w:rPr>
      <w:rFonts w:ascii="Arial" w:hAnsi="Arial" w:eastAsia="宋体" w:cs="Arial"/>
      <w:b/>
      <w:bCs/>
      <w:caps/>
      <w:kern w:val="28"/>
      <w:sz w:val="24"/>
      <w:szCs w:val="24"/>
      <w:lang w:val="en-AU" w:eastAsia="es-ES"/>
    </w:rPr>
  </w:style>
  <w:style w:type="paragraph" w:customStyle="1" w:styleId="379">
    <w:name w:val="Char Char Char Char4"/>
    <w:basedOn w:val="1"/>
    <w:qFormat/>
    <w:uiPriority w:val="99"/>
    <w:rPr>
      <w:sz w:val="28"/>
      <w:szCs w:val="28"/>
    </w:rPr>
  </w:style>
  <w:style w:type="paragraph" w:customStyle="1" w:styleId="380">
    <w:name w:val="表格正文居中"/>
    <w:basedOn w:val="1"/>
    <w:qFormat/>
    <w:uiPriority w:val="99"/>
    <w:pPr>
      <w:spacing w:line="240" w:lineRule="atLeast"/>
      <w:jc w:val="center"/>
    </w:pPr>
    <w:rPr>
      <w:rFonts w:ascii="宋体" w:hAnsi="宋体" w:cs="宋体"/>
    </w:rPr>
  </w:style>
  <w:style w:type="paragraph" w:customStyle="1" w:styleId="381">
    <w:name w:val="xl51"/>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382">
    <w:name w:val="xl35"/>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383">
    <w:name w:val="_Style 37111"/>
    <w:next w:val="1"/>
    <w:qFormat/>
    <w:uiPriority w:val="99"/>
    <w:pPr>
      <w:widowControl w:val="0"/>
      <w:jc w:val="both"/>
    </w:pPr>
    <w:rPr>
      <w:rFonts w:ascii="Times New Roman" w:hAnsi="Times New Roman" w:eastAsia="宋体" w:cs="Times New Roman"/>
      <w:color w:val="000000"/>
      <w:kern w:val="2"/>
      <w:sz w:val="21"/>
      <w:szCs w:val="21"/>
      <w:lang w:val="en-US" w:eastAsia="zh-CN" w:bidi="ar-SA"/>
    </w:rPr>
  </w:style>
  <w:style w:type="paragraph" w:customStyle="1" w:styleId="384">
    <w:name w:val="xl76"/>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385">
    <w:name w:val="xl36"/>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FF0000"/>
      <w:kern w:val="0"/>
      <w:sz w:val="18"/>
      <w:szCs w:val="18"/>
    </w:rPr>
  </w:style>
  <w:style w:type="paragraph" w:customStyle="1" w:styleId="386">
    <w:name w:val="Char Char Char Char Char Char Char1"/>
    <w:basedOn w:val="1"/>
    <w:qFormat/>
    <w:uiPriority w:val="99"/>
    <w:pPr>
      <w:snapToGrid w:val="0"/>
      <w:spacing w:line="440" w:lineRule="atLeast"/>
    </w:pPr>
    <w:rPr>
      <w:rFonts w:ascii="宋体" w:cs="宋体"/>
      <w:sz w:val="24"/>
      <w:szCs w:val="24"/>
    </w:rPr>
  </w:style>
  <w:style w:type="paragraph" w:customStyle="1" w:styleId="387">
    <w:name w:val="xl81"/>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0"/>
      <w:szCs w:val="20"/>
    </w:rPr>
  </w:style>
  <w:style w:type="paragraph" w:customStyle="1" w:styleId="388">
    <w:name w:val="xl70"/>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389">
    <w:name w:val="xl58"/>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top"/>
    </w:pPr>
    <w:rPr>
      <w:rFonts w:ascii="宋体" w:hAnsi="宋体" w:cs="宋体"/>
      <w:kern w:val="0"/>
      <w:sz w:val="18"/>
      <w:szCs w:val="18"/>
    </w:rPr>
  </w:style>
  <w:style w:type="paragraph" w:customStyle="1" w:styleId="390">
    <w:name w:val="xl41"/>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391">
    <w:name w:val="表格1 +"/>
    <w:basedOn w:val="1"/>
    <w:qFormat/>
    <w:uiPriority w:val="99"/>
    <w:pPr>
      <w:adjustRightInd w:val="0"/>
      <w:snapToGrid w:val="0"/>
      <w:spacing w:afterLines="10" w:line="340" w:lineRule="atLeast"/>
      <w:jc w:val="center"/>
    </w:pPr>
    <w:rPr>
      <w:kern w:val="0"/>
    </w:rPr>
  </w:style>
  <w:style w:type="paragraph" w:customStyle="1" w:styleId="392">
    <w:name w:val="注脚"/>
    <w:basedOn w:val="1"/>
    <w:qFormat/>
    <w:uiPriority w:val="99"/>
    <w:pPr>
      <w:autoSpaceDE w:val="0"/>
      <w:autoSpaceDN w:val="0"/>
      <w:adjustRightInd w:val="0"/>
      <w:snapToGrid w:val="0"/>
      <w:spacing w:beforeLines="30" w:line="360" w:lineRule="auto"/>
      <w:ind w:firstLine="420" w:firstLineChars="200"/>
    </w:pPr>
    <w:rPr>
      <w:kern w:val="0"/>
    </w:rPr>
  </w:style>
  <w:style w:type="paragraph" w:customStyle="1" w:styleId="393">
    <w:name w:val="表格标题"/>
    <w:basedOn w:val="1"/>
    <w:qFormat/>
    <w:uiPriority w:val="99"/>
    <w:pPr>
      <w:spacing w:beforeLines="50"/>
      <w:jc w:val="center"/>
    </w:pPr>
    <w:rPr>
      <w:rFonts w:ascii="黑体" w:eastAsia="黑体" w:cs="黑体"/>
      <w:sz w:val="28"/>
      <w:szCs w:val="28"/>
    </w:rPr>
  </w:style>
  <w:style w:type="paragraph" w:customStyle="1" w:styleId="394">
    <w:name w:val="_Style 3711"/>
    <w:next w:val="1"/>
    <w:qFormat/>
    <w:uiPriority w:val="99"/>
    <w:pPr>
      <w:widowControl w:val="0"/>
      <w:jc w:val="both"/>
    </w:pPr>
    <w:rPr>
      <w:rFonts w:ascii="Times New Roman" w:hAnsi="Times New Roman" w:eastAsia="宋体" w:cs="Times New Roman"/>
      <w:color w:val="000000"/>
      <w:kern w:val="2"/>
      <w:sz w:val="21"/>
      <w:szCs w:val="21"/>
      <w:lang w:val="en-US" w:eastAsia="zh-CN" w:bidi="ar-SA"/>
    </w:rPr>
  </w:style>
  <w:style w:type="paragraph" w:customStyle="1" w:styleId="395">
    <w:name w:val="xl115"/>
    <w:basedOn w:val="1"/>
    <w:qFormat/>
    <w:uiPriority w:val="99"/>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2"/>
      <w:szCs w:val="22"/>
    </w:rPr>
  </w:style>
  <w:style w:type="paragraph" w:customStyle="1" w:styleId="396">
    <w:name w:val="洋图"/>
    <w:basedOn w:val="1"/>
    <w:next w:val="168"/>
    <w:qFormat/>
    <w:uiPriority w:val="99"/>
    <w:pPr>
      <w:snapToGrid w:val="0"/>
      <w:spacing w:line="360" w:lineRule="auto"/>
      <w:jc w:val="center"/>
    </w:pPr>
    <w:rPr>
      <w:sz w:val="24"/>
      <w:szCs w:val="24"/>
    </w:rPr>
  </w:style>
  <w:style w:type="paragraph" w:customStyle="1" w:styleId="397">
    <w:name w:val="样式5"/>
    <w:basedOn w:val="33"/>
    <w:qFormat/>
    <w:uiPriority w:val="99"/>
    <w:pPr>
      <w:pBdr>
        <w:top w:val="single" w:color="auto" w:sz="4" w:space="1"/>
      </w:pBdr>
      <w:jc w:val="right"/>
    </w:pPr>
  </w:style>
  <w:style w:type="paragraph" w:customStyle="1" w:styleId="398">
    <w:name w:val="样式12"/>
    <w:basedOn w:val="33"/>
    <w:qFormat/>
    <w:uiPriority w:val="99"/>
    <w:pPr>
      <w:pBdr>
        <w:top w:val="single" w:color="auto" w:sz="4" w:space="1"/>
      </w:pBdr>
      <w:jc w:val="right"/>
    </w:pPr>
  </w:style>
  <w:style w:type="paragraph" w:customStyle="1" w:styleId="399">
    <w:name w:val="样式 样式 @ + 首行缩进:  2 字符"/>
    <w:basedOn w:val="266"/>
    <w:qFormat/>
    <w:uiPriority w:val="99"/>
    <w:rPr>
      <w:rFonts w:ascii="宋体" w:cs="宋体"/>
    </w:rPr>
  </w:style>
  <w:style w:type="paragraph" w:customStyle="1" w:styleId="400">
    <w:name w:val="样式 表格 + 段后: 1.2 磅 行距: 最小值 17 磅"/>
    <w:basedOn w:val="401"/>
    <w:qFormat/>
    <w:uiPriority w:val="99"/>
    <w:pPr>
      <w:spacing w:after="24" w:line="340" w:lineRule="atLeast"/>
    </w:pPr>
  </w:style>
  <w:style w:type="paragraph" w:customStyle="1" w:styleId="401">
    <w:name w:val="表格"/>
    <w:next w:val="1"/>
    <w:qFormat/>
    <w:uiPriority w:val="99"/>
    <w:pPr>
      <w:snapToGrid w:val="0"/>
      <w:spacing w:line="300" w:lineRule="exact"/>
      <w:jc w:val="center"/>
    </w:pPr>
    <w:rPr>
      <w:rFonts w:ascii="Times New Roman" w:hAnsi="Times New Roman" w:eastAsia="宋体" w:cs="Times New Roman"/>
      <w:color w:val="000000"/>
      <w:kern w:val="2"/>
      <w:sz w:val="21"/>
      <w:szCs w:val="21"/>
      <w:lang w:val="en-US" w:eastAsia="zh-CN" w:bidi="ar-SA"/>
    </w:rPr>
  </w:style>
  <w:style w:type="paragraph" w:customStyle="1" w:styleId="402">
    <w:name w:val="表表"/>
    <w:basedOn w:val="1"/>
    <w:qFormat/>
    <w:uiPriority w:val="99"/>
    <w:rPr>
      <w:sz w:val="24"/>
      <w:szCs w:val="24"/>
    </w:rPr>
  </w:style>
  <w:style w:type="paragraph" w:customStyle="1" w:styleId="403">
    <w:name w:val="公式"/>
    <w:basedOn w:val="14"/>
    <w:qFormat/>
    <w:uiPriority w:val="99"/>
    <w:pPr>
      <w:spacing w:line="240" w:lineRule="atLeast"/>
      <w:ind w:firstLine="0" w:firstLineChars="0"/>
    </w:pPr>
    <w:rPr>
      <w:i/>
      <w:iCs/>
      <w:spacing w:val="4"/>
      <w:kern w:val="0"/>
      <w:sz w:val="24"/>
      <w:szCs w:val="24"/>
      <w:u w:val="single"/>
    </w:rPr>
  </w:style>
  <w:style w:type="paragraph" w:customStyle="1" w:styleId="404">
    <w:name w:val="xl71"/>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405">
    <w:name w:val="Char Char Char Char"/>
    <w:basedOn w:val="1"/>
    <w:qFormat/>
    <w:uiPriority w:val="99"/>
    <w:pPr>
      <w:snapToGrid w:val="0"/>
      <w:spacing w:line="440" w:lineRule="atLeast"/>
    </w:pPr>
    <w:rPr>
      <w:rFonts w:ascii="宋体" w:cs="宋体"/>
      <w:sz w:val="24"/>
      <w:szCs w:val="24"/>
    </w:rPr>
  </w:style>
  <w:style w:type="paragraph" w:customStyle="1" w:styleId="406">
    <w:name w:val="xl86"/>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0"/>
      <w:szCs w:val="20"/>
    </w:rPr>
  </w:style>
  <w:style w:type="paragraph" w:customStyle="1" w:styleId="407">
    <w:name w:val="xl113"/>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top"/>
    </w:pPr>
    <w:rPr>
      <w:rFonts w:ascii="宋体" w:hAnsi="宋体" w:cs="宋体"/>
      <w:kern w:val="0"/>
      <w:sz w:val="24"/>
      <w:szCs w:val="24"/>
    </w:rPr>
  </w:style>
  <w:style w:type="paragraph" w:customStyle="1" w:styleId="408">
    <w:name w:val="xl42"/>
    <w:basedOn w:val="1"/>
    <w:qFormat/>
    <w:uiPriority w:val="99"/>
    <w:pPr>
      <w:widowControl/>
      <w:pBdr>
        <w:top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409">
    <w:name w:val="标题1"/>
    <w:basedOn w:val="1"/>
    <w:qFormat/>
    <w:uiPriority w:val="99"/>
    <w:pPr>
      <w:autoSpaceDE w:val="0"/>
      <w:autoSpaceDN w:val="0"/>
      <w:adjustRightInd w:val="0"/>
      <w:snapToGrid w:val="0"/>
      <w:spacing w:afterLines="50" w:line="360" w:lineRule="auto"/>
      <w:ind w:firstLine="560" w:firstLineChars="200"/>
    </w:pPr>
    <w:rPr>
      <w:b/>
      <w:bCs/>
      <w:sz w:val="32"/>
      <w:szCs w:val="32"/>
      <w:lang w:val="es-ES"/>
    </w:rPr>
  </w:style>
  <w:style w:type="paragraph" w:customStyle="1" w:styleId="410">
    <w:name w:val="样式10"/>
    <w:basedOn w:val="33"/>
    <w:qFormat/>
    <w:uiPriority w:val="99"/>
    <w:pPr>
      <w:pBdr>
        <w:top w:val="single" w:color="auto" w:sz="4" w:space="1"/>
      </w:pBdr>
      <w:jc w:val="right"/>
    </w:pPr>
  </w:style>
  <w:style w:type="paragraph" w:customStyle="1" w:styleId="411">
    <w:name w:val="font15"/>
    <w:basedOn w:val="1"/>
    <w:qFormat/>
    <w:uiPriority w:val="99"/>
    <w:pPr>
      <w:widowControl/>
      <w:spacing w:before="100" w:beforeAutospacing="1" w:after="100" w:afterAutospacing="1"/>
      <w:jc w:val="left"/>
    </w:pPr>
    <w:rPr>
      <w:rFonts w:ascii="宋体" w:hAnsi="宋体" w:cs="宋体"/>
      <w:kern w:val="0"/>
      <w:sz w:val="16"/>
      <w:szCs w:val="16"/>
    </w:rPr>
  </w:style>
  <w:style w:type="paragraph" w:customStyle="1" w:styleId="412">
    <w:name w:val="xl65"/>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FF0000"/>
      <w:kern w:val="0"/>
      <w:sz w:val="20"/>
      <w:szCs w:val="20"/>
    </w:rPr>
  </w:style>
  <w:style w:type="paragraph" w:customStyle="1" w:styleId="413">
    <w:name w:val="样式 样式1 + 首行缩进:  2 字符"/>
    <w:basedOn w:val="1"/>
    <w:qFormat/>
    <w:uiPriority w:val="99"/>
    <w:pPr>
      <w:spacing w:afterLines="50" w:line="440" w:lineRule="atLeast"/>
      <w:ind w:firstLine="576" w:firstLineChars="200"/>
      <w:jc w:val="center"/>
    </w:pPr>
    <w:rPr>
      <w:spacing w:val="4"/>
      <w:sz w:val="24"/>
      <w:szCs w:val="24"/>
    </w:rPr>
  </w:style>
  <w:style w:type="paragraph" w:customStyle="1" w:styleId="414">
    <w:name w:val="xl112"/>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415">
    <w:name w:val="样式 洋3 + 左侧:  0 厘米 首行缩进:  0 厘米"/>
    <w:basedOn w:val="416"/>
    <w:qFormat/>
    <w:uiPriority w:val="99"/>
    <w:pPr>
      <w:spacing w:before="0" w:beforeAutospacing="0" w:after="0" w:afterAutospacing="0" w:line="440" w:lineRule="exact"/>
    </w:pPr>
  </w:style>
  <w:style w:type="paragraph" w:customStyle="1" w:styleId="416">
    <w:name w:val="洋3"/>
    <w:basedOn w:val="5"/>
    <w:next w:val="1"/>
    <w:qFormat/>
    <w:uiPriority w:val="99"/>
    <w:pPr>
      <w:spacing w:before="100" w:beforeAutospacing="1" w:after="100" w:afterAutospacing="1"/>
      <w:jc w:val="both"/>
    </w:pPr>
    <w:rPr>
      <w:sz w:val="24"/>
      <w:szCs w:val="24"/>
    </w:rPr>
  </w:style>
  <w:style w:type="paragraph" w:customStyle="1" w:styleId="417">
    <w:name w:val="Char Char Char Char Char Char Char Char Char Char Char Char Char"/>
    <w:basedOn w:val="1"/>
    <w:qFormat/>
    <w:uiPriority w:val="99"/>
    <w:pPr>
      <w:adjustRightInd w:val="0"/>
      <w:snapToGrid w:val="0"/>
      <w:spacing w:line="480" w:lineRule="exact"/>
      <w:ind w:firstLine="200" w:firstLineChars="200"/>
    </w:pPr>
    <w:rPr>
      <w:sz w:val="24"/>
      <w:szCs w:val="24"/>
    </w:rPr>
  </w:style>
  <w:style w:type="paragraph" w:customStyle="1" w:styleId="418">
    <w:name w:val="Char Char Char Char Char Char1"/>
    <w:basedOn w:val="1"/>
    <w:qFormat/>
    <w:uiPriority w:val="99"/>
  </w:style>
  <w:style w:type="paragraph" w:customStyle="1" w:styleId="419">
    <w:name w:val="Char Char Char Char2"/>
    <w:basedOn w:val="1"/>
    <w:qFormat/>
    <w:uiPriority w:val="99"/>
    <w:pPr>
      <w:snapToGrid w:val="0"/>
      <w:spacing w:line="440" w:lineRule="atLeast"/>
    </w:pPr>
    <w:rPr>
      <w:rFonts w:ascii="宋体" w:cs="宋体"/>
      <w:sz w:val="24"/>
      <w:szCs w:val="24"/>
    </w:rPr>
  </w:style>
  <w:style w:type="paragraph" w:customStyle="1" w:styleId="420">
    <w:name w:val="xl43"/>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421">
    <w:name w:val="xl96"/>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422">
    <w:name w:val="正文20"/>
    <w:basedOn w:val="14"/>
    <w:qFormat/>
    <w:uiPriority w:val="99"/>
    <w:pPr>
      <w:spacing w:before="60" w:after="60" w:line="400" w:lineRule="exact"/>
      <w:ind w:firstLine="482" w:firstLineChars="0"/>
    </w:pPr>
    <w:rPr>
      <w:spacing w:val="4"/>
      <w:kern w:val="0"/>
      <w:sz w:val="28"/>
      <w:szCs w:val="28"/>
    </w:rPr>
  </w:style>
  <w:style w:type="paragraph" w:customStyle="1" w:styleId="423">
    <w:name w:val="xl60"/>
    <w:basedOn w:val="1"/>
    <w:qFormat/>
    <w:uiPriority w:val="99"/>
    <w:pPr>
      <w:widowControl/>
      <w:spacing w:before="100" w:beforeAutospacing="1" w:after="100" w:afterAutospacing="1"/>
      <w:jc w:val="center"/>
    </w:pPr>
    <w:rPr>
      <w:rFonts w:ascii="宋体" w:hAnsi="宋体" w:cs="宋体"/>
      <w:kern w:val="0"/>
      <w:sz w:val="18"/>
      <w:szCs w:val="18"/>
    </w:rPr>
  </w:style>
  <w:style w:type="paragraph" w:customStyle="1" w:styleId="424">
    <w:name w:val="xl45"/>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0"/>
      <w:szCs w:val="20"/>
    </w:rPr>
  </w:style>
  <w:style w:type="paragraph" w:customStyle="1" w:styleId="425">
    <w:name w:val="xl120"/>
    <w:basedOn w:val="1"/>
    <w:qFormat/>
    <w:uiPriority w:val="99"/>
    <w:pPr>
      <w:widowControl/>
      <w:pBdr>
        <w:top w:val="single" w:color="auto" w:sz="4" w:space="0"/>
        <w:left w:val="single" w:color="auto" w:sz="4" w:space="0"/>
      </w:pBdr>
      <w:spacing w:before="100" w:beforeAutospacing="1" w:after="100" w:afterAutospacing="1"/>
      <w:jc w:val="center"/>
      <w:textAlignment w:val="center"/>
    </w:pPr>
    <w:rPr>
      <w:rFonts w:ascii="宋体" w:hAnsi="宋体" w:cs="宋体"/>
      <w:kern w:val="0"/>
      <w:sz w:val="40"/>
      <w:szCs w:val="40"/>
    </w:rPr>
  </w:style>
  <w:style w:type="paragraph" w:customStyle="1" w:styleId="426">
    <w:name w:val="xl33"/>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cs="Arial Unicode MS"/>
      <w:kern w:val="0"/>
      <w:sz w:val="16"/>
      <w:szCs w:val="16"/>
    </w:rPr>
  </w:style>
  <w:style w:type="paragraph" w:customStyle="1" w:styleId="427">
    <w:name w:val="样式9"/>
    <w:basedOn w:val="111"/>
    <w:qFormat/>
    <w:uiPriority w:val="99"/>
    <w:pPr>
      <w:keepLines/>
      <w:widowControl w:val="0"/>
      <w:tabs>
        <w:tab w:val="center" w:pos="4153"/>
        <w:tab w:val="right" w:pos="8306"/>
      </w:tabs>
      <w:adjustRightInd w:val="0"/>
      <w:snapToGrid/>
      <w:spacing w:before="0" w:after="0" w:line="300" w:lineRule="exact"/>
      <w:ind w:left="0"/>
      <w:jc w:val="center"/>
      <w:textAlignment w:val="baseline"/>
    </w:pPr>
    <w:rPr>
      <w:rFonts w:ascii="宋体" w:hAnsi="Arial" w:cs="宋体"/>
      <w:spacing w:val="2"/>
      <w:kern w:val="2"/>
      <w:sz w:val="21"/>
      <w:szCs w:val="21"/>
    </w:rPr>
  </w:style>
  <w:style w:type="paragraph" w:customStyle="1" w:styleId="428">
    <w:name w:val="xl72"/>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429">
    <w:name w:val="样式 三号 加粗 段后: 7.8 磅 行距: 1.5 倍行距"/>
    <w:basedOn w:val="48"/>
    <w:qFormat/>
    <w:uiPriority w:val="99"/>
    <w:pPr>
      <w:spacing w:before="0" w:beforeAutospacing="0" w:after="156" w:afterAutospacing="0" w:line="360" w:lineRule="auto"/>
      <w:ind w:firstLine="560" w:firstLineChars="200"/>
      <w:jc w:val="center"/>
      <w:outlineLvl w:val="9"/>
    </w:pPr>
    <w:rPr>
      <w:rFonts w:ascii="Times New Roman" w:hAnsi="Times New Roman" w:cs="Times New Roman"/>
      <w:b w:val="0"/>
      <w:bCs w:val="0"/>
      <w:sz w:val="32"/>
      <w:szCs w:val="32"/>
      <w:u w:val="single"/>
      <w:lang w:val="es-ES"/>
    </w:rPr>
  </w:style>
  <w:style w:type="paragraph" w:customStyle="1" w:styleId="430">
    <w:name w:val="xl37"/>
    <w:basedOn w:val="1"/>
    <w:qFormat/>
    <w:uiPriority w:val="99"/>
    <w:pPr>
      <w:widowControl/>
      <w:spacing w:before="100" w:beforeAutospacing="1" w:after="100" w:afterAutospacing="1"/>
      <w:jc w:val="left"/>
    </w:pPr>
    <w:rPr>
      <w:rFonts w:ascii="宋体" w:hAnsi="宋体" w:cs="宋体"/>
      <w:kern w:val="0"/>
      <w:sz w:val="18"/>
      <w:szCs w:val="18"/>
    </w:rPr>
  </w:style>
  <w:style w:type="paragraph" w:customStyle="1" w:styleId="431">
    <w:name w:val="样式 bb + 五号 黑色 段前: 0.5 行 段后: 0.5 行"/>
    <w:basedOn w:val="432"/>
    <w:qFormat/>
    <w:uiPriority w:val="99"/>
    <w:rPr>
      <w:sz w:val="21"/>
      <w:szCs w:val="21"/>
    </w:rPr>
  </w:style>
  <w:style w:type="paragraph" w:customStyle="1" w:styleId="432">
    <w:name w:val="bb"/>
    <w:qFormat/>
    <w:uiPriority w:val="99"/>
    <w:pPr>
      <w:spacing w:beforeLines="100" w:afterLines="50"/>
      <w:outlineLvl w:val="1"/>
    </w:pPr>
    <w:rPr>
      <w:rFonts w:ascii="Times New Roman" w:hAnsi="Times New Roman" w:eastAsia="宋体" w:cs="Times New Roman"/>
      <w:b/>
      <w:bCs/>
      <w:color w:val="000000"/>
      <w:kern w:val="2"/>
      <w:sz w:val="30"/>
      <w:szCs w:val="30"/>
      <w:lang w:val="en-US" w:eastAsia="zh-CN" w:bidi="ar-SA"/>
    </w:rPr>
  </w:style>
  <w:style w:type="paragraph" w:customStyle="1" w:styleId="433">
    <w:name w:val="font14"/>
    <w:basedOn w:val="1"/>
    <w:qFormat/>
    <w:uiPriority w:val="99"/>
    <w:pPr>
      <w:widowControl/>
      <w:spacing w:before="100" w:beforeAutospacing="1" w:after="100" w:afterAutospacing="1"/>
      <w:jc w:val="left"/>
    </w:pPr>
    <w:rPr>
      <w:rFonts w:ascii="宋体" w:hAnsi="宋体" w:cs="宋体"/>
      <w:kern w:val="0"/>
      <w:sz w:val="40"/>
      <w:szCs w:val="40"/>
    </w:rPr>
  </w:style>
  <w:style w:type="paragraph" w:customStyle="1" w:styleId="434">
    <w:name w:val="5"/>
    <w:basedOn w:val="1"/>
    <w:qFormat/>
    <w:uiPriority w:val="99"/>
    <w:pPr>
      <w:ind w:firstLine="200" w:firstLineChars="200"/>
    </w:pPr>
  </w:style>
  <w:style w:type="paragraph" w:customStyle="1" w:styleId="435">
    <w:name w:val="样式 标题 2 + 加粗 黑色1"/>
    <w:basedOn w:val="4"/>
    <w:qFormat/>
    <w:uiPriority w:val="99"/>
    <w:pPr>
      <w:keepLines w:val="0"/>
      <w:widowControl/>
      <w:overflowPunct w:val="0"/>
      <w:autoSpaceDE w:val="0"/>
      <w:autoSpaceDN w:val="0"/>
      <w:adjustRightInd w:val="0"/>
      <w:textAlignment w:val="baseline"/>
    </w:pPr>
    <w:rPr>
      <w:rFonts w:ascii="Times New Roman" w:hAnsi="Times New Roman" w:cs="Times New Roman"/>
      <w:kern w:val="0"/>
      <w:sz w:val="24"/>
      <w:szCs w:val="24"/>
    </w:rPr>
  </w:style>
  <w:style w:type="paragraph" w:customStyle="1" w:styleId="436">
    <w:name w:val="Char11"/>
    <w:basedOn w:val="1"/>
    <w:qFormat/>
    <w:uiPriority w:val="99"/>
  </w:style>
  <w:style w:type="paragraph" w:customStyle="1" w:styleId="437">
    <w:name w:val="xl119"/>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18"/>
      <w:szCs w:val="18"/>
    </w:rPr>
  </w:style>
  <w:style w:type="paragraph" w:customStyle="1" w:styleId="438">
    <w:name w:val="xl111"/>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439">
    <w:name w:val="风电小表"/>
    <w:basedOn w:val="440"/>
    <w:qFormat/>
    <w:uiPriority w:val="99"/>
    <w:pPr>
      <w:spacing w:line="220" w:lineRule="exact"/>
    </w:pPr>
    <w:rPr>
      <w:rFonts w:ascii="宋体" w:cs="宋体"/>
      <w:b w:val="0"/>
      <w:bCs w:val="0"/>
      <w:kern w:val="0"/>
    </w:rPr>
  </w:style>
  <w:style w:type="paragraph" w:customStyle="1" w:styleId="440">
    <w:name w:val="表格正文居中小五"/>
    <w:basedOn w:val="1"/>
    <w:qFormat/>
    <w:uiPriority w:val="99"/>
    <w:pPr>
      <w:jc w:val="left"/>
    </w:pPr>
    <w:rPr>
      <w:b/>
      <w:bCs/>
    </w:rPr>
  </w:style>
  <w:style w:type="paragraph" w:customStyle="1" w:styleId="441">
    <w:name w:val="表格文字"/>
    <w:basedOn w:val="1"/>
    <w:qFormat/>
    <w:uiPriority w:val="99"/>
    <w:pPr>
      <w:jc w:val="center"/>
    </w:pPr>
  </w:style>
  <w:style w:type="paragraph" w:customStyle="1" w:styleId="442">
    <w:name w:val="样式 样式 样式 标题 2 + 段后: 0.5 行 + 段后: 0.5 行 + 段后: 0.5 行"/>
    <w:basedOn w:val="367"/>
    <w:qFormat/>
    <w:uiPriority w:val="99"/>
    <w:pPr>
      <w:ind w:left="0" w:firstLine="0" w:firstLineChars="0"/>
    </w:pPr>
  </w:style>
  <w:style w:type="paragraph" w:customStyle="1" w:styleId="443">
    <w:name w:val="xl95"/>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444">
    <w:name w:val="样式 标题 3 + 首行缩进:  2 字符"/>
    <w:basedOn w:val="5"/>
    <w:qFormat/>
    <w:uiPriority w:val="99"/>
    <w:pPr>
      <w:autoSpaceDE w:val="0"/>
      <w:autoSpaceDN w:val="0"/>
      <w:adjustRightInd w:val="0"/>
      <w:snapToGrid w:val="0"/>
      <w:jc w:val="both"/>
    </w:pPr>
    <w:rPr>
      <w:rFonts w:eastAsia="黑体"/>
      <w:b w:val="0"/>
      <w:bCs w:val="0"/>
      <w:kern w:val="0"/>
    </w:rPr>
  </w:style>
  <w:style w:type="paragraph" w:customStyle="1" w:styleId="445">
    <w:name w:val="CM118"/>
    <w:basedOn w:val="1"/>
    <w:next w:val="1"/>
    <w:qFormat/>
    <w:uiPriority w:val="99"/>
    <w:pPr>
      <w:autoSpaceDE w:val="0"/>
      <w:autoSpaceDN w:val="0"/>
      <w:adjustRightInd w:val="0"/>
      <w:spacing w:after="113"/>
      <w:jc w:val="left"/>
    </w:pPr>
    <w:rPr>
      <w:rFonts w:ascii="仿宋_GB2312" w:eastAsia="仿宋_GB2312" w:cs="仿宋_GB2312"/>
      <w:kern w:val="0"/>
      <w:sz w:val="24"/>
      <w:szCs w:val="24"/>
    </w:rPr>
  </w:style>
  <w:style w:type="paragraph" w:customStyle="1" w:styleId="446">
    <w:name w:val="xl122"/>
    <w:basedOn w:val="1"/>
    <w:qFormat/>
    <w:uiPriority w:val="99"/>
    <w:pPr>
      <w:widowControl/>
      <w:pBdr>
        <w:top w:val="single" w:color="auto" w:sz="4" w:space="0"/>
        <w:right w:val="single" w:color="auto" w:sz="4" w:space="0"/>
      </w:pBdr>
      <w:spacing w:before="100" w:beforeAutospacing="1" w:after="100" w:afterAutospacing="1"/>
      <w:jc w:val="center"/>
      <w:textAlignment w:val="center"/>
    </w:pPr>
    <w:rPr>
      <w:rFonts w:ascii="宋体" w:hAnsi="宋体" w:cs="宋体"/>
      <w:kern w:val="0"/>
      <w:sz w:val="40"/>
      <w:szCs w:val="40"/>
    </w:rPr>
  </w:style>
  <w:style w:type="paragraph" w:customStyle="1" w:styleId="447">
    <w:name w:val="表格2"/>
    <w:basedOn w:val="1"/>
    <w:qFormat/>
    <w:uiPriority w:val="99"/>
    <w:pPr>
      <w:autoSpaceDE w:val="0"/>
      <w:autoSpaceDN w:val="0"/>
      <w:adjustRightInd w:val="0"/>
      <w:spacing w:line="400" w:lineRule="atLeast"/>
      <w:textAlignment w:val="baseline"/>
    </w:pPr>
    <w:rPr>
      <w:b/>
      <w:bCs/>
      <w:spacing w:val="2"/>
      <w:kern w:val="0"/>
      <w:sz w:val="24"/>
      <w:szCs w:val="24"/>
    </w:rPr>
  </w:style>
  <w:style w:type="paragraph" w:customStyle="1" w:styleId="448">
    <w:name w:val="样式 样式 样式 标题 2 + 段后: 0.5 行 + 段后: 0.5 行 + 左侧:  0 厘米 首行缩进:  0 厘米"/>
    <w:basedOn w:val="367"/>
    <w:qFormat/>
    <w:uiPriority w:val="99"/>
    <w:pPr>
      <w:ind w:left="0" w:firstLine="0" w:firstLineChars="0"/>
    </w:pPr>
    <w:rPr>
      <w:lang w:eastAsia="zh-CN"/>
    </w:rPr>
  </w:style>
  <w:style w:type="paragraph" w:customStyle="1" w:styleId="449">
    <w:name w:val="样式4"/>
    <w:basedOn w:val="3"/>
    <w:qFormat/>
    <w:uiPriority w:val="99"/>
    <w:pPr>
      <w:keepNext w:val="0"/>
      <w:spacing w:before="120" w:after="120" w:line="520" w:lineRule="exact"/>
      <w:outlineLvl w:val="9"/>
    </w:pPr>
    <w:rPr>
      <w:rFonts w:ascii="黑体" w:hAnsi="Wide Latin" w:eastAsia="宋体" w:cs="黑体"/>
      <w:b/>
      <w:bCs/>
      <w:spacing w:val="4"/>
      <w:kern w:val="44"/>
    </w:rPr>
  </w:style>
  <w:style w:type="paragraph" w:customStyle="1" w:styleId="450">
    <w:name w:val="成2"/>
    <w:qFormat/>
    <w:uiPriority w:val="99"/>
    <w:pPr>
      <w:spacing w:before="156" w:after="156" w:line="360" w:lineRule="auto"/>
      <w:outlineLvl w:val="1"/>
    </w:pPr>
    <w:rPr>
      <w:rFonts w:ascii="Times New Roman" w:hAnsi="Times New Roman" w:eastAsia="宋体" w:cs="Times New Roman"/>
      <w:b/>
      <w:bCs/>
      <w:color w:val="000000"/>
      <w:kern w:val="2"/>
      <w:sz w:val="24"/>
      <w:szCs w:val="24"/>
      <w:lang w:val="en-US" w:eastAsia="zh-CN" w:bidi="ar-SA"/>
    </w:rPr>
  </w:style>
  <w:style w:type="paragraph" w:customStyle="1" w:styleId="451">
    <w:name w:val="Char Char Char Char Char Char Char Char Char Char Char Char Char1"/>
    <w:basedOn w:val="1"/>
    <w:qFormat/>
    <w:uiPriority w:val="99"/>
    <w:pPr>
      <w:adjustRightInd w:val="0"/>
      <w:snapToGrid w:val="0"/>
      <w:spacing w:line="480" w:lineRule="exact"/>
      <w:ind w:firstLine="200" w:firstLineChars="200"/>
    </w:pPr>
    <w:rPr>
      <w:sz w:val="24"/>
      <w:szCs w:val="24"/>
    </w:rPr>
  </w:style>
  <w:style w:type="paragraph" w:customStyle="1" w:styleId="452">
    <w:name w:val="正文11"/>
    <w:basedOn w:val="1"/>
    <w:qFormat/>
    <w:uiPriority w:val="99"/>
    <w:pPr>
      <w:ind w:firstLine="200" w:firstLineChars="200"/>
    </w:pPr>
    <w:rPr>
      <w:rFonts w:eastAsia="仿宋_GB2312"/>
      <w:sz w:val="28"/>
      <w:szCs w:val="28"/>
    </w:rPr>
  </w:style>
  <w:style w:type="paragraph" w:customStyle="1" w:styleId="453">
    <w:name w:val="样式 (西文) 宋体 小四 行距: 1.5 倍行距 首行缩进:  2 字符"/>
    <w:basedOn w:val="1"/>
    <w:qFormat/>
    <w:uiPriority w:val="99"/>
    <w:pPr>
      <w:spacing w:line="440" w:lineRule="exact"/>
      <w:ind w:firstLine="200" w:firstLineChars="200"/>
    </w:pPr>
    <w:rPr>
      <w:rFonts w:ascii="宋体" w:hAnsi="宋体" w:cs="宋体"/>
      <w:sz w:val="24"/>
      <w:szCs w:val="24"/>
    </w:rPr>
  </w:style>
  <w:style w:type="paragraph" w:customStyle="1" w:styleId="454">
    <w:name w:val="Char61"/>
    <w:basedOn w:val="1"/>
    <w:qFormat/>
    <w:uiPriority w:val="99"/>
    <w:pPr>
      <w:adjustRightInd w:val="0"/>
      <w:spacing w:line="360" w:lineRule="auto"/>
    </w:pPr>
    <w:rPr>
      <w:kern w:val="0"/>
      <w:sz w:val="24"/>
      <w:szCs w:val="24"/>
    </w:rPr>
  </w:style>
  <w:style w:type="paragraph" w:customStyle="1" w:styleId="455">
    <w:name w:val="xl107"/>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0"/>
      <w:szCs w:val="20"/>
    </w:rPr>
  </w:style>
  <w:style w:type="paragraph" w:customStyle="1" w:styleId="456">
    <w:name w:val="xl105"/>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FF0000"/>
      <w:kern w:val="0"/>
      <w:sz w:val="20"/>
      <w:szCs w:val="20"/>
    </w:rPr>
  </w:style>
  <w:style w:type="paragraph" w:customStyle="1" w:styleId="457">
    <w:name w:val="样式 小四 行距: 1.5 倍行距 首行缩进:  2 字符1"/>
    <w:basedOn w:val="1"/>
    <w:qFormat/>
    <w:uiPriority w:val="99"/>
    <w:pPr>
      <w:adjustRightInd w:val="0"/>
      <w:snapToGrid w:val="0"/>
      <w:spacing w:line="360" w:lineRule="auto"/>
      <w:ind w:firstLine="480" w:firstLineChars="200"/>
    </w:pPr>
    <w:rPr>
      <w:kern w:val="0"/>
      <w:sz w:val="24"/>
      <w:szCs w:val="24"/>
      <w:shd w:val="clear" w:color="auto" w:fill="00FFFF"/>
    </w:rPr>
  </w:style>
  <w:style w:type="paragraph" w:customStyle="1" w:styleId="458">
    <w:name w:val="xl83"/>
    <w:basedOn w:val="1"/>
    <w:qFormat/>
    <w:uiPriority w:val="99"/>
    <w:pPr>
      <w:widowControl/>
      <w:pBdr>
        <w:top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459">
    <w:name w:val="xl99"/>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460">
    <w:name w:val="xl25"/>
    <w:basedOn w:val="1"/>
    <w:qFormat/>
    <w:uiPriority w:val="99"/>
    <w:pPr>
      <w:widowControl/>
      <w:pBdr>
        <w:left w:val="single" w:color="auto" w:sz="4" w:space="0"/>
        <w:right w:val="single" w:color="auto" w:sz="4" w:space="0"/>
      </w:pBdr>
      <w:spacing w:before="100" w:beforeAutospacing="1" w:after="100" w:afterAutospacing="1"/>
      <w:jc w:val="center"/>
      <w:textAlignment w:val="center"/>
    </w:pPr>
    <w:rPr>
      <w:rFonts w:ascii="Arial Unicode MS" w:hAnsi="Arial Unicode MS" w:cs="Arial Unicode MS"/>
      <w:kern w:val="0"/>
      <w:sz w:val="16"/>
      <w:szCs w:val="16"/>
    </w:rPr>
  </w:style>
  <w:style w:type="paragraph" w:customStyle="1" w:styleId="461">
    <w:name w:val="样式 标题 1 + 小四"/>
    <w:basedOn w:val="3"/>
    <w:qFormat/>
    <w:uiPriority w:val="99"/>
    <w:pPr>
      <w:adjustRightInd/>
      <w:spacing w:before="200" w:after="200"/>
      <w:jc w:val="both"/>
      <w:textAlignment w:val="auto"/>
    </w:pPr>
    <w:rPr>
      <w:rFonts w:eastAsia="宋体"/>
      <w:b/>
      <w:bCs/>
      <w:sz w:val="28"/>
      <w:szCs w:val="28"/>
    </w:rPr>
  </w:style>
  <w:style w:type="paragraph" w:customStyle="1" w:styleId="462">
    <w:name w:val="9"/>
    <w:basedOn w:val="1"/>
    <w:qFormat/>
    <w:uiPriority w:val="99"/>
    <w:pPr>
      <w:autoSpaceDE w:val="0"/>
      <w:autoSpaceDN w:val="0"/>
      <w:adjustRightInd w:val="0"/>
      <w:spacing w:beforeLines="30" w:afterLines="30" w:line="360" w:lineRule="auto"/>
      <w:ind w:firstLine="478" w:firstLineChars="199"/>
    </w:pPr>
    <w:rPr>
      <w:rFonts w:ascii="宋体" w:hAnsi="宋体" w:cs="宋体"/>
      <w:kern w:val="0"/>
      <w:sz w:val="24"/>
      <w:szCs w:val="24"/>
    </w:rPr>
  </w:style>
  <w:style w:type="paragraph" w:customStyle="1" w:styleId="463">
    <w:name w:val="xl91"/>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464">
    <w:name w:val="xl89"/>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465">
    <w:name w:val="zhengwen"/>
    <w:basedOn w:val="1"/>
    <w:qFormat/>
    <w:uiPriority w:val="99"/>
    <w:pPr>
      <w:widowControl/>
      <w:spacing w:before="100" w:beforeAutospacing="1" w:after="100" w:afterAutospacing="1"/>
      <w:jc w:val="left"/>
    </w:pPr>
    <w:rPr>
      <w:rFonts w:ascii="宋体" w:hAnsi="宋体" w:cs="宋体"/>
      <w:kern w:val="0"/>
      <w:sz w:val="24"/>
      <w:szCs w:val="24"/>
    </w:rPr>
  </w:style>
  <w:style w:type="paragraph" w:customStyle="1" w:styleId="466">
    <w:name w:val="MTDisplayEquation"/>
    <w:basedOn w:val="1"/>
    <w:next w:val="1"/>
    <w:qFormat/>
    <w:uiPriority w:val="99"/>
    <w:pPr>
      <w:tabs>
        <w:tab w:val="center" w:pos="4540"/>
        <w:tab w:val="right" w:pos="9080"/>
      </w:tabs>
      <w:adjustRightInd w:val="0"/>
      <w:snapToGrid w:val="0"/>
      <w:spacing w:beforeLines="30" w:line="480" w:lineRule="exact"/>
      <w:ind w:firstLine="560" w:firstLineChars="200"/>
      <w:jc w:val="center"/>
    </w:pPr>
    <w:rPr>
      <w:sz w:val="24"/>
      <w:szCs w:val="24"/>
    </w:rPr>
  </w:style>
  <w:style w:type="paragraph" w:customStyle="1" w:styleId="467">
    <w:name w:val="hb3"/>
    <w:basedOn w:val="5"/>
    <w:qFormat/>
    <w:uiPriority w:val="99"/>
    <w:pPr>
      <w:adjustRightInd w:val="0"/>
      <w:spacing w:before="360" w:after="180" w:line="240" w:lineRule="exact"/>
      <w:jc w:val="both"/>
      <w:textAlignment w:val="baseline"/>
    </w:pPr>
    <w:rPr>
      <w:b w:val="0"/>
      <w:bCs w:val="0"/>
      <w:kern w:val="0"/>
      <w:sz w:val="24"/>
      <w:szCs w:val="24"/>
    </w:rPr>
  </w:style>
  <w:style w:type="paragraph" w:customStyle="1" w:styleId="468">
    <w:name w:val="xl39"/>
    <w:basedOn w:val="1"/>
    <w:qFormat/>
    <w:uiPriority w:val="99"/>
    <w:pPr>
      <w:widowControl/>
      <w:pBdr>
        <w:bottom w:val="single" w:color="auto" w:sz="8" w:space="0"/>
      </w:pBdr>
      <w:spacing w:before="100" w:after="100"/>
      <w:jc w:val="center"/>
    </w:pPr>
    <w:rPr>
      <w:kern w:val="0"/>
      <w:sz w:val="24"/>
      <w:szCs w:val="24"/>
    </w:rPr>
  </w:style>
  <w:style w:type="paragraph" w:customStyle="1" w:styleId="469">
    <w:name w:val="成3"/>
    <w:qFormat/>
    <w:uiPriority w:val="99"/>
    <w:pPr>
      <w:spacing w:before="156" w:after="156" w:line="360" w:lineRule="auto"/>
      <w:outlineLvl w:val="2"/>
    </w:pPr>
    <w:rPr>
      <w:rFonts w:ascii="Times New Roman" w:hAnsi="Times New Roman" w:eastAsia="宋体" w:cs="Times New Roman"/>
      <w:b/>
      <w:bCs/>
      <w:color w:val="000000"/>
      <w:kern w:val="2"/>
      <w:sz w:val="24"/>
      <w:szCs w:val="24"/>
      <w:lang w:val="en-US" w:eastAsia="zh-CN" w:bidi="ar-SA"/>
    </w:rPr>
  </w:style>
  <w:style w:type="paragraph" w:customStyle="1" w:styleId="470">
    <w:name w:val="xl77"/>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471">
    <w:name w:val="样式 四号 行距: 固定值 22.5 磅1"/>
    <w:basedOn w:val="1"/>
    <w:qFormat/>
    <w:uiPriority w:val="99"/>
    <w:pPr>
      <w:spacing w:line="460" w:lineRule="exact"/>
      <w:ind w:firstLine="200" w:firstLineChars="200"/>
    </w:pPr>
    <w:rPr>
      <w:spacing w:val="4"/>
      <w:sz w:val="28"/>
      <w:szCs w:val="28"/>
    </w:rPr>
  </w:style>
  <w:style w:type="paragraph" w:customStyle="1" w:styleId="472">
    <w:name w:val="样式 标题 3 + 小四 黑色 段前: 5 磅 段后: 5 磅 行距: 1.5 倍行距"/>
    <w:basedOn w:val="5"/>
    <w:qFormat/>
    <w:uiPriority w:val="99"/>
    <w:pPr>
      <w:spacing w:before="260" w:after="260" w:line="415" w:lineRule="auto"/>
      <w:jc w:val="both"/>
    </w:pPr>
    <w:rPr>
      <w:rFonts w:ascii="宋体" w:cs="宋体"/>
      <w:kern w:val="0"/>
      <w:sz w:val="24"/>
      <w:szCs w:val="24"/>
    </w:rPr>
  </w:style>
  <w:style w:type="paragraph" w:customStyle="1" w:styleId="473">
    <w:name w:val="样式 11 磅 首行缩进:  0.74 厘米 行距: 固定值 18 磅"/>
    <w:basedOn w:val="1"/>
    <w:qFormat/>
    <w:uiPriority w:val="99"/>
    <w:pPr>
      <w:spacing w:before="100" w:beforeAutospacing="1" w:after="100" w:afterAutospacing="1"/>
      <w:ind w:firstLine="454"/>
    </w:pPr>
    <w:rPr>
      <w:sz w:val="24"/>
      <w:szCs w:val="24"/>
    </w:rPr>
  </w:style>
  <w:style w:type="paragraph" w:customStyle="1" w:styleId="474">
    <w:name w:val="样式 标题 1章 + 三号 左 段前: 0 磅 段后: 0 磅 行距: 固定值 23 磅1"/>
    <w:basedOn w:val="3"/>
    <w:qFormat/>
    <w:uiPriority w:val="99"/>
    <w:pPr>
      <w:adjustRightInd/>
      <w:spacing w:line="460" w:lineRule="exact"/>
      <w:jc w:val="left"/>
      <w:textAlignment w:val="auto"/>
    </w:pPr>
    <w:rPr>
      <w:rFonts w:eastAsia="宋体"/>
      <w:b/>
      <w:bCs/>
      <w:kern w:val="44"/>
      <w:sz w:val="32"/>
      <w:szCs w:val="32"/>
    </w:rPr>
  </w:style>
  <w:style w:type="paragraph" w:customStyle="1" w:styleId="475">
    <w:name w:val="表格内容"/>
    <w:basedOn w:val="1"/>
    <w:qFormat/>
    <w:uiPriority w:val="99"/>
    <w:pPr>
      <w:widowControl/>
      <w:autoSpaceDE w:val="0"/>
      <w:autoSpaceDN w:val="0"/>
      <w:adjustRightInd w:val="0"/>
      <w:snapToGrid w:val="0"/>
      <w:ind w:left="187" w:hanging="187"/>
      <w:jc w:val="center"/>
    </w:pPr>
    <w:rPr>
      <w:rFonts w:ascii="宋体" w:hAnsi="宋体" w:cs="宋体"/>
      <w:kern w:val="0"/>
    </w:rPr>
  </w:style>
  <w:style w:type="paragraph" w:customStyle="1" w:styleId="476">
    <w:name w:val="font12"/>
    <w:basedOn w:val="1"/>
    <w:qFormat/>
    <w:uiPriority w:val="99"/>
    <w:pPr>
      <w:widowControl/>
      <w:spacing w:before="100" w:beforeAutospacing="1" w:after="100" w:afterAutospacing="1"/>
      <w:jc w:val="left"/>
    </w:pPr>
    <w:rPr>
      <w:rFonts w:ascii="宋体" w:hAnsi="宋体" w:cs="宋体"/>
      <w:kern w:val="0"/>
      <w:sz w:val="20"/>
      <w:szCs w:val="20"/>
    </w:rPr>
  </w:style>
  <w:style w:type="paragraph" w:customStyle="1" w:styleId="477">
    <w:name w:val="初设一"/>
    <w:basedOn w:val="1"/>
    <w:qFormat/>
    <w:uiPriority w:val="99"/>
    <w:pPr>
      <w:widowControl/>
      <w:spacing w:line="520" w:lineRule="exact"/>
      <w:outlineLvl w:val="0"/>
    </w:pPr>
    <w:rPr>
      <w:rFonts w:hAnsi="宋体"/>
      <w:sz w:val="24"/>
      <w:szCs w:val="24"/>
    </w:rPr>
  </w:style>
  <w:style w:type="paragraph" w:customStyle="1" w:styleId="478">
    <w:name w:val="xl31"/>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cs="Arial Unicode MS"/>
      <w:kern w:val="0"/>
      <w:sz w:val="16"/>
      <w:szCs w:val="16"/>
    </w:rPr>
  </w:style>
  <w:style w:type="paragraph" w:customStyle="1" w:styleId="479">
    <w:name w:val="xl52"/>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480">
    <w:name w:val="样式 标题 1章标题 1b1-*+h11st levelSection Headl1章节标题H1标题2标题..."/>
    <w:basedOn w:val="3"/>
    <w:qFormat/>
    <w:uiPriority w:val="99"/>
    <w:pPr>
      <w:adjustRightInd/>
      <w:spacing w:before="200" w:after="200" w:line="240" w:lineRule="auto"/>
      <w:textAlignment w:val="auto"/>
    </w:pPr>
    <w:rPr>
      <w:rFonts w:eastAsia="宋体"/>
      <w:b/>
      <w:bCs/>
      <w:kern w:val="44"/>
      <w:sz w:val="52"/>
      <w:szCs w:val="52"/>
    </w:rPr>
  </w:style>
  <w:style w:type="paragraph" w:customStyle="1" w:styleId="481">
    <w:name w:val="项目编号"/>
    <w:basedOn w:val="1"/>
    <w:qFormat/>
    <w:uiPriority w:val="99"/>
    <w:pPr>
      <w:widowControl/>
      <w:tabs>
        <w:tab w:val="left" w:pos="340"/>
      </w:tabs>
      <w:autoSpaceDE w:val="0"/>
      <w:autoSpaceDN w:val="0"/>
      <w:adjustRightInd w:val="0"/>
      <w:spacing w:line="360" w:lineRule="auto"/>
      <w:ind w:left="425"/>
      <w:textAlignment w:val="bottom"/>
    </w:pPr>
    <w:rPr>
      <w:rFonts w:ascii="宋体" w:cs="宋体"/>
      <w:sz w:val="24"/>
      <w:szCs w:val="24"/>
    </w:rPr>
  </w:style>
  <w:style w:type="paragraph" w:customStyle="1" w:styleId="482">
    <w:name w:val="表格小五号"/>
    <w:basedOn w:val="1"/>
    <w:qFormat/>
    <w:uiPriority w:val="99"/>
    <w:pPr>
      <w:spacing w:line="250" w:lineRule="atLeast"/>
      <w:ind w:left="-57" w:right="93"/>
      <w:jc w:val="right"/>
    </w:pPr>
    <w:rPr>
      <w:spacing w:val="-8"/>
      <w:sz w:val="18"/>
      <w:szCs w:val="18"/>
    </w:rPr>
  </w:style>
  <w:style w:type="paragraph" w:customStyle="1" w:styleId="483">
    <w:name w:val="xl103"/>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484">
    <w:name w:val="xl75"/>
    <w:basedOn w:val="1"/>
    <w:qFormat/>
    <w:uiPriority w:val="99"/>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2"/>
      <w:szCs w:val="22"/>
    </w:rPr>
  </w:style>
  <w:style w:type="paragraph" w:customStyle="1" w:styleId="485">
    <w:name w:val="洋表"/>
    <w:basedOn w:val="1"/>
    <w:next w:val="1"/>
    <w:qFormat/>
    <w:uiPriority w:val="99"/>
    <w:pPr>
      <w:jc w:val="center"/>
    </w:pPr>
    <w:rPr>
      <w:sz w:val="24"/>
      <w:szCs w:val="24"/>
    </w:rPr>
  </w:style>
  <w:style w:type="paragraph" w:customStyle="1" w:styleId="486">
    <w:name w:val="xl90"/>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2"/>
      <w:szCs w:val="22"/>
    </w:rPr>
  </w:style>
  <w:style w:type="paragraph" w:customStyle="1" w:styleId="487">
    <w:name w:val="Char Char Char Char1"/>
    <w:basedOn w:val="1"/>
    <w:qFormat/>
    <w:uiPriority w:val="99"/>
    <w:pPr>
      <w:snapToGrid w:val="0"/>
      <w:spacing w:line="440" w:lineRule="exact"/>
      <w:ind w:firstLine="480" w:firstLineChars="200"/>
    </w:pPr>
    <w:rPr>
      <w:sz w:val="24"/>
      <w:szCs w:val="24"/>
    </w:rPr>
  </w:style>
  <w:style w:type="paragraph" w:customStyle="1" w:styleId="488">
    <w:name w:val="表中"/>
    <w:next w:val="1"/>
    <w:qFormat/>
    <w:uiPriority w:val="99"/>
    <w:pPr>
      <w:jc w:val="center"/>
    </w:pPr>
    <w:rPr>
      <w:rFonts w:ascii="Times New Roman" w:hAnsi="Times New Roman" w:eastAsia="宋体" w:cs="Times New Roman"/>
      <w:color w:val="000000"/>
      <w:kern w:val="2"/>
      <w:sz w:val="21"/>
      <w:szCs w:val="21"/>
      <w:lang w:val="en-US" w:eastAsia="zh-CN" w:bidi="ar-SA"/>
    </w:rPr>
  </w:style>
  <w:style w:type="paragraph" w:customStyle="1" w:styleId="489">
    <w:name w:val="xl97"/>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top"/>
    </w:pPr>
    <w:rPr>
      <w:rFonts w:ascii="宋体" w:hAnsi="宋体" w:cs="宋体"/>
      <w:kern w:val="0"/>
      <w:sz w:val="18"/>
      <w:szCs w:val="18"/>
    </w:rPr>
  </w:style>
  <w:style w:type="paragraph" w:customStyle="1" w:styleId="490">
    <w:name w:val="4"/>
    <w:basedOn w:val="1"/>
    <w:next w:val="27"/>
    <w:qFormat/>
    <w:uiPriority w:val="99"/>
    <w:rPr>
      <w:rFonts w:ascii="宋体" w:hAnsi="Courier New" w:cs="宋体"/>
    </w:rPr>
  </w:style>
  <w:style w:type="paragraph" w:customStyle="1" w:styleId="491">
    <w:name w:val="样式 小四 行距: 1.5 倍行距 首行缩进:  2 字符"/>
    <w:basedOn w:val="1"/>
    <w:qFormat/>
    <w:uiPriority w:val="99"/>
    <w:pPr>
      <w:spacing w:line="440" w:lineRule="exact"/>
      <w:ind w:firstLine="200" w:firstLineChars="200"/>
    </w:pPr>
    <w:rPr>
      <w:sz w:val="24"/>
      <w:szCs w:val="24"/>
    </w:rPr>
  </w:style>
  <w:style w:type="paragraph" w:customStyle="1" w:styleId="492">
    <w:name w:val="样式 宋体 小四 行距: 1.5 倍行距"/>
    <w:basedOn w:val="1"/>
    <w:qFormat/>
    <w:uiPriority w:val="99"/>
    <w:pPr>
      <w:spacing w:line="360" w:lineRule="auto"/>
      <w:ind w:firstLine="480" w:firstLineChars="200"/>
    </w:pPr>
    <w:rPr>
      <w:rFonts w:ascii="宋体" w:hAnsi="宋体" w:cs="宋体"/>
      <w:sz w:val="24"/>
      <w:szCs w:val="24"/>
    </w:rPr>
  </w:style>
  <w:style w:type="paragraph" w:customStyle="1" w:styleId="493">
    <w:name w:val="样式 标题 3条标题1.1.13h33rd levelH3l3CT标题 3，宋体，四号，三级（1.1.1） + ..."/>
    <w:basedOn w:val="5"/>
    <w:qFormat/>
    <w:uiPriority w:val="99"/>
    <w:pPr>
      <w:adjustRightInd w:val="0"/>
      <w:spacing w:before="120"/>
      <w:jc w:val="both"/>
      <w:textAlignment w:val="baseline"/>
    </w:pPr>
    <w:rPr>
      <w:kern w:val="0"/>
      <w:sz w:val="24"/>
      <w:szCs w:val="24"/>
    </w:rPr>
  </w:style>
  <w:style w:type="paragraph" w:customStyle="1" w:styleId="494">
    <w:name w:val="xl109"/>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0"/>
      <w:szCs w:val="20"/>
    </w:rPr>
  </w:style>
  <w:style w:type="paragraph" w:customStyle="1" w:styleId="495">
    <w:name w:val="样式 标题 2节1.1 标题 2 + 黑体 四号 两端对齐 行距: 固定值 25 磅"/>
    <w:basedOn w:val="4"/>
    <w:qFormat/>
    <w:uiPriority w:val="99"/>
    <w:pPr>
      <w:keepNext w:val="0"/>
      <w:keepLines w:val="0"/>
      <w:adjustRightInd w:val="0"/>
      <w:snapToGrid w:val="0"/>
      <w:spacing w:beforeLines="50" w:afterLines="50" w:line="500" w:lineRule="exact"/>
      <w:jc w:val="both"/>
      <w:textAlignment w:val="baseline"/>
    </w:pPr>
    <w:rPr>
      <w:rFonts w:ascii="Times New Roman" w:hAnsi="Times New Roman" w:cs="Times New Roman"/>
      <w:sz w:val="30"/>
      <w:szCs w:val="30"/>
    </w:rPr>
  </w:style>
  <w:style w:type="paragraph" w:customStyle="1" w:styleId="496">
    <w:name w:val="样式 样式 样式 洋正 + 左侧:  0 厘米 首行缩进:  0 字符 + + 首行缩进:  2 字符"/>
    <w:basedOn w:val="1"/>
    <w:qFormat/>
    <w:uiPriority w:val="99"/>
    <w:pPr>
      <w:keepLines/>
      <w:snapToGrid w:val="0"/>
      <w:spacing w:line="440" w:lineRule="exact"/>
      <w:ind w:firstLine="200" w:firstLineChars="200"/>
    </w:pPr>
    <w:rPr>
      <w:sz w:val="24"/>
      <w:szCs w:val="24"/>
    </w:rPr>
  </w:style>
  <w:style w:type="paragraph" w:customStyle="1" w:styleId="497">
    <w:name w:val="样式 标题 2 + 段后: 0.5 行1"/>
    <w:basedOn w:val="4"/>
    <w:qFormat/>
    <w:uiPriority w:val="99"/>
    <w:pPr>
      <w:keepLines w:val="0"/>
      <w:widowControl/>
      <w:tabs>
        <w:tab w:val="left" w:pos="2100"/>
      </w:tabs>
      <w:spacing w:beforeLines="50" w:afterLines="50" w:line="460" w:lineRule="exact"/>
      <w:ind w:left="2100" w:hanging="420" w:firstLineChars="200"/>
      <w:jc w:val="both"/>
    </w:pPr>
    <w:rPr>
      <w:rFonts w:ascii="Times New Roman" w:hAnsi="Times New Roman" w:cs="Times New Roman"/>
      <w:caps/>
      <w:kern w:val="0"/>
      <w:sz w:val="30"/>
      <w:szCs w:val="30"/>
      <w:lang w:eastAsia="en-US"/>
    </w:rPr>
  </w:style>
  <w:style w:type="paragraph" w:customStyle="1" w:styleId="498">
    <w:name w:val="Char Char Char Char11"/>
    <w:basedOn w:val="18"/>
    <w:qFormat/>
    <w:uiPriority w:val="99"/>
    <w:pPr>
      <w:adjustRightInd w:val="0"/>
      <w:spacing w:line="436" w:lineRule="exact"/>
      <w:ind w:left="357" w:firstLine="200" w:firstLineChars="200"/>
      <w:jc w:val="left"/>
      <w:outlineLvl w:val="3"/>
    </w:pPr>
    <w:rPr>
      <w:rFonts w:ascii="Tahoma" w:hAnsi="Tahoma" w:cs="Tahoma"/>
      <w:b/>
      <w:bCs/>
      <w:sz w:val="24"/>
      <w:szCs w:val="24"/>
    </w:rPr>
  </w:style>
  <w:style w:type="paragraph" w:customStyle="1" w:styleId="499">
    <w:name w:val="样式 b + 段前: 1 行 段后: 0.5 行"/>
    <w:basedOn w:val="352"/>
    <w:qFormat/>
    <w:uiPriority w:val="99"/>
    <w:pPr>
      <w:spacing w:beforeLines="50"/>
    </w:pPr>
    <w:rPr>
      <w:kern w:val="0"/>
    </w:rPr>
  </w:style>
  <w:style w:type="paragraph" w:customStyle="1" w:styleId="500">
    <w:name w:val="样式8"/>
    <w:basedOn w:val="1"/>
    <w:qFormat/>
    <w:uiPriority w:val="99"/>
    <w:pPr>
      <w:spacing w:line="300" w:lineRule="exact"/>
      <w:jc w:val="center"/>
    </w:pPr>
    <w:rPr>
      <w:rFonts w:ascii="宋体" w:cs="宋体"/>
      <w:spacing w:val="2"/>
    </w:rPr>
  </w:style>
  <w:style w:type="paragraph" w:customStyle="1" w:styleId="501">
    <w:name w:val="font9"/>
    <w:basedOn w:val="1"/>
    <w:qFormat/>
    <w:uiPriority w:val="99"/>
    <w:pPr>
      <w:widowControl/>
      <w:spacing w:before="100" w:beforeAutospacing="1" w:after="100" w:afterAutospacing="1"/>
      <w:jc w:val="left"/>
    </w:pPr>
    <w:rPr>
      <w:rFonts w:ascii="宋体" w:hAnsi="宋体" w:cs="宋体"/>
      <w:kern w:val="0"/>
    </w:rPr>
  </w:style>
  <w:style w:type="paragraph" w:customStyle="1" w:styleId="502">
    <w:name w:val="标准"/>
    <w:basedOn w:val="1"/>
    <w:qFormat/>
    <w:uiPriority w:val="99"/>
    <w:pPr>
      <w:adjustRightInd w:val="0"/>
      <w:spacing w:line="312" w:lineRule="atLeast"/>
      <w:textAlignment w:val="baseline"/>
    </w:pPr>
    <w:rPr>
      <w:kern w:val="0"/>
      <w:sz w:val="30"/>
      <w:szCs w:val="30"/>
    </w:rPr>
  </w:style>
  <w:style w:type="paragraph" w:customStyle="1" w:styleId="503">
    <w:name w:val="图名"/>
    <w:basedOn w:val="1"/>
    <w:qFormat/>
    <w:uiPriority w:val="99"/>
    <w:pPr>
      <w:ind w:left="-2" w:leftChars="-129" w:right="-512" w:rightChars="-183" w:hanging="359" w:hangingChars="149"/>
      <w:jc w:val="center"/>
    </w:pPr>
    <w:rPr>
      <w:b/>
      <w:bCs/>
      <w:kern w:val="0"/>
      <w:sz w:val="24"/>
      <w:szCs w:val="24"/>
    </w:rPr>
  </w:style>
  <w:style w:type="paragraph" w:customStyle="1" w:styleId="504">
    <w:name w:val="洋大"/>
    <w:basedOn w:val="1"/>
    <w:next w:val="3"/>
    <w:qFormat/>
    <w:uiPriority w:val="99"/>
    <w:pPr>
      <w:spacing w:line="360" w:lineRule="auto"/>
      <w:jc w:val="center"/>
    </w:pPr>
    <w:rPr>
      <w:b/>
      <w:bCs/>
      <w:sz w:val="44"/>
      <w:szCs w:val="44"/>
    </w:rPr>
  </w:style>
  <w:style w:type="paragraph" w:customStyle="1" w:styleId="505">
    <w:name w:val="xl114"/>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506">
    <w:name w:val="xl40"/>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0"/>
      <w:szCs w:val="20"/>
    </w:rPr>
  </w:style>
  <w:style w:type="paragraph" w:customStyle="1" w:styleId="507">
    <w:name w:val="Char Char Char Char3"/>
    <w:basedOn w:val="1"/>
    <w:qFormat/>
    <w:uiPriority w:val="99"/>
    <w:pPr>
      <w:snapToGrid w:val="0"/>
      <w:spacing w:line="440" w:lineRule="atLeast"/>
    </w:pPr>
    <w:rPr>
      <w:rFonts w:ascii="宋体" w:cs="宋体"/>
      <w:sz w:val="24"/>
      <w:szCs w:val="24"/>
    </w:rPr>
  </w:style>
  <w:style w:type="paragraph" w:customStyle="1" w:styleId="508">
    <w:name w:val="font6"/>
    <w:basedOn w:val="1"/>
    <w:qFormat/>
    <w:uiPriority w:val="99"/>
    <w:pPr>
      <w:widowControl/>
      <w:spacing w:before="100" w:beforeAutospacing="1" w:after="100" w:afterAutospacing="1"/>
      <w:jc w:val="left"/>
    </w:pPr>
    <w:rPr>
      <w:b/>
      <w:bCs/>
      <w:kern w:val="0"/>
    </w:rPr>
  </w:style>
  <w:style w:type="paragraph" w:customStyle="1" w:styleId="509">
    <w:name w:val="样式 四号 行距: 固定值 23 磅"/>
    <w:basedOn w:val="1"/>
    <w:qFormat/>
    <w:uiPriority w:val="99"/>
    <w:pPr>
      <w:spacing w:line="460" w:lineRule="exact"/>
      <w:ind w:firstLine="200" w:firstLineChars="200"/>
    </w:pPr>
    <w:rPr>
      <w:sz w:val="28"/>
      <w:szCs w:val="28"/>
    </w:rPr>
  </w:style>
  <w:style w:type="paragraph" w:customStyle="1" w:styleId="510">
    <w:name w:val="样式 样式 (符号) 宋体 小四 行距: 1.5 倍行距 首行缩进:  2 字符 + 首行缩进:  2 字符"/>
    <w:basedOn w:val="1"/>
    <w:next w:val="1"/>
    <w:qFormat/>
    <w:uiPriority w:val="99"/>
    <w:pPr>
      <w:spacing w:line="360" w:lineRule="auto"/>
      <w:ind w:firstLine="200" w:firstLineChars="200"/>
    </w:pPr>
    <w:rPr>
      <w:kern w:val="0"/>
      <w:sz w:val="24"/>
      <w:szCs w:val="24"/>
    </w:rPr>
  </w:style>
  <w:style w:type="paragraph" w:customStyle="1" w:styleId="511">
    <w:name w:val="默认段落字体 Para Char"/>
    <w:basedOn w:val="1"/>
    <w:qFormat/>
    <w:uiPriority w:val="99"/>
    <w:pPr>
      <w:spacing w:line="400" w:lineRule="exact"/>
    </w:pPr>
    <w:rPr>
      <w:rFonts w:ascii="Tahoma" w:hAnsi="Tahoma" w:cs="Tahoma"/>
      <w:sz w:val="24"/>
      <w:szCs w:val="24"/>
    </w:rPr>
  </w:style>
  <w:style w:type="paragraph" w:customStyle="1" w:styleId="512">
    <w:name w:val="表左"/>
    <w:next w:val="1"/>
    <w:qFormat/>
    <w:uiPriority w:val="99"/>
    <w:rPr>
      <w:rFonts w:ascii="Times New Roman" w:hAnsi="Times New Roman" w:eastAsia="宋体" w:cs="Times New Roman"/>
      <w:color w:val="000000"/>
      <w:kern w:val="2"/>
      <w:sz w:val="21"/>
      <w:szCs w:val="21"/>
      <w:lang w:val="en-US" w:eastAsia="zh-CN" w:bidi="ar-SA"/>
    </w:rPr>
  </w:style>
  <w:style w:type="paragraph" w:customStyle="1" w:styleId="513">
    <w:name w:val="样式 四号 行距: 固定值 24 磅"/>
    <w:basedOn w:val="1"/>
    <w:qFormat/>
    <w:uiPriority w:val="99"/>
    <w:pPr>
      <w:spacing w:line="460" w:lineRule="exact"/>
      <w:ind w:firstLine="200" w:firstLineChars="200"/>
    </w:pPr>
    <w:rPr>
      <w:sz w:val="28"/>
      <w:szCs w:val="28"/>
    </w:rPr>
  </w:style>
  <w:style w:type="paragraph" w:customStyle="1" w:styleId="514">
    <w:name w:val="表右"/>
    <w:next w:val="1"/>
    <w:qFormat/>
    <w:uiPriority w:val="99"/>
    <w:pPr>
      <w:jc w:val="right"/>
    </w:pPr>
    <w:rPr>
      <w:rFonts w:ascii="Times New Roman" w:hAnsi="Times New Roman" w:eastAsia="宋体" w:cs="Times New Roman"/>
      <w:color w:val="000000"/>
      <w:kern w:val="2"/>
      <w:sz w:val="21"/>
      <w:szCs w:val="21"/>
      <w:lang w:val="en-US" w:eastAsia="zh-CN" w:bidi="ar-SA"/>
    </w:rPr>
  </w:style>
  <w:style w:type="paragraph" w:customStyle="1" w:styleId="515">
    <w:name w:val="表文字"/>
    <w:basedOn w:val="1"/>
    <w:next w:val="1"/>
    <w:qFormat/>
    <w:uiPriority w:val="99"/>
    <w:pPr>
      <w:autoSpaceDE w:val="0"/>
      <w:autoSpaceDN w:val="0"/>
      <w:adjustRightInd w:val="0"/>
      <w:jc w:val="left"/>
    </w:pPr>
    <w:rPr>
      <w:rFonts w:eastAsia="楷体_GB2312"/>
      <w:kern w:val="0"/>
    </w:rPr>
  </w:style>
  <w:style w:type="paragraph" w:customStyle="1" w:styleId="516">
    <w:name w:val="样式  Char + (西文) 宋体 小四 行距: 1.5 倍行距 首行缩进:  2 字符"/>
    <w:basedOn w:val="27"/>
    <w:qFormat/>
    <w:uiPriority w:val="99"/>
    <w:pPr>
      <w:spacing w:line="440" w:lineRule="exact"/>
      <w:ind w:firstLine="200" w:firstLineChars="200"/>
    </w:pPr>
    <w:rPr>
      <w:rFonts w:hAnsi="宋体"/>
      <w:sz w:val="24"/>
      <w:szCs w:val="24"/>
    </w:rPr>
  </w:style>
  <w:style w:type="paragraph" w:customStyle="1" w:styleId="517">
    <w:name w:val="xl110"/>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518">
    <w:name w:val="样式 样式 洋正 + 左侧:  0 厘米 首行缩进:  0 字符 + 首行缩进:  2 字符"/>
    <w:basedOn w:val="519"/>
    <w:qFormat/>
    <w:uiPriority w:val="99"/>
    <w:pPr>
      <w:keepLines w:val="0"/>
    </w:pPr>
  </w:style>
  <w:style w:type="paragraph" w:customStyle="1" w:styleId="519">
    <w:name w:val="样式 洋正 + 左侧:  0 厘米 首行缩进:  0 字符"/>
    <w:basedOn w:val="168"/>
    <w:qFormat/>
    <w:uiPriority w:val="99"/>
    <w:pPr>
      <w:keepLines/>
      <w:ind w:firstLine="480"/>
    </w:pPr>
  </w:style>
  <w:style w:type="paragraph" w:customStyle="1" w:styleId="520">
    <w:name w:val="样式 标题 1 + 黑体 三号 非加粗 行距: 单倍行距"/>
    <w:basedOn w:val="3"/>
    <w:qFormat/>
    <w:uiPriority w:val="99"/>
    <w:pPr>
      <w:adjustRightInd/>
      <w:spacing w:before="340" w:after="330" w:line="240" w:lineRule="auto"/>
      <w:jc w:val="both"/>
      <w:textAlignment w:val="auto"/>
    </w:pPr>
    <w:rPr>
      <w:rFonts w:ascii="黑体" w:hAnsi="黑体" w:cs="黑体"/>
      <w:kern w:val="44"/>
      <w:sz w:val="32"/>
      <w:szCs w:val="32"/>
    </w:rPr>
  </w:style>
  <w:style w:type="paragraph" w:customStyle="1" w:styleId="521">
    <w:name w:val="xl73"/>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top"/>
    </w:pPr>
    <w:rPr>
      <w:rFonts w:ascii="宋体" w:hAnsi="宋体" w:cs="宋体"/>
      <w:kern w:val="0"/>
      <w:sz w:val="24"/>
      <w:szCs w:val="24"/>
    </w:rPr>
  </w:style>
  <w:style w:type="paragraph" w:customStyle="1" w:styleId="522">
    <w:name w:val="xl38"/>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523">
    <w:name w:val="xl79"/>
    <w:basedOn w:val="1"/>
    <w:qFormat/>
    <w:uiPriority w:val="99"/>
    <w:pPr>
      <w:widowControl/>
      <w:pBdr>
        <w:bottom w:val="single" w:color="auto" w:sz="4" w:space="0"/>
      </w:pBdr>
      <w:spacing w:before="100" w:beforeAutospacing="1" w:after="100" w:afterAutospacing="1"/>
      <w:jc w:val="center"/>
      <w:textAlignment w:val="center"/>
    </w:pPr>
    <w:rPr>
      <w:rFonts w:ascii="宋体" w:hAnsi="宋体" w:cs="宋体"/>
      <w:kern w:val="0"/>
      <w:sz w:val="40"/>
      <w:szCs w:val="40"/>
    </w:rPr>
  </w:style>
  <w:style w:type="paragraph" w:customStyle="1" w:styleId="524">
    <w:name w:val="图名4"/>
    <w:basedOn w:val="1"/>
    <w:qFormat/>
    <w:uiPriority w:val="99"/>
    <w:pPr>
      <w:tabs>
        <w:tab w:val="left" w:pos="360"/>
      </w:tabs>
      <w:jc w:val="center"/>
    </w:pPr>
    <w:rPr>
      <w:rFonts w:eastAsia="黑体"/>
      <w:sz w:val="24"/>
      <w:szCs w:val="24"/>
    </w:rPr>
  </w:style>
  <w:style w:type="paragraph" w:customStyle="1" w:styleId="525">
    <w:name w:val="xl88"/>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top"/>
    </w:pPr>
    <w:rPr>
      <w:kern w:val="0"/>
      <w:sz w:val="18"/>
      <w:szCs w:val="18"/>
    </w:rPr>
  </w:style>
  <w:style w:type="paragraph" w:customStyle="1" w:styleId="526">
    <w:name w:val="样式 图 + Times New Roman 五号 段前: 0 磅 段后: 0 磅 行距: 固定值 20 磅"/>
    <w:basedOn w:val="2"/>
    <w:next w:val="2"/>
    <w:qFormat/>
    <w:uiPriority w:val="99"/>
    <w:rPr>
      <w:rFonts w:ascii="宋体" w:eastAsia="宋体" w:cs="宋体"/>
      <w:color w:val="auto"/>
    </w:rPr>
  </w:style>
  <w:style w:type="paragraph" w:customStyle="1" w:styleId="527">
    <w:name w:val="xl78"/>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528">
    <w:name w:val="1"/>
    <w:basedOn w:val="1"/>
    <w:next w:val="30"/>
    <w:qFormat/>
    <w:uiPriority w:val="99"/>
    <w:pPr>
      <w:adjustRightInd w:val="0"/>
      <w:snapToGrid w:val="0"/>
      <w:spacing w:beforeLines="50" w:line="480" w:lineRule="exact"/>
      <w:ind w:firstLine="560" w:firstLineChars="200"/>
    </w:pPr>
    <w:rPr>
      <w:sz w:val="28"/>
      <w:szCs w:val="28"/>
    </w:rPr>
  </w:style>
  <w:style w:type="paragraph" w:customStyle="1" w:styleId="529">
    <w:name w:val="样式 样式 正文缩进s4标题4 + 段前: 0 磅 段后: 0 磅 行距: 单倍行距 + 首行缩进:  2 字符"/>
    <w:basedOn w:val="1"/>
    <w:qFormat/>
    <w:uiPriority w:val="99"/>
    <w:pPr>
      <w:spacing w:line="360" w:lineRule="auto"/>
      <w:ind w:firstLine="200" w:firstLineChars="200"/>
    </w:pPr>
    <w:rPr>
      <w:spacing w:val="4"/>
      <w:kern w:val="0"/>
      <w:sz w:val="24"/>
      <w:szCs w:val="24"/>
    </w:rPr>
  </w:style>
  <w:style w:type="paragraph" w:customStyle="1" w:styleId="530">
    <w:name w:val="本文格式"/>
    <w:basedOn w:val="1"/>
    <w:qFormat/>
    <w:uiPriority w:val="99"/>
    <w:pPr>
      <w:adjustRightInd w:val="0"/>
      <w:spacing w:line="360" w:lineRule="exact"/>
      <w:ind w:firstLine="476"/>
      <w:textAlignment w:val="baseline"/>
    </w:pPr>
    <w:rPr>
      <w:kern w:val="0"/>
      <w:sz w:val="24"/>
      <w:szCs w:val="24"/>
    </w:rPr>
  </w:style>
  <w:style w:type="paragraph" w:customStyle="1" w:styleId="531">
    <w:name w:val="BG1"/>
    <w:basedOn w:val="1"/>
    <w:qFormat/>
    <w:uiPriority w:val="99"/>
    <w:pPr>
      <w:autoSpaceDE w:val="0"/>
      <w:autoSpaceDN w:val="0"/>
      <w:adjustRightInd w:val="0"/>
      <w:spacing w:line="360" w:lineRule="exact"/>
      <w:jc w:val="center"/>
      <w:textAlignment w:val="baseline"/>
    </w:pPr>
    <w:rPr>
      <w:spacing w:val="2"/>
      <w:kern w:val="0"/>
    </w:rPr>
  </w:style>
  <w:style w:type="paragraph" w:customStyle="1" w:styleId="532">
    <w:name w:val="xl56"/>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533">
    <w:name w:val="xl101"/>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534">
    <w:name w:val="char"/>
    <w:basedOn w:val="1"/>
    <w:qFormat/>
    <w:uiPriority w:val="99"/>
    <w:pPr>
      <w:snapToGrid w:val="0"/>
      <w:spacing w:line="440" w:lineRule="exact"/>
      <w:ind w:firstLine="200" w:firstLineChars="200"/>
    </w:pPr>
    <w:rPr>
      <w:sz w:val="24"/>
      <w:szCs w:val="24"/>
    </w:rPr>
  </w:style>
  <w:style w:type="paragraph" w:customStyle="1" w:styleId="535">
    <w:name w:val="xl87"/>
    <w:basedOn w:val="1"/>
    <w:qFormat/>
    <w:uiPriority w:val="99"/>
    <w:pPr>
      <w:widowControl/>
      <w:spacing w:before="100" w:beforeAutospacing="1" w:after="100" w:afterAutospacing="1"/>
      <w:jc w:val="center"/>
    </w:pPr>
    <w:rPr>
      <w:rFonts w:ascii="宋体" w:hAnsi="宋体" w:cs="宋体"/>
      <w:kern w:val="0"/>
      <w:sz w:val="18"/>
      <w:szCs w:val="18"/>
    </w:rPr>
  </w:style>
  <w:style w:type="paragraph" w:customStyle="1" w:styleId="536">
    <w:name w:val="Char Char Char Char5"/>
    <w:basedOn w:val="1"/>
    <w:qFormat/>
    <w:uiPriority w:val="99"/>
    <w:pPr>
      <w:snapToGrid w:val="0"/>
      <w:spacing w:line="440" w:lineRule="atLeast"/>
    </w:pPr>
    <w:rPr>
      <w:rFonts w:ascii="宋体" w:cs="宋体"/>
      <w:sz w:val="24"/>
      <w:szCs w:val="24"/>
    </w:rPr>
  </w:style>
  <w:style w:type="paragraph" w:customStyle="1" w:styleId="537">
    <w:name w:val="样式 洋正 + (西文) 宋体 左侧:  0.85 厘米 首行缩进:  0 字符"/>
    <w:basedOn w:val="168"/>
    <w:qFormat/>
    <w:uiPriority w:val="99"/>
    <w:pPr>
      <w:keepLines/>
      <w:spacing w:line="440" w:lineRule="exact"/>
      <w:ind w:left="482" w:firstLine="0" w:firstLineChars="0"/>
    </w:pPr>
    <w:rPr>
      <w:rFonts w:ascii="宋体" w:hAnsi="宋体" w:cs="宋体"/>
    </w:rPr>
  </w:style>
  <w:style w:type="paragraph" w:customStyle="1" w:styleId="538">
    <w:name w:val="xl85"/>
    <w:basedOn w:val="1"/>
    <w:qFormat/>
    <w:uiPriority w:val="99"/>
    <w:pPr>
      <w:widowControl/>
      <w:pBdr>
        <w:top w:val="single" w:color="auto" w:sz="4" w:space="0"/>
        <w:left w:val="single" w:color="auto" w:sz="4" w:space="0"/>
        <w:right w:val="single" w:color="auto" w:sz="4" w:space="0"/>
      </w:pBdr>
      <w:spacing w:before="100" w:beforeAutospacing="1" w:after="100" w:afterAutospacing="1"/>
      <w:jc w:val="center"/>
    </w:pPr>
    <w:rPr>
      <w:kern w:val="0"/>
      <w:sz w:val="18"/>
      <w:szCs w:val="18"/>
    </w:rPr>
  </w:style>
  <w:style w:type="paragraph" w:customStyle="1" w:styleId="539">
    <w:name w:val="Char Char5"/>
    <w:basedOn w:val="1"/>
    <w:semiHidden/>
    <w:qFormat/>
    <w:uiPriority w:val="99"/>
    <w:pPr>
      <w:widowControl/>
      <w:jc w:val="left"/>
    </w:pPr>
  </w:style>
  <w:style w:type="paragraph" w:customStyle="1" w:styleId="540">
    <w:name w:val="xl28"/>
    <w:basedOn w:val="1"/>
    <w:qFormat/>
    <w:uiPriority w:val="99"/>
    <w:pPr>
      <w:widowControl/>
      <w:pBdr>
        <w:top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cs="Arial Unicode MS"/>
      <w:kern w:val="0"/>
      <w:sz w:val="16"/>
      <w:szCs w:val="16"/>
    </w:rPr>
  </w:style>
  <w:style w:type="paragraph" w:customStyle="1" w:styleId="541">
    <w:name w:val="样式 标题 1 + 宋体 小四 黑色 段前: 5 磅 段后: 5 磅 行距: 1.5 倍行距"/>
    <w:basedOn w:val="3"/>
    <w:qFormat/>
    <w:uiPriority w:val="99"/>
    <w:pPr>
      <w:adjustRightInd/>
      <w:spacing w:before="260" w:after="260"/>
      <w:jc w:val="both"/>
      <w:textAlignment w:val="auto"/>
    </w:pPr>
    <w:rPr>
      <w:rFonts w:ascii="宋体" w:hAnsi="宋体" w:eastAsia="宋体" w:cs="宋体"/>
      <w:b/>
      <w:bCs/>
      <w:sz w:val="24"/>
      <w:szCs w:val="24"/>
    </w:rPr>
  </w:style>
  <w:style w:type="paragraph" w:customStyle="1" w:styleId="542">
    <w:name w:val="xl50"/>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2"/>
      <w:szCs w:val="22"/>
    </w:rPr>
  </w:style>
  <w:style w:type="paragraph" w:customStyle="1" w:styleId="543">
    <w:name w:val="四级标题"/>
    <w:basedOn w:val="151"/>
    <w:qFormat/>
    <w:uiPriority w:val="99"/>
    <w:pPr>
      <w:outlineLvl w:val="4"/>
    </w:pPr>
    <w:rPr>
      <w:sz w:val="24"/>
      <w:szCs w:val="24"/>
    </w:rPr>
  </w:style>
  <w:style w:type="paragraph" w:customStyle="1" w:styleId="544">
    <w:name w:val="font10"/>
    <w:basedOn w:val="1"/>
    <w:qFormat/>
    <w:uiPriority w:val="99"/>
    <w:pPr>
      <w:widowControl/>
      <w:spacing w:before="100" w:beforeAutospacing="1" w:after="100" w:afterAutospacing="1"/>
      <w:jc w:val="left"/>
    </w:pPr>
    <w:rPr>
      <w:kern w:val="0"/>
      <w:sz w:val="16"/>
      <w:szCs w:val="16"/>
    </w:rPr>
  </w:style>
  <w:style w:type="paragraph" w:customStyle="1" w:styleId="545">
    <w:name w:val="xl68"/>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546">
    <w:name w:val="CM7"/>
    <w:basedOn w:val="1"/>
    <w:next w:val="1"/>
    <w:qFormat/>
    <w:uiPriority w:val="99"/>
    <w:pPr>
      <w:autoSpaceDE w:val="0"/>
      <w:autoSpaceDN w:val="0"/>
      <w:adjustRightInd w:val="0"/>
      <w:spacing w:line="468" w:lineRule="atLeast"/>
      <w:jc w:val="left"/>
    </w:pPr>
    <w:rPr>
      <w:rFonts w:ascii="Sim Sun" w:eastAsia="Sim Sun" w:cs="Sim Sun"/>
      <w:kern w:val="0"/>
      <w:sz w:val="24"/>
      <w:szCs w:val="24"/>
    </w:rPr>
  </w:style>
  <w:style w:type="paragraph" w:customStyle="1" w:styleId="547">
    <w:name w:val="图born"/>
    <w:basedOn w:val="1"/>
    <w:qFormat/>
    <w:uiPriority w:val="99"/>
    <w:pPr>
      <w:spacing w:line="360" w:lineRule="auto"/>
      <w:ind w:firstLine="480"/>
      <w:jc w:val="center"/>
    </w:pPr>
    <w:rPr>
      <w:rFonts w:ascii="黑体" w:hAnsi="黑体" w:eastAsia="黑体" w:cs="黑体"/>
    </w:rPr>
  </w:style>
  <w:style w:type="paragraph" w:customStyle="1" w:styleId="548">
    <w:name w:val="font8"/>
    <w:basedOn w:val="1"/>
    <w:qFormat/>
    <w:uiPriority w:val="99"/>
    <w:pPr>
      <w:widowControl/>
      <w:spacing w:before="100" w:beforeAutospacing="1" w:after="100" w:afterAutospacing="1"/>
      <w:jc w:val="left"/>
    </w:pPr>
    <w:rPr>
      <w:kern w:val="0"/>
    </w:rPr>
  </w:style>
  <w:style w:type="paragraph" w:customStyle="1" w:styleId="549">
    <w:name w:val="样式 标题 1 + 小四1"/>
    <w:basedOn w:val="3"/>
    <w:next w:val="461"/>
    <w:qFormat/>
    <w:uiPriority w:val="99"/>
    <w:pPr>
      <w:adjustRightInd/>
      <w:spacing w:before="200" w:after="200"/>
      <w:jc w:val="both"/>
      <w:textAlignment w:val="auto"/>
    </w:pPr>
    <w:rPr>
      <w:rFonts w:eastAsia="宋体"/>
      <w:b/>
      <w:bCs/>
      <w:sz w:val="24"/>
      <w:szCs w:val="24"/>
    </w:rPr>
  </w:style>
  <w:style w:type="paragraph" w:customStyle="1" w:styleId="550">
    <w:name w:val="xl116"/>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551">
    <w:name w:val="xl63"/>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552">
    <w:name w:val="样式 (符号) 宋体 小四 行距: 1.5 倍行距 首行缩进:  2 字符"/>
    <w:basedOn w:val="1"/>
    <w:qFormat/>
    <w:uiPriority w:val="99"/>
    <w:pPr>
      <w:spacing w:line="360" w:lineRule="auto"/>
      <w:ind w:firstLine="200" w:firstLineChars="200"/>
      <w:jc w:val="left"/>
    </w:pPr>
    <w:rPr>
      <w:kern w:val="0"/>
      <w:sz w:val="24"/>
      <w:szCs w:val="24"/>
    </w:rPr>
  </w:style>
  <w:style w:type="paragraph" w:customStyle="1" w:styleId="553">
    <w:name w:val="样式 二级标题 + 段前: 1 行 段后: 0.5 行"/>
    <w:basedOn w:val="1"/>
    <w:qFormat/>
    <w:uiPriority w:val="99"/>
    <w:pPr>
      <w:keepNext/>
      <w:keepLines/>
      <w:widowControl/>
      <w:spacing w:before="120" w:after="120" w:line="440" w:lineRule="exact"/>
    </w:pPr>
    <w:rPr>
      <w:b/>
      <w:bCs/>
      <w:spacing w:val="10"/>
      <w:sz w:val="30"/>
      <w:szCs w:val="30"/>
    </w:rPr>
  </w:style>
  <w:style w:type="paragraph" w:customStyle="1" w:styleId="554">
    <w:name w:val="xl54"/>
    <w:basedOn w:val="1"/>
    <w:qFormat/>
    <w:uiPriority w:val="99"/>
    <w:pPr>
      <w:widowControl/>
      <w:pBdr>
        <w:top w:val="single" w:color="auto" w:sz="4" w:space="0"/>
        <w:left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555">
    <w:name w:val="样式 标题 2节1.1 标题 2 + (西文) Times New Roman (中文) 宋体 小三 段前: 7.8 ..."/>
    <w:basedOn w:val="4"/>
    <w:qFormat/>
    <w:uiPriority w:val="99"/>
    <w:pPr>
      <w:spacing w:beforeLines="50" w:afterLines="50" w:line="460" w:lineRule="exact"/>
      <w:jc w:val="both"/>
    </w:pPr>
    <w:rPr>
      <w:rFonts w:ascii="Times New Roman" w:hAnsi="Times New Roman" w:cs="Times New Roman"/>
      <w:sz w:val="30"/>
      <w:szCs w:val="30"/>
    </w:rPr>
  </w:style>
  <w:style w:type="paragraph" w:customStyle="1" w:styleId="556">
    <w:name w:val="xl67"/>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0"/>
      <w:szCs w:val="20"/>
    </w:rPr>
  </w:style>
  <w:style w:type="paragraph" w:customStyle="1" w:styleId="557">
    <w:name w:val="xl59"/>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558">
    <w:name w:val="全文正文"/>
    <w:basedOn w:val="1"/>
    <w:qFormat/>
    <w:uiPriority w:val="99"/>
    <w:pPr>
      <w:spacing w:line="360" w:lineRule="auto"/>
      <w:ind w:firstLine="480" w:firstLineChars="200"/>
    </w:pPr>
    <w:rPr>
      <w:rFonts w:ascii="Times" w:hAnsi="Times" w:cs="Times"/>
      <w:lang w:val="zh-CN"/>
    </w:rPr>
  </w:style>
  <w:style w:type="paragraph" w:customStyle="1" w:styleId="559">
    <w:name w:val="xl117"/>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560">
    <w:name w:val="插图题注"/>
    <w:basedOn w:val="1"/>
    <w:qFormat/>
    <w:uiPriority w:val="99"/>
    <w:pPr>
      <w:tabs>
        <w:tab w:val="left" w:pos="397"/>
      </w:tabs>
      <w:spacing w:line="480" w:lineRule="atLeast"/>
      <w:ind w:left="397"/>
      <w:jc w:val="center"/>
    </w:pPr>
    <w:rPr>
      <w:rFonts w:eastAsia="仿宋_GB2312"/>
      <w:sz w:val="28"/>
      <w:szCs w:val="28"/>
    </w:rPr>
  </w:style>
  <w:style w:type="paragraph" w:customStyle="1" w:styleId="561">
    <w:name w:val="xl84"/>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562">
    <w:name w:val="样式 三级标题 + 图案: 清除"/>
    <w:basedOn w:val="151"/>
    <w:qFormat/>
    <w:uiPriority w:val="99"/>
    <w:pPr>
      <w:tabs>
        <w:tab w:val="left" w:pos="3598"/>
        <w:tab w:val="clear" w:pos="432"/>
      </w:tabs>
      <w:snapToGrid w:val="0"/>
      <w:spacing w:before="0" w:after="0" w:line="360" w:lineRule="auto"/>
      <w:ind w:left="0"/>
      <w:jc w:val="both"/>
      <w:outlineLvl w:val="2"/>
    </w:pPr>
    <w:rPr>
      <w:kern w:val="0"/>
      <w:sz w:val="24"/>
      <w:szCs w:val="24"/>
    </w:rPr>
  </w:style>
  <w:style w:type="paragraph" w:customStyle="1" w:styleId="563">
    <w:name w:val="_Style 378"/>
    <w:next w:val="1"/>
    <w:qFormat/>
    <w:uiPriority w:val="99"/>
    <w:pPr>
      <w:widowControl w:val="0"/>
      <w:jc w:val="both"/>
    </w:pPr>
    <w:rPr>
      <w:rFonts w:ascii="Times New Roman" w:hAnsi="Times New Roman" w:eastAsia="宋体" w:cs="Times New Roman"/>
      <w:color w:val="000000"/>
      <w:kern w:val="2"/>
      <w:sz w:val="21"/>
      <w:szCs w:val="21"/>
      <w:lang w:val="en-US" w:eastAsia="zh-CN" w:bidi="ar-SA"/>
    </w:rPr>
  </w:style>
  <w:style w:type="paragraph" w:customStyle="1" w:styleId="564">
    <w:name w:val="表格注解"/>
    <w:basedOn w:val="14"/>
    <w:qFormat/>
    <w:uiPriority w:val="99"/>
    <w:pPr>
      <w:spacing w:beforeLines="50"/>
      <w:ind w:firstLine="436"/>
    </w:pPr>
    <w:rPr>
      <w:spacing w:val="4"/>
      <w:kern w:val="0"/>
    </w:rPr>
  </w:style>
  <w:style w:type="paragraph" w:customStyle="1" w:styleId="565">
    <w:name w:val="xl92"/>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566">
    <w:name w:val="pic-info"/>
    <w:basedOn w:val="1"/>
    <w:qFormat/>
    <w:uiPriority w:val="99"/>
    <w:pPr>
      <w:widowControl/>
      <w:spacing w:before="100" w:beforeAutospacing="1" w:after="100" w:afterAutospacing="1"/>
      <w:jc w:val="left"/>
    </w:pPr>
    <w:rPr>
      <w:rFonts w:ascii="宋体" w:hAnsi="宋体" w:cs="宋体"/>
      <w:kern w:val="0"/>
      <w:sz w:val="24"/>
      <w:szCs w:val="24"/>
    </w:rPr>
  </w:style>
  <w:style w:type="paragraph" w:customStyle="1" w:styleId="567">
    <w:name w:val="xl104"/>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568">
    <w:name w:val="font13"/>
    <w:basedOn w:val="1"/>
    <w:qFormat/>
    <w:uiPriority w:val="99"/>
    <w:pPr>
      <w:widowControl/>
      <w:spacing w:before="100" w:beforeAutospacing="1" w:after="100" w:afterAutospacing="1"/>
      <w:jc w:val="left"/>
    </w:pPr>
    <w:rPr>
      <w:rFonts w:ascii="宋体" w:hAnsi="宋体" w:cs="宋体"/>
      <w:b/>
      <w:bCs/>
      <w:kern w:val="0"/>
      <w:sz w:val="20"/>
      <w:szCs w:val="20"/>
    </w:rPr>
  </w:style>
  <w:style w:type="paragraph" w:customStyle="1" w:styleId="569">
    <w:name w:val="表"/>
    <w:basedOn w:val="1"/>
    <w:qFormat/>
    <w:uiPriority w:val="99"/>
    <w:pPr>
      <w:widowControl/>
      <w:autoSpaceDE w:val="0"/>
      <w:autoSpaceDN w:val="0"/>
      <w:adjustRightInd w:val="0"/>
      <w:snapToGrid w:val="0"/>
      <w:jc w:val="center"/>
    </w:pPr>
    <w:rPr>
      <w:kern w:val="0"/>
      <w:sz w:val="24"/>
      <w:szCs w:val="24"/>
      <w:lang w:val="zh-CN"/>
    </w:rPr>
  </w:style>
  <w:style w:type="paragraph" w:customStyle="1" w:styleId="570">
    <w:name w:val="样式 四号 行距: 固定值 22.5 磅"/>
    <w:basedOn w:val="1"/>
    <w:qFormat/>
    <w:uiPriority w:val="99"/>
    <w:pPr>
      <w:spacing w:line="460" w:lineRule="exact"/>
      <w:ind w:firstLine="200" w:firstLineChars="200"/>
    </w:pPr>
    <w:rPr>
      <w:sz w:val="28"/>
      <w:szCs w:val="28"/>
    </w:rPr>
  </w:style>
  <w:style w:type="paragraph" w:customStyle="1" w:styleId="571">
    <w:name w:val="工程"/>
    <w:qFormat/>
    <w:uiPriority w:val="99"/>
    <w:pPr>
      <w:widowControl w:val="0"/>
      <w:spacing w:line="360" w:lineRule="atLeast"/>
      <w:jc w:val="center"/>
    </w:pPr>
    <w:rPr>
      <w:rFonts w:ascii="Times New Roman" w:hAnsi="Times New Roman" w:eastAsia="宋体" w:cs="Times New Roman"/>
      <w:color w:val="000000"/>
      <w:kern w:val="2"/>
      <w:sz w:val="21"/>
      <w:szCs w:val="21"/>
      <w:lang w:val="en-US" w:eastAsia="zh-CN" w:bidi="ar-SA"/>
    </w:rPr>
  </w:style>
  <w:style w:type="paragraph" w:customStyle="1" w:styleId="572">
    <w:name w:val="样式 首行缩进:  2 字符 行距: 固定值 25.05 磅"/>
    <w:basedOn w:val="1"/>
    <w:qFormat/>
    <w:uiPriority w:val="99"/>
    <w:pPr>
      <w:spacing w:line="360" w:lineRule="auto"/>
      <w:ind w:firstLine="200" w:firstLineChars="200"/>
    </w:pPr>
    <w:rPr>
      <w:sz w:val="24"/>
      <w:szCs w:val="24"/>
    </w:rPr>
  </w:style>
  <w:style w:type="paragraph" w:customStyle="1" w:styleId="573">
    <w:name w:val="表格标题 + +"/>
    <w:basedOn w:val="1"/>
    <w:qFormat/>
    <w:uiPriority w:val="99"/>
    <w:pPr>
      <w:tabs>
        <w:tab w:val="center" w:pos="4253"/>
        <w:tab w:val="right" w:pos="8400"/>
      </w:tabs>
      <w:adjustRightInd w:val="0"/>
      <w:snapToGrid w:val="0"/>
      <w:spacing w:afterLines="10"/>
      <w:ind w:firstLine="120" w:firstLineChars="50"/>
    </w:pPr>
    <w:rPr>
      <w:rFonts w:eastAsia="黑体"/>
      <w:kern w:val="0"/>
      <w:sz w:val="24"/>
      <w:szCs w:val="24"/>
    </w:rPr>
  </w:style>
  <w:style w:type="paragraph" w:customStyle="1" w:styleId="574">
    <w:name w:val="xl62"/>
    <w:basedOn w:val="1"/>
    <w:qFormat/>
    <w:uiPriority w:val="99"/>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575">
    <w:name w:val="初设正文"/>
    <w:basedOn w:val="1"/>
    <w:qFormat/>
    <w:uiPriority w:val="99"/>
    <w:pPr>
      <w:spacing w:line="360" w:lineRule="auto"/>
      <w:ind w:firstLine="480" w:firstLineChars="200"/>
    </w:pPr>
    <w:rPr>
      <w:rFonts w:ascii="宋体" w:hAnsi="宋体" w:cs="宋体"/>
      <w:sz w:val="24"/>
      <w:szCs w:val="24"/>
    </w:rPr>
  </w:style>
  <w:style w:type="paragraph" w:customStyle="1" w:styleId="576">
    <w:name w:val="xl47"/>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top"/>
    </w:pPr>
    <w:rPr>
      <w:kern w:val="0"/>
      <w:sz w:val="18"/>
      <w:szCs w:val="18"/>
    </w:rPr>
  </w:style>
  <w:style w:type="paragraph" w:customStyle="1" w:styleId="577">
    <w:name w:val="Char1 Char Char Char1 Char Char Char"/>
    <w:basedOn w:val="3"/>
    <w:qFormat/>
    <w:uiPriority w:val="99"/>
    <w:pPr>
      <w:tabs>
        <w:tab w:val="left" w:pos="432"/>
      </w:tabs>
      <w:adjustRightInd/>
      <w:spacing w:before="340" w:after="330"/>
      <w:ind w:left="431" w:firstLine="200" w:firstLineChars="200"/>
      <w:textAlignment w:val="auto"/>
    </w:pPr>
    <w:rPr>
      <w:rFonts w:ascii="宋体" w:hAnsi="宋体" w:eastAsia="宋体" w:cs="宋体"/>
      <w:b/>
      <w:bCs/>
      <w:kern w:val="44"/>
      <w:sz w:val="32"/>
      <w:szCs w:val="32"/>
    </w:rPr>
  </w:style>
  <w:style w:type="paragraph" w:customStyle="1" w:styleId="578">
    <w:name w:val="一级标题"/>
    <w:basedOn w:val="1"/>
    <w:next w:val="3"/>
    <w:qFormat/>
    <w:uiPriority w:val="99"/>
    <w:pPr>
      <w:pageBreakBefore/>
      <w:widowControl/>
      <w:spacing w:before="260" w:after="260" w:line="415" w:lineRule="auto"/>
      <w:outlineLvl w:val="0"/>
    </w:pPr>
    <w:rPr>
      <w:b/>
      <w:bCs/>
      <w:sz w:val="24"/>
      <w:szCs w:val="24"/>
    </w:rPr>
  </w:style>
  <w:style w:type="paragraph" w:customStyle="1" w:styleId="579">
    <w:name w:val="xl46"/>
    <w:basedOn w:val="1"/>
    <w:qFormat/>
    <w:uiPriority w:val="99"/>
    <w:pPr>
      <w:widowControl/>
      <w:spacing w:before="100" w:beforeAutospacing="1" w:after="100" w:afterAutospacing="1"/>
      <w:jc w:val="center"/>
    </w:pPr>
    <w:rPr>
      <w:rFonts w:ascii="宋体" w:hAnsi="宋体" w:cs="宋体"/>
      <w:kern w:val="0"/>
      <w:sz w:val="18"/>
      <w:szCs w:val="18"/>
    </w:rPr>
  </w:style>
  <w:style w:type="paragraph" w:customStyle="1" w:styleId="580">
    <w:name w:val="8.1.1b Char Char Char Char"/>
    <w:next w:val="1"/>
    <w:qFormat/>
    <w:uiPriority w:val="99"/>
    <w:pPr>
      <w:snapToGrid w:val="0"/>
      <w:spacing w:beforeLines="50" w:afterLines="50"/>
    </w:pPr>
    <w:rPr>
      <w:rFonts w:ascii="Times New Roman" w:hAnsi="Times New Roman" w:eastAsia="华文中宋" w:cs="Times New Roman"/>
      <w:b/>
      <w:bCs/>
      <w:color w:val="000000"/>
      <w:kern w:val="2"/>
      <w:sz w:val="28"/>
      <w:szCs w:val="28"/>
      <w:lang w:val="en-US" w:eastAsia="zh-CN" w:bidi="ar-SA"/>
    </w:rPr>
  </w:style>
  <w:style w:type="paragraph" w:customStyle="1" w:styleId="581">
    <w:name w:val="xl100"/>
    <w:basedOn w:val="1"/>
    <w:qFormat/>
    <w:uiPriority w:val="99"/>
    <w:pPr>
      <w:widowControl/>
      <w:spacing w:before="100" w:beforeAutospacing="1" w:after="100" w:afterAutospacing="1"/>
      <w:jc w:val="center"/>
    </w:pPr>
    <w:rPr>
      <w:rFonts w:ascii="宋体" w:hAnsi="宋体" w:cs="宋体"/>
      <w:kern w:val="0"/>
      <w:sz w:val="18"/>
      <w:szCs w:val="18"/>
    </w:rPr>
  </w:style>
  <w:style w:type="paragraph" w:customStyle="1" w:styleId="582">
    <w:name w:val="xl66"/>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583">
    <w:name w:val="成1"/>
    <w:qFormat/>
    <w:uiPriority w:val="99"/>
    <w:pPr>
      <w:pageBreakBefore/>
      <w:spacing w:beforeLines="50" w:afterLines="50" w:line="360" w:lineRule="auto"/>
      <w:jc w:val="center"/>
      <w:outlineLvl w:val="0"/>
    </w:pPr>
    <w:rPr>
      <w:rFonts w:ascii="Times New Roman" w:hAnsi="Times New Roman" w:eastAsia="宋体" w:cs="Times New Roman"/>
      <w:b/>
      <w:bCs/>
      <w:color w:val="000000"/>
      <w:kern w:val="2"/>
      <w:sz w:val="24"/>
      <w:szCs w:val="24"/>
      <w:lang w:val="en-US" w:eastAsia="zh-CN" w:bidi="ar-SA"/>
    </w:rPr>
  </w:style>
  <w:style w:type="paragraph" w:customStyle="1" w:styleId="584">
    <w:name w:val="表头文字"/>
    <w:basedOn w:val="1"/>
    <w:qFormat/>
    <w:uiPriority w:val="99"/>
    <w:pPr>
      <w:widowControl/>
      <w:jc w:val="center"/>
    </w:pPr>
    <w:rPr>
      <w:b/>
      <w:bCs/>
      <w:kern w:val="0"/>
    </w:rPr>
  </w:style>
  <w:style w:type="paragraph" w:customStyle="1" w:styleId="585">
    <w:name w:val="font11"/>
    <w:basedOn w:val="1"/>
    <w:qFormat/>
    <w:uiPriority w:val="99"/>
    <w:pPr>
      <w:widowControl/>
      <w:spacing w:before="100" w:beforeAutospacing="1" w:after="100" w:afterAutospacing="1"/>
      <w:jc w:val="left"/>
    </w:pPr>
    <w:rPr>
      <w:rFonts w:ascii="宋体" w:hAnsi="宋体" w:cs="宋体"/>
      <w:kern w:val="0"/>
      <w:sz w:val="16"/>
      <w:szCs w:val="16"/>
    </w:rPr>
  </w:style>
  <w:style w:type="paragraph" w:customStyle="1" w:styleId="586">
    <w:name w:val="font19"/>
    <w:basedOn w:val="1"/>
    <w:qFormat/>
    <w:uiPriority w:val="99"/>
    <w:pPr>
      <w:widowControl/>
      <w:spacing w:before="100" w:beforeAutospacing="1" w:after="100" w:afterAutospacing="1"/>
      <w:jc w:val="left"/>
    </w:pPr>
    <w:rPr>
      <w:rFonts w:ascii="宋体" w:hAnsi="宋体" w:cs="宋体"/>
      <w:kern w:val="0"/>
      <w:sz w:val="20"/>
      <w:szCs w:val="20"/>
    </w:rPr>
  </w:style>
  <w:style w:type="paragraph" w:customStyle="1" w:styleId="587">
    <w:name w:val="xl94"/>
    <w:basedOn w:val="1"/>
    <w:qFormat/>
    <w:uiPriority w:val="99"/>
    <w:pPr>
      <w:widowControl/>
      <w:pBdr>
        <w:top w:val="single" w:color="auto" w:sz="4" w:space="0"/>
        <w:left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588">
    <w:name w:val="xl29"/>
    <w:basedOn w:val="1"/>
    <w:qFormat/>
    <w:uiPriority w:val="99"/>
    <w:pPr>
      <w:widowControl/>
      <w:pBdr>
        <w:bottom w:val="single" w:color="auto" w:sz="4" w:space="0"/>
      </w:pBdr>
      <w:spacing w:before="100" w:beforeAutospacing="1" w:after="100" w:afterAutospacing="1"/>
      <w:jc w:val="left"/>
      <w:textAlignment w:val="center"/>
    </w:pPr>
    <w:rPr>
      <w:rFonts w:ascii="Arial Unicode MS" w:hAnsi="Arial Unicode MS" w:cs="Arial Unicode MS"/>
      <w:b/>
      <w:bCs/>
      <w:kern w:val="0"/>
    </w:rPr>
  </w:style>
  <w:style w:type="paragraph" w:customStyle="1" w:styleId="589">
    <w:name w:val="1.1"/>
    <w:basedOn w:val="1"/>
    <w:qFormat/>
    <w:uiPriority w:val="99"/>
    <w:pPr>
      <w:spacing w:line="360" w:lineRule="auto"/>
      <w:ind w:firstLine="360" w:firstLineChars="128"/>
      <w:outlineLvl w:val="1"/>
    </w:pPr>
    <w:rPr>
      <w:rFonts w:ascii="宋体" w:hAnsi="宋体" w:cs="宋体"/>
      <w:b/>
      <w:bCs/>
      <w:kern w:val="0"/>
      <w:sz w:val="28"/>
      <w:szCs w:val="28"/>
    </w:rPr>
  </w:style>
  <w:style w:type="paragraph" w:customStyle="1" w:styleId="590">
    <w:name w:val="正文1"/>
    <w:basedOn w:val="22"/>
    <w:qFormat/>
    <w:uiPriority w:val="99"/>
    <w:pPr>
      <w:spacing w:line="360" w:lineRule="auto"/>
      <w:ind w:firstLine="480"/>
    </w:pPr>
    <w:rPr>
      <w:sz w:val="24"/>
      <w:szCs w:val="24"/>
    </w:rPr>
  </w:style>
  <w:style w:type="paragraph" w:customStyle="1" w:styleId="591">
    <w:name w:val="xl98"/>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top"/>
    </w:pPr>
    <w:rPr>
      <w:rFonts w:ascii="宋体" w:hAnsi="宋体" w:cs="宋体"/>
      <w:kern w:val="0"/>
      <w:sz w:val="18"/>
      <w:szCs w:val="18"/>
    </w:rPr>
  </w:style>
  <w:style w:type="paragraph" w:customStyle="1" w:styleId="592">
    <w:name w:val="xl74"/>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593">
    <w:name w:val="xl24"/>
    <w:basedOn w:val="1"/>
    <w:qFormat/>
    <w:uiPriority w:val="99"/>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Arial Unicode MS" w:hAnsi="Arial Unicode MS" w:cs="Arial Unicode MS"/>
      <w:kern w:val="0"/>
      <w:sz w:val="16"/>
      <w:szCs w:val="16"/>
    </w:rPr>
  </w:style>
  <w:style w:type="paragraph" w:customStyle="1" w:styleId="594">
    <w:name w:val="表格正文左对齐"/>
    <w:basedOn w:val="1"/>
    <w:qFormat/>
    <w:uiPriority w:val="99"/>
    <w:pPr>
      <w:spacing w:line="440" w:lineRule="exact"/>
      <w:jc w:val="center"/>
    </w:pPr>
    <w:rPr>
      <w:kern w:val="0"/>
    </w:rPr>
  </w:style>
  <w:style w:type="paragraph" w:customStyle="1" w:styleId="595">
    <w:name w:val="样式 首行缩进:  1.04 厘米"/>
    <w:basedOn w:val="1"/>
    <w:qFormat/>
    <w:uiPriority w:val="99"/>
    <w:pPr>
      <w:adjustRightInd w:val="0"/>
      <w:spacing w:line="360" w:lineRule="auto"/>
      <w:jc w:val="left"/>
      <w:textAlignment w:val="baseline"/>
    </w:pPr>
    <w:rPr>
      <w:sz w:val="24"/>
      <w:szCs w:val="24"/>
    </w:rPr>
  </w:style>
  <w:style w:type="paragraph" w:customStyle="1" w:styleId="596">
    <w:name w:val="xl57"/>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top"/>
    </w:pPr>
    <w:rPr>
      <w:rFonts w:ascii="宋体" w:hAnsi="宋体" w:cs="宋体"/>
      <w:kern w:val="0"/>
      <w:sz w:val="18"/>
      <w:szCs w:val="18"/>
    </w:rPr>
  </w:style>
  <w:style w:type="paragraph" w:customStyle="1" w:styleId="597">
    <w:name w:val="xl61"/>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598">
    <w:name w:val="样式3"/>
    <w:basedOn w:val="33"/>
    <w:qFormat/>
    <w:uiPriority w:val="99"/>
    <w:pPr>
      <w:pBdr>
        <w:top w:val="single" w:color="auto" w:sz="4" w:space="1"/>
      </w:pBdr>
      <w:ind w:right="360"/>
    </w:pPr>
  </w:style>
  <w:style w:type="paragraph" w:customStyle="1" w:styleId="599">
    <w:name w:val="样式 洋正 + 首行缩进:  2 字符"/>
    <w:basedOn w:val="1"/>
    <w:qFormat/>
    <w:uiPriority w:val="99"/>
    <w:pPr>
      <w:snapToGrid w:val="0"/>
      <w:spacing w:line="360" w:lineRule="auto"/>
      <w:ind w:firstLine="200" w:firstLineChars="200"/>
      <w:jc w:val="left"/>
    </w:pPr>
    <w:rPr>
      <w:sz w:val="24"/>
      <w:szCs w:val="24"/>
    </w:rPr>
  </w:style>
  <w:style w:type="paragraph" w:customStyle="1" w:styleId="600">
    <w:name w:val="xl55"/>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601">
    <w:name w:val="Char Char Char Char Char Char Char Char Char Char Char Char1 Char1"/>
    <w:basedOn w:val="1"/>
    <w:qFormat/>
    <w:uiPriority w:val="99"/>
  </w:style>
  <w:style w:type="paragraph" w:customStyle="1" w:styleId="602">
    <w:name w:val="xl82"/>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603">
    <w:name w:val="bbbb"/>
    <w:qFormat/>
    <w:uiPriority w:val="99"/>
    <w:pPr>
      <w:spacing w:beforeLines="100" w:afterLines="50"/>
      <w:outlineLvl w:val="3"/>
    </w:pPr>
    <w:rPr>
      <w:rFonts w:ascii="Times New Roman" w:hAnsi="Times New Roman" w:eastAsia="宋体" w:cs="Times New Roman"/>
      <w:b/>
      <w:bCs/>
      <w:color w:val="000000"/>
      <w:kern w:val="2"/>
      <w:sz w:val="24"/>
      <w:szCs w:val="24"/>
      <w:lang w:val="en-US" w:eastAsia="zh-CN" w:bidi="ar-SA"/>
    </w:rPr>
  </w:style>
  <w:style w:type="paragraph" w:customStyle="1" w:styleId="604">
    <w:name w:val="xl106"/>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605">
    <w:name w:val="样式6"/>
    <w:basedOn w:val="33"/>
    <w:qFormat/>
    <w:uiPriority w:val="99"/>
    <w:pPr>
      <w:pBdr>
        <w:top w:val="single" w:color="auto" w:sz="4" w:space="1"/>
      </w:pBdr>
      <w:jc w:val="both"/>
    </w:pPr>
  </w:style>
  <w:style w:type="paragraph" w:customStyle="1" w:styleId="606">
    <w:name w:val="_Style 371"/>
    <w:next w:val="1"/>
    <w:qFormat/>
    <w:uiPriority w:val="99"/>
    <w:pPr>
      <w:widowControl w:val="0"/>
      <w:jc w:val="both"/>
    </w:pPr>
    <w:rPr>
      <w:rFonts w:ascii="Times New Roman" w:hAnsi="Times New Roman" w:eastAsia="宋体" w:cs="Times New Roman"/>
      <w:color w:val="000000"/>
      <w:kern w:val="2"/>
      <w:sz w:val="21"/>
      <w:szCs w:val="21"/>
      <w:lang w:val="en-US" w:eastAsia="zh-CN" w:bidi="ar-SA"/>
    </w:rPr>
  </w:style>
  <w:style w:type="paragraph" w:customStyle="1" w:styleId="607">
    <w:name w:val="xl80"/>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608">
    <w:name w:val="样式 标题 2 + 黑体 非加粗 行距: 单倍行距"/>
    <w:basedOn w:val="4"/>
    <w:qFormat/>
    <w:uiPriority w:val="99"/>
    <w:pPr>
      <w:spacing w:before="260" w:after="260" w:line="240" w:lineRule="auto"/>
      <w:jc w:val="both"/>
    </w:pPr>
    <w:rPr>
      <w:rFonts w:ascii="黑体" w:hAnsi="黑体" w:eastAsia="黑体" w:cs="黑体"/>
      <w:b w:val="0"/>
      <w:bCs w:val="0"/>
      <w:sz w:val="32"/>
      <w:szCs w:val="32"/>
    </w:rPr>
  </w:style>
  <w:style w:type="paragraph" w:customStyle="1" w:styleId="609">
    <w:name w:val="样式11"/>
    <w:basedOn w:val="33"/>
    <w:qFormat/>
    <w:uiPriority w:val="99"/>
    <w:pPr>
      <w:pBdr>
        <w:top w:val="single" w:color="auto" w:sz="4" w:space="1"/>
      </w:pBdr>
      <w:jc w:val="right"/>
    </w:pPr>
  </w:style>
  <w:style w:type="paragraph" w:customStyle="1" w:styleId="610">
    <w:name w:val="Char Char1"/>
    <w:basedOn w:val="1"/>
    <w:qFormat/>
    <w:uiPriority w:val="99"/>
    <w:pPr>
      <w:widowControl/>
      <w:spacing w:after="160" w:line="240" w:lineRule="exact"/>
      <w:jc w:val="left"/>
    </w:pPr>
    <w:rPr>
      <w:rFonts w:ascii="Verdana" w:hAnsi="Verdana" w:cs="Verdana"/>
      <w:kern w:val="0"/>
      <w:sz w:val="20"/>
      <w:szCs w:val="20"/>
      <w:lang w:eastAsia="en-US"/>
    </w:rPr>
  </w:style>
  <w:style w:type="paragraph" w:customStyle="1" w:styleId="611">
    <w:name w:val="样式 小四 行距: 1.5 倍行距"/>
    <w:basedOn w:val="1"/>
    <w:qFormat/>
    <w:uiPriority w:val="99"/>
    <w:pPr>
      <w:snapToGrid w:val="0"/>
      <w:spacing w:line="360" w:lineRule="auto"/>
      <w:ind w:firstLine="465"/>
    </w:pPr>
    <w:rPr>
      <w:sz w:val="24"/>
      <w:szCs w:val="24"/>
    </w:rPr>
  </w:style>
  <w:style w:type="paragraph" w:customStyle="1" w:styleId="612">
    <w:name w:val="字元 字元 Char Char 字元 字元1 Char Char Char"/>
    <w:basedOn w:val="1"/>
    <w:qFormat/>
    <w:uiPriority w:val="99"/>
    <w:rPr>
      <w:sz w:val="24"/>
      <w:szCs w:val="24"/>
    </w:rPr>
  </w:style>
  <w:style w:type="paragraph" w:customStyle="1" w:styleId="613">
    <w:name w:val="xl121"/>
    <w:basedOn w:val="1"/>
    <w:qFormat/>
    <w:uiPriority w:val="99"/>
    <w:pPr>
      <w:widowControl/>
      <w:pBdr>
        <w:top w:val="single" w:color="auto" w:sz="4" w:space="0"/>
      </w:pBdr>
      <w:spacing w:before="100" w:beforeAutospacing="1" w:after="100" w:afterAutospacing="1"/>
      <w:jc w:val="center"/>
      <w:textAlignment w:val="center"/>
    </w:pPr>
    <w:rPr>
      <w:rFonts w:ascii="宋体" w:hAnsi="宋体" w:cs="宋体"/>
      <w:kern w:val="0"/>
      <w:sz w:val="40"/>
      <w:szCs w:val="40"/>
    </w:rPr>
  </w:style>
  <w:style w:type="paragraph" w:customStyle="1" w:styleId="614">
    <w:name w:val="xl118"/>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615">
    <w:name w:val="text"/>
    <w:basedOn w:val="1"/>
    <w:qFormat/>
    <w:uiPriority w:val="99"/>
    <w:pPr>
      <w:widowControl/>
      <w:spacing w:before="100" w:beforeAutospacing="1" w:after="100" w:afterAutospacing="1"/>
      <w:jc w:val="center"/>
    </w:pPr>
    <w:rPr>
      <w:rFonts w:ascii="宋体" w:hAnsi="宋体" w:cs="宋体"/>
      <w:kern w:val="0"/>
    </w:rPr>
  </w:style>
  <w:style w:type="paragraph" w:customStyle="1" w:styleId="616">
    <w:name w:val="计划内容"/>
    <w:qFormat/>
    <w:uiPriority w:val="99"/>
    <w:pPr>
      <w:spacing w:line="360" w:lineRule="auto"/>
      <w:ind w:firstLine="480" w:firstLineChars="200"/>
      <w:jc w:val="both"/>
    </w:pPr>
    <w:rPr>
      <w:rFonts w:ascii="Times New Roman" w:hAnsi="Times New Roman" w:eastAsia="宋体" w:cs="Times New Roman"/>
      <w:color w:val="000000"/>
      <w:kern w:val="2"/>
      <w:sz w:val="24"/>
      <w:szCs w:val="24"/>
      <w:lang w:val="en-US" w:eastAsia="zh-CN" w:bidi="ar-SA"/>
    </w:rPr>
  </w:style>
  <w:style w:type="paragraph" w:customStyle="1" w:styleId="617">
    <w:name w:val="CM8"/>
    <w:basedOn w:val="2"/>
    <w:next w:val="2"/>
    <w:qFormat/>
    <w:uiPriority w:val="99"/>
    <w:pPr>
      <w:spacing w:line="468" w:lineRule="atLeast"/>
    </w:pPr>
    <w:rPr>
      <w:rFonts w:ascii="Sim Sun+ 2" w:eastAsia="Sim Sun+ 2" w:cs="Sim Sun+ 2"/>
      <w:color w:val="auto"/>
    </w:rPr>
  </w:style>
  <w:style w:type="paragraph" w:customStyle="1" w:styleId="618">
    <w:name w:val="初设三"/>
    <w:basedOn w:val="1"/>
    <w:qFormat/>
    <w:uiPriority w:val="99"/>
    <w:pPr>
      <w:widowControl/>
      <w:spacing w:beforeLines="50" w:afterLines="50" w:line="360" w:lineRule="auto"/>
      <w:outlineLvl w:val="2"/>
    </w:pPr>
    <w:rPr>
      <w:rFonts w:hAnsi="宋体"/>
      <w:sz w:val="24"/>
      <w:szCs w:val="24"/>
    </w:rPr>
  </w:style>
  <w:style w:type="paragraph" w:customStyle="1" w:styleId="619">
    <w:name w:val="纯文本2"/>
    <w:basedOn w:val="1"/>
    <w:qFormat/>
    <w:uiPriority w:val="99"/>
    <w:pPr>
      <w:widowControl/>
      <w:adjustRightInd w:val="0"/>
      <w:spacing w:line="480" w:lineRule="exact"/>
      <w:ind w:left="1134" w:right="-108" w:hanging="1134"/>
      <w:jc w:val="left"/>
      <w:textAlignment w:val="baseline"/>
    </w:pPr>
    <w:rPr>
      <w:rFonts w:ascii="宋体" w:hAnsi="Courier New" w:cs="宋体"/>
      <w:kern w:val="0"/>
      <w:sz w:val="24"/>
      <w:szCs w:val="24"/>
    </w:rPr>
  </w:style>
  <w:style w:type="paragraph" w:customStyle="1" w:styleId="620">
    <w:name w:val="font7"/>
    <w:basedOn w:val="1"/>
    <w:qFormat/>
    <w:uiPriority w:val="99"/>
    <w:pPr>
      <w:widowControl/>
      <w:spacing w:before="100" w:beforeAutospacing="1" w:after="100" w:afterAutospacing="1"/>
      <w:jc w:val="left"/>
    </w:pPr>
    <w:rPr>
      <w:rFonts w:ascii="宋体" w:hAnsi="宋体" w:cs="宋体"/>
      <w:b/>
      <w:bCs/>
      <w:kern w:val="0"/>
    </w:rPr>
  </w:style>
  <w:style w:type="paragraph" w:customStyle="1" w:styleId="621">
    <w:name w:val="xl102"/>
    <w:basedOn w:val="1"/>
    <w:qFormat/>
    <w:uiPriority w:val="99"/>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622">
    <w:name w:val="样式 标题 2 + 首行缩进:  2 字符"/>
    <w:basedOn w:val="4"/>
    <w:qFormat/>
    <w:uiPriority w:val="99"/>
    <w:pPr>
      <w:spacing w:before="120" w:after="120" w:line="240" w:lineRule="auto"/>
    </w:pPr>
    <w:rPr>
      <w:rFonts w:ascii="Times New Roman" w:hAnsi="Times New Roman" w:cs="Times New Roman"/>
    </w:rPr>
  </w:style>
  <w:style w:type="paragraph" w:customStyle="1" w:styleId="623">
    <w:name w:val="样式2"/>
    <w:basedOn w:val="33"/>
    <w:qFormat/>
    <w:uiPriority w:val="99"/>
    <w:pPr>
      <w:pBdr>
        <w:top w:val="single" w:color="auto" w:sz="4" w:space="1"/>
      </w:pBdr>
      <w:ind w:right="360"/>
    </w:pPr>
  </w:style>
  <w:style w:type="paragraph" w:customStyle="1" w:styleId="624">
    <w:name w:val="font22"/>
    <w:basedOn w:val="1"/>
    <w:qFormat/>
    <w:uiPriority w:val="99"/>
    <w:pPr>
      <w:widowControl/>
      <w:spacing w:before="100" w:beforeAutospacing="1" w:after="100" w:afterAutospacing="1"/>
      <w:jc w:val="left"/>
    </w:pPr>
    <w:rPr>
      <w:rFonts w:ascii="宋体" w:hAnsi="宋体" w:cs="宋体"/>
      <w:kern w:val="0"/>
      <w:sz w:val="16"/>
      <w:szCs w:val="16"/>
    </w:rPr>
  </w:style>
  <w:style w:type="paragraph" w:customStyle="1" w:styleId="625">
    <w:name w:val="xl27"/>
    <w:basedOn w:val="1"/>
    <w:qFormat/>
    <w:uiPriority w:val="99"/>
    <w:pPr>
      <w:widowControl/>
      <w:spacing w:before="100" w:beforeAutospacing="1" w:after="100" w:afterAutospacing="1"/>
      <w:jc w:val="center"/>
    </w:pPr>
    <w:rPr>
      <w:rFonts w:ascii="宋体" w:hAnsi="宋体" w:cs="宋体"/>
      <w:kern w:val="0"/>
      <w:sz w:val="24"/>
      <w:szCs w:val="24"/>
    </w:rPr>
  </w:style>
  <w:style w:type="paragraph" w:customStyle="1" w:styleId="626">
    <w:name w:val="xl93"/>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627">
    <w:name w:val="样式 正文 + 首行缩进:  2 字符"/>
    <w:basedOn w:val="1"/>
    <w:qFormat/>
    <w:uiPriority w:val="99"/>
    <w:pPr>
      <w:widowControl/>
      <w:adjustRightInd w:val="0"/>
      <w:spacing w:line="529" w:lineRule="exact"/>
      <w:ind w:firstLine="480" w:firstLineChars="200"/>
      <w:jc w:val="left"/>
      <w:textAlignment w:val="baseline"/>
    </w:pPr>
    <w:rPr>
      <w:kern w:val="0"/>
      <w:sz w:val="24"/>
      <w:szCs w:val="24"/>
    </w:rPr>
  </w:style>
  <w:style w:type="paragraph" w:customStyle="1" w:styleId="628">
    <w:name w:val="样式 标题 2 + (西文) Times New Roman (中文) 宋体 小三 段前: 0 磅 段后: 0 磅 行..."/>
    <w:basedOn w:val="4"/>
    <w:qFormat/>
    <w:uiPriority w:val="99"/>
    <w:pPr>
      <w:jc w:val="both"/>
    </w:pPr>
    <w:rPr>
      <w:rFonts w:ascii="Times New Roman" w:hAnsi="Times New Roman" w:cs="Times New Roman"/>
      <w:sz w:val="24"/>
      <w:szCs w:val="24"/>
    </w:rPr>
  </w:style>
  <w:style w:type="table" w:customStyle="1" w:styleId="629">
    <w:name w:val="**套用表格格式1"/>
    <w:basedOn w:val="53"/>
    <w:qFormat/>
    <w:uiPriority w:val="99"/>
    <w:pPr>
      <w:widowControl w:val="0"/>
      <w:adjustRightInd w:val="0"/>
      <w:spacing w:line="340" w:lineRule="atLeast"/>
      <w:jc w:val="center"/>
      <w:outlineLvl w:val="8"/>
    </w:pPr>
    <w:rPr>
      <w:rFonts w:eastAsia="仿宋_GB2312"/>
      <w:sz w:val="24"/>
      <w:szCs w:val="24"/>
    </w:rPr>
    <w:tblPr>
      <w:tblBorders>
        <w:top w:val="single" w:color="339966" w:sz="18" w:space="0"/>
        <w:left w:val="single" w:color="339966" w:sz="18" w:space="0"/>
        <w:bottom w:val="single" w:color="339966" w:sz="18" w:space="0"/>
        <w:right w:val="single" w:color="339966" w:sz="18" w:space="0"/>
      </w:tblBorders>
      <w:tblCellMar>
        <w:top w:w="0" w:type="dxa"/>
        <w:left w:w="108" w:type="dxa"/>
        <w:bottom w:w="0" w:type="dxa"/>
        <w:right w:w="108" w:type="dxa"/>
      </w:tblCellMar>
    </w:tblPr>
    <w:trPr>
      <w:cantSplit/>
    </w:trPr>
    <w:tblStylePr w:type="firstRow">
      <w:tcPr>
        <w:shd w:val="clear" w:color="auto" w:fill="E6E6E6"/>
      </w:tcPr>
    </w:tblStylePr>
    <w:tblStylePr w:type="firstCol">
      <w:tcPr>
        <w:shd w:val="clear" w:color="auto" w:fill="E6E6E6"/>
      </w:tcPr>
    </w:tblStylePr>
  </w:style>
  <w:style w:type="table" w:customStyle="1" w:styleId="630">
    <w:name w:val="**套用表格格式"/>
    <w:qFormat/>
    <w:uiPriority w:val="99"/>
    <w:pPr>
      <w:widowControl w:val="0"/>
      <w:adjustRightInd w:val="0"/>
      <w:spacing w:line="320" w:lineRule="atLeast"/>
      <w:jc w:val="center"/>
      <w:outlineLvl w:val="8"/>
    </w:pPr>
    <w:rPr>
      <w:rFonts w:eastAsia="仿宋_GB2312"/>
      <w:kern w:val="0"/>
      <w:sz w:val="20"/>
      <w:szCs w:val="20"/>
    </w:rPr>
    <w:tblPr>
      <w:jc w:val="center"/>
      <w:tblBorders>
        <w:top w:val="single" w:color="339966" w:sz="18" w:space="0"/>
        <w:left w:val="single" w:color="339966" w:sz="18" w:space="0"/>
        <w:bottom w:val="single" w:color="339966" w:sz="18" w:space="0"/>
        <w:right w:val="single" w:color="339966" w:sz="18" w:space="0"/>
        <w:insideH w:val="single" w:color="auto" w:sz="4" w:space="0"/>
        <w:insideV w:val="single" w:color="auto" w:sz="4" w:space="0"/>
      </w:tblBorders>
      <w:tblCellMar>
        <w:top w:w="0" w:type="dxa"/>
        <w:left w:w="28" w:type="dxa"/>
        <w:bottom w:w="0" w:type="dxa"/>
        <w:right w:w="28" w:type="dxa"/>
      </w:tblCellMar>
    </w:tblPr>
    <w:trPr>
      <w:cantSplit/>
      <w:jc w:val="center"/>
    </w:trPr>
    <w:tblStylePr w:type="firstRow">
      <w:rPr>
        <w:rFonts w:eastAsia="Times New Roman"/>
        <w:sz w:val="24"/>
        <w:szCs w:val="24"/>
      </w:rPr>
      <w:tcPr>
        <w:shd w:val="clear" w:color="auto" w:fill="E6E6E6"/>
      </w:tcPr>
    </w:tblStylePr>
    <w:tblStylePr w:type="firstCol">
      <w:tcPr>
        <w:shd w:val="clear" w:color="auto" w:fill="E6E6E6"/>
      </w:tcPr>
    </w:tblStylePr>
  </w:style>
  <w:style w:type="table" w:customStyle="1" w:styleId="631">
    <w:name w:val="Table Normal1"/>
    <w:qFormat/>
    <w:uiPriority w:val="99"/>
    <w:pPr>
      <w:widowControl w:val="0"/>
    </w:pPr>
    <w:rPr>
      <w:rFonts w:ascii="Calibri" w:hAnsi="Calibri" w:cs="Calibri"/>
      <w:kern w:val="0"/>
      <w:sz w:val="22"/>
      <w:lang w:eastAsia="en-US"/>
    </w:rPr>
    <w:tblPr>
      <w:tblCellMar>
        <w:top w:w="0" w:type="dxa"/>
        <w:left w:w="0" w:type="dxa"/>
        <w:bottom w:w="0" w:type="dxa"/>
        <w:right w:w="0" w:type="dxa"/>
      </w:tblCellMar>
    </w:tblPr>
  </w:style>
  <w:style w:type="paragraph" w:customStyle="1" w:styleId="632">
    <w:name w:val="My正文"/>
    <w:basedOn w:val="1"/>
    <w:qFormat/>
    <w:uiPriority w:val="99"/>
    <w:pPr>
      <w:adjustRightInd w:val="0"/>
      <w:snapToGrid w:val="0"/>
      <w:spacing w:line="360" w:lineRule="auto"/>
      <w:ind w:firstLine="480" w:firstLineChars="200"/>
    </w:pPr>
    <w:rPr>
      <w:rFonts w:ascii="宋体" w:hAnsi="宋体" w:cs="宋体"/>
      <w:sz w:val="24"/>
      <w:szCs w:val="24"/>
    </w:rPr>
  </w:style>
  <w:style w:type="character" w:customStyle="1" w:styleId="633">
    <w:name w:val="Default Char"/>
    <w:link w:val="2"/>
    <w:qFormat/>
    <w:locked/>
    <w:uiPriority w:val="99"/>
    <w:rPr>
      <w:rFonts w:ascii="仿宋_GB2312" w:eastAsia="仿宋_GB2312" w:cs="仿宋_GB2312"/>
      <w:color w:val="000000"/>
      <w:sz w:val="24"/>
      <w:szCs w:val="24"/>
    </w:rPr>
  </w:style>
  <w:style w:type="paragraph" w:customStyle="1" w:styleId="634">
    <w:name w:val="CM14"/>
    <w:basedOn w:val="2"/>
    <w:next w:val="2"/>
    <w:qFormat/>
    <w:uiPriority w:val="99"/>
    <w:pPr>
      <w:spacing w:line="466" w:lineRule="atLeast"/>
      <w:ind w:firstLine="482"/>
      <w:jc w:val="both"/>
    </w:pPr>
    <w:rPr>
      <w:rFonts w:ascii="宋体" w:eastAsia="宋体" w:cs="宋体"/>
      <w:color w:val="auto"/>
    </w:rPr>
  </w:style>
  <w:style w:type="paragraph" w:customStyle="1" w:styleId="635">
    <w:name w:val="列出段落4"/>
    <w:basedOn w:val="1"/>
    <w:qFormat/>
    <w:uiPriority w:val="99"/>
    <w:pPr>
      <w:ind w:firstLine="420" w:firstLineChars="200"/>
    </w:pPr>
  </w:style>
  <w:style w:type="paragraph" w:customStyle="1" w:styleId="636">
    <w:name w:val="列出段落5"/>
    <w:basedOn w:val="1"/>
    <w:qFormat/>
    <w:uiPriority w:val="99"/>
    <w:pPr>
      <w:ind w:firstLine="420" w:firstLineChars="200"/>
    </w:pPr>
  </w:style>
  <w:style w:type="character" w:customStyle="1" w:styleId="637">
    <w:name w:val="未处理的提及"/>
    <w:qFormat/>
    <w:uiPriority w:val="99"/>
    <w:rPr>
      <w:color w:val="auto"/>
      <w:shd w:val="clear" w:color="auto" w:fill="auto"/>
    </w:rPr>
  </w:style>
  <w:style w:type="character" w:customStyle="1" w:styleId="638">
    <w:name w:val="font01"/>
    <w:basedOn w:val="58"/>
    <w:qFormat/>
    <w:uiPriority w:val="99"/>
    <w:rPr>
      <w:rFonts w:ascii="Times New Roman" w:hAnsi="Times New Roman" w:cs="Times New Roman"/>
      <w:color w:val="000000"/>
      <w:sz w:val="21"/>
      <w:szCs w:val="21"/>
      <w:u w:val="none"/>
    </w:rPr>
  </w:style>
  <w:style w:type="character" w:customStyle="1" w:styleId="639">
    <w:name w:val="三级标题 字符"/>
    <w:basedOn w:val="58"/>
    <w:qFormat/>
    <w:uiPriority w:val="99"/>
    <w:rPr>
      <w:rFonts w:ascii="Times New Roman" w:hAnsi="Times New Roman" w:eastAsia="黑体" w:cs="Times New Roman"/>
      <w:sz w:val="32"/>
      <w:szCs w:val="32"/>
    </w:rPr>
  </w:style>
  <w:style w:type="character" w:customStyle="1" w:styleId="640">
    <w:name w:val="二级标题 字符"/>
    <w:basedOn w:val="58"/>
    <w:qFormat/>
    <w:uiPriority w:val="99"/>
    <w:rPr>
      <w:rFonts w:ascii="Times New Roman" w:hAnsi="Times New Roman" w:eastAsia="黑体" w:cs="Times New Roman"/>
      <w:sz w:val="24"/>
      <w:szCs w:val="24"/>
    </w:rPr>
  </w:style>
  <w:style w:type="paragraph" w:customStyle="1" w:styleId="641">
    <w:name w:val="列出段落6"/>
    <w:basedOn w:val="1"/>
    <w:qFormat/>
    <w:uiPriority w:val="99"/>
    <w:pPr>
      <w:ind w:firstLine="420" w:firstLineChars="200"/>
    </w:pPr>
    <w:rPr>
      <w:rFonts w:ascii="??" w:hAnsi="??" w:cs="??"/>
      <w:color w:val="auto"/>
    </w:rPr>
  </w:style>
  <w:style w:type="paragraph" w:customStyle="1" w:styleId="642">
    <w:name w:val="表内容"/>
    <w:basedOn w:val="1"/>
    <w:qFormat/>
    <w:uiPriority w:val="99"/>
  </w:style>
  <w:style w:type="paragraph" w:customStyle="1" w:styleId="643">
    <w:name w:val="表号"/>
    <w:basedOn w:val="1"/>
    <w:qFormat/>
    <w:uiPriority w:val="99"/>
    <w:pPr>
      <w:ind w:firstLine="281" w:firstLineChars="100"/>
    </w:pPr>
  </w:style>
  <w:style w:type="paragraph" w:customStyle="1" w:styleId="644">
    <w:name w:val="列出段落7"/>
    <w:basedOn w:val="1"/>
    <w:qFormat/>
    <w:uiPriority w:val="99"/>
    <w:pPr>
      <w:ind w:firstLine="420" w:firstLineChars="200"/>
    </w:pPr>
  </w:style>
  <w:style w:type="paragraph" w:styleId="645">
    <w:name w:val="List Paragraph"/>
    <w:basedOn w:val="1"/>
    <w:qFormat/>
    <w:uiPriority w:val="99"/>
    <w:pPr>
      <w:ind w:firstLine="420" w:firstLineChars="200"/>
    </w:pPr>
  </w:style>
  <w:style w:type="paragraph" w:customStyle="1" w:styleId="646">
    <w:name w:val="样式6 正文"/>
    <w:link w:val="647"/>
    <w:qFormat/>
    <w:uiPriority w:val="99"/>
    <w:pPr>
      <w:widowControl w:val="0"/>
      <w:tabs>
        <w:tab w:val="left" w:pos="420"/>
      </w:tabs>
      <w:spacing w:line="360" w:lineRule="auto"/>
      <w:ind w:firstLine="482"/>
      <w:jc w:val="both"/>
    </w:pPr>
    <w:rPr>
      <w:rFonts w:ascii="Times New Roman" w:hAnsi="Times New Roman" w:eastAsia="宋体" w:cs="Times New Roman"/>
      <w:kern w:val="0"/>
      <w:sz w:val="24"/>
      <w:szCs w:val="24"/>
      <w:lang w:val="en-US" w:eastAsia="zh-CN" w:bidi="ar-SA"/>
    </w:rPr>
  </w:style>
  <w:style w:type="character" w:customStyle="1" w:styleId="647">
    <w:name w:val="样式6 正文 Char1"/>
    <w:link w:val="646"/>
    <w:qFormat/>
    <w:locked/>
    <w:uiPriority w:val="99"/>
    <w:rPr>
      <w:sz w:val="24"/>
      <w:szCs w:val="24"/>
    </w:rPr>
  </w:style>
  <w:style w:type="table" w:customStyle="1" w:styleId="648">
    <w:name w:val="网格型5"/>
    <w:qFormat/>
    <w:uiPriority w:val="99"/>
    <w:rPr>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649">
    <w:name w:val="网格型1"/>
    <w:qFormat/>
    <w:uiPriority w:val="99"/>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customXml" Target="../customXml/item1.xml"/><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Normal_Wordconv</Template>
  <Company>aa</Company>
  <Pages>49</Pages>
  <Words>3707</Words>
  <Characters>21135</Characters>
  <Lines>0</Lines>
  <Paragraphs>0</Paragraphs>
  <TotalTime>14</TotalTime>
  <ScaleCrop>false</ScaleCrop>
  <LinksUpToDate>false</LinksUpToDate>
  <CharactersWithSpaces>0</CharactersWithSpaces>
  <Application>WPS Office_11.1.0.11365_F1E327BC-269C-435d-A152-05C5408002CA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2021-12-02T07:53:00Z</dcterms:created>
  <dc:creator>hiyo</dc:creator>
  <cp:lastModifiedBy>Administrator</cp:lastModifiedBy>
  <cp:lastPrinted>2021-12-02T07:52:00Z</cp:lastPrinted>
  <dcterms:modified xsi:type="dcterms:W3CDTF">2022-03-17T03:22:17Z</dcterms:modified>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2052-11.1.0.11365</vt:lpwstr>
  </property>
  <property fmtid="{D5CDD505-2E9C-101B-9397-08002B2CF9AE}" pid="3" name="ICV">
    <vt:lpwstr>F299DF9990194C43BADF897B595A558A</vt:lpwstr>
  </property>
</Properties>
</file>