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color w:val="000000"/>
          <w:sz w:val="32"/>
          <w:szCs w:val="32"/>
        </w:rPr>
      </w:pPr>
      <w:r>
        <w:rPr>
          <w:rFonts w:hint="eastAsia" w:ascii="黑体" w:hAnsi="黑体" w:eastAsia="黑体" w:cs="黑体"/>
          <w:bCs/>
          <w:color w:val="000000"/>
          <w:sz w:val="32"/>
          <w:szCs w:val="32"/>
        </w:rPr>
        <w:t>附件4-2</w:t>
      </w:r>
    </w:p>
    <w:p>
      <w:pPr>
        <w:spacing w:line="600" w:lineRule="exact"/>
        <w:jc w:val="left"/>
        <w:rPr>
          <w:rFonts w:ascii="宋体" w:hAnsi="宋体" w:eastAsia="黑体" w:cs="宋体"/>
          <w:b/>
          <w:sz w:val="32"/>
          <w:szCs w:val="32"/>
        </w:rPr>
      </w:pPr>
    </w:p>
    <w:p>
      <w:pPr>
        <w:jc w:val="center"/>
        <w:rPr>
          <w:rFonts w:hint="eastAsia" w:ascii="宋体" w:hAnsi="宋体" w:cs="宋体"/>
          <w:b/>
          <w:sz w:val="44"/>
          <w:szCs w:val="44"/>
        </w:rPr>
      </w:pPr>
      <w:r>
        <w:rPr>
          <w:rFonts w:hint="eastAsia" w:ascii="宋体" w:hAnsi="宋体" w:cs="宋体"/>
          <w:b/>
          <w:sz w:val="44"/>
          <w:szCs w:val="44"/>
        </w:rPr>
        <w:t>2021年度抚顺市人民政府办公室整体</w:t>
      </w:r>
    </w:p>
    <w:p>
      <w:pPr>
        <w:jc w:val="center"/>
        <w:rPr>
          <w:rFonts w:ascii="宋体" w:hAnsi="宋体" w:cs="宋体"/>
          <w:b/>
          <w:sz w:val="44"/>
          <w:szCs w:val="44"/>
        </w:rPr>
      </w:pPr>
      <w:r>
        <w:rPr>
          <w:rFonts w:hint="eastAsia" w:ascii="宋体" w:hAnsi="宋体" w:cs="宋体"/>
          <w:b/>
          <w:sz w:val="44"/>
          <w:szCs w:val="44"/>
        </w:rPr>
        <w:t>绩效自评报告</w:t>
      </w:r>
    </w:p>
    <w:p>
      <w:pPr>
        <w:spacing w:line="560" w:lineRule="exact"/>
        <w:ind w:firstLine="600"/>
        <w:rPr>
          <w:rFonts w:ascii="黑体" w:eastAsia="黑体"/>
          <w:sz w:val="32"/>
          <w:szCs w:val="32"/>
        </w:rPr>
      </w:pPr>
      <w:r>
        <w:rPr>
          <w:rFonts w:hint="eastAsia" w:ascii="黑体" w:eastAsia="黑体"/>
          <w:sz w:val="32"/>
          <w:szCs w:val="32"/>
        </w:rPr>
        <w:t>一、部门（单位）概况</w:t>
      </w:r>
    </w:p>
    <w:p>
      <w:pPr>
        <w:widowControl/>
        <w:shd w:val="clear" w:color="auto" w:fill="FFFFFF"/>
        <w:spacing w:line="315" w:lineRule="atLeast"/>
        <w:jc w:val="left"/>
        <w:rPr>
          <w:color w:val="000000"/>
          <w:kern w:val="0"/>
          <w:szCs w:val="21"/>
        </w:rPr>
      </w:pPr>
      <w:r>
        <w:rPr>
          <w:rFonts w:hint="eastAsia" w:ascii="宋体" w:hAnsi="宋体"/>
          <w:b/>
          <w:bCs/>
          <w:color w:val="000000"/>
          <w:kern w:val="0"/>
          <w:sz w:val="30"/>
          <w:szCs w:val="30"/>
        </w:rPr>
        <w:t> 部门主要职责</w:t>
      </w:r>
    </w:p>
    <w:p>
      <w:pPr>
        <w:widowControl/>
        <w:shd w:val="clear" w:color="auto" w:fill="FFFFFF"/>
        <w:spacing w:before="8" w:line="561" w:lineRule="atLeast"/>
        <w:ind w:firstLine="642"/>
        <w:jc w:val="left"/>
        <w:textAlignment w:val="baseline"/>
        <w:rPr>
          <w:rFonts w:ascii="Calibri" w:hAnsi="Calibri" w:cs="Calibri"/>
          <w:color w:val="000000"/>
          <w:szCs w:val="21"/>
        </w:rPr>
      </w:pPr>
      <w:r>
        <w:rPr>
          <w:rFonts w:hint="eastAsia" w:ascii="宋体" w:hAnsi="宋体"/>
          <w:color w:val="000000"/>
          <w:kern w:val="0"/>
          <w:sz w:val="30"/>
          <w:szCs w:val="30"/>
        </w:rPr>
        <w:t>1.</w:t>
      </w:r>
      <w:r>
        <w:rPr>
          <w:rFonts w:hint="eastAsia" w:ascii="宋体" w:hAnsi="宋体" w:cs="宋体"/>
          <w:color w:val="000000"/>
          <w:kern w:val="0"/>
          <w:sz w:val="30"/>
          <w:szCs w:val="30"/>
          <w:shd w:val="clear" w:color="auto" w:fill="FFFFFF"/>
        </w:rPr>
        <w:t>负责市政府会议和市政府领导同志重要活动的组织安排，协助市政府领导同志组织实施会议决定事项。</w:t>
      </w:r>
    </w:p>
    <w:p>
      <w:pPr>
        <w:widowControl/>
        <w:shd w:val="clear" w:color="auto" w:fill="FFFFFF"/>
        <w:spacing w:line="556"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2.负责或参与党和国家领导人、国家机关各部门、省政府和省直各部门，外省、市领导以及重要外宾来我市政务活动组织安排。</w:t>
      </w:r>
    </w:p>
    <w:p>
      <w:pPr>
        <w:widowControl/>
        <w:shd w:val="clear" w:color="auto" w:fill="FFFFFF"/>
        <w:spacing w:before="8" w:line="561" w:lineRule="atLeast"/>
        <w:ind w:firstLine="642"/>
        <w:jc w:val="left"/>
        <w:textAlignment w:val="baseline"/>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3.</w:t>
      </w:r>
      <w:r>
        <w:rPr>
          <w:rFonts w:ascii="宋体" w:hAnsi="宋体" w:cs="宋体"/>
          <w:color w:val="000000"/>
          <w:kern w:val="0"/>
          <w:sz w:val="30"/>
          <w:szCs w:val="30"/>
          <w:shd w:val="clear" w:color="auto" w:fill="FFFFFF"/>
        </w:rPr>
        <w:t>协助市政府领导同志组织起草或审核以市政府、市政府办公室名义发布的公文，指导全市行政机关公文处理工作。</w:t>
      </w:r>
    </w:p>
    <w:p>
      <w:pPr>
        <w:widowControl/>
        <w:shd w:val="clear" w:color="auto" w:fill="FFFFFF"/>
        <w:spacing w:before="8" w:line="561"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4.审核市政府各部门和各县区政府请示、报告市政府的事项，提出办理意见，报市政府领导同志审批，办理上级机关及各方面的来文来电。</w:t>
      </w:r>
    </w:p>
    <w:p>
      <w:pPr>
        <w:widowControl/>
        <w:shd w:val="clear" w:color="auto" w:fill="FFFFFF"/>
        <w:spacing w:before="32" w:line="541"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5.根据市政府领导同志的指示，对市政府的重要工作部署组织开展调查研究和综合协调。</w:t>
      </w:r>
    </w:p>
    <w:p>
      <w:pPr>
        <w:widowControl/>
        <w:shd w:val="clear" w:color="auto" w:fill="FFFFFF"/>
        <w:spacing w:before="175" w:line="383" w:lineRule="atLeast"/>
        <w:ind w:firstLine="693"/>
        <w:jc w:val="left"/>
        <w:textAlignment w:val="baseline"/>
        <w:rPr>
          <w:rFonts w:ascii="Calibri" w:hAnsi="Calibri" w:cs="Calibri"/>
          <w:color w:val="000000"/>
          <w:szCs w:val="21"/>
        </w:rPr>
      </w:pPr>
      <w:r>
        <w:rPr>
          <w:rFonts w:hint="eastAsia" w:ascii="宋体" w:hAnsi="宋体" w:cs="宋体"/>
          <w:color w:val="000000"/>
          <w:spacing w:val="12"/>
          <w:kern w:val="0"/>
          <w:sz w:val="30"/>
          <w:szCs w:val="30"/>
          <w:shd w:val="clear" w:color="auto" w:fill="FFFFFF"/>
        </w:rPr>
        <w:t>6.负责组织协调、指导督促市政府系统承办的省、市人</w:t>
      </w:r>
      <w:r>
        <w:rPr>
          <w:rFonts w:hint="eastAsia" w:ascii="宋体" w:hAnsi="宋体" w:cs="宋体"/>
          <w:color w:val="000000"/>
          <w:kern w:val="0"/>
          <w:sz w:val="30"/>
          <w:szCs w:val="30"/>
          <w:shd w:val="clear" w:color="auto" w:fill="FFFFFF"/>
        </w:rPr>
        <w:t>大代表建议、政协提案办理工作。</w:t>
      </w:r>
    </w:p>
    <w:p>
      <w:pPr>
        <w:widowControl/>
        <w:shd w:val="clear" w:color="auto" w:fill="FFFFFF"/>
        <w:spacing w:before="1"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7.负责市政府值班工作，及时报告重要情况，传达和督促落实国家、省和市委、市政府领导同志的指示，负责市国防动员委员会信息动员办公室的日常工作。</w:t>
      </w:r>
    </w:p>
    <w:p>
      <w:pPr>
        <w:widowControl/>
        <w:shd w:val="clear" w:color="auto" w:fill="FFFFFF"/>
        <w:spacing w:before="7"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8.负责全市政务信息搜集、整理、报送工作，指导政府系统信息工作。负责协调组织市政府重点工作的宣传报道，对市政府各部门宣传工作进行督促检查。</w:t>
      </w:r>
    </w:p>
    <w:p>
      <w:pPr>
        <w:widowControl/>
        <w:shd w:val="clear" w:color="auto" w:fill="FFFFFF"/>
        <w:spacing w:before="1" w:line="562" w:lineRule="atLeast"/>
        <w:ind w:right="72"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9.负责推进、指导、协调、监督全市政府信息与政务公开工作，组织协调市政府系统政务舆情应对工作。负责协调办理人民网及政府门户网站上的群众诉求。负责规划协调、指导监督全市政府系统电子政务建设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10.负责组织或参与对改革开放和经济社会发展中重大问题的调查研究、决策咨询，提出政策性建议和咨询意见。</w:t>
      </w:r>
    </w:p>
    <w:p>
      <w:pPr>
        <w:widowControl/>
        <w:shd w:val="clear" w:color="auto" w:fill="FFFFFF"/>
        <w:spacing w:line="555" w:lineRule="atLeast"/>
        <w:ind w:firstLine="627"/>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11.根据市政府领导同志指示，单独或组织、协同有关方面起草、修改市政府有关重要文件，起草市政府领导同志部分重要讲话等文稿，参与市委重点工作、重要会议的文件起草工作。</w:t>
      </w:r>
    </w:p>
    <w:p>
      <w:pPr>
        <w:widowControl/>
        <w:shd w:val="clear" w:color="auto" w:fill="FFFFFF"/>
        <w:spacing w:line="559" w:lineRule="atLeast"/>
        <w:ind w:firstLine="567"/>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12.对有关国家、省、市经济政策和社会发展政策进行分析和研究，提出政策建议。收集、分析、整理和报送经济社会发展的重要信息、动态，为市政府决策提出参考建议。</w:t>
      </w:r>
    </w:p>
    <w:p>
      <w:pPr>
        <w:widowControl/>
        <w:shd w:val="clear" w:color="auto" w:fill="FFFFFF"/>
        <w:spacing w:line="561" w:lineRule="atLeast"/>
        <w:ind w:firstLine="627"/>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13.承担市政府党组文件的起草工作，制定市政府党组会议、民主生活会议方案，负责市政府党组的党建、廉政建设等各项服务工作。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14.拟订全市机关事务工作政策、规划和规章制度并组织实施，负责市本级行政事业单位机关事务的管理、保障和服务工作，指导各独立办公单位及各县区机关事务工作。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15.研究提出加强行政运行经费、机关服务经费管理的建议，负责市本级公务接待经费、集中办公区及市直行政事业单位办公用房建设与维修项目经费、副市级以上干部周转房建设与维修项目经费、公务用车经费等专项经费的使用和监督。负责副市级以上干部周转住房调配管理工作。负责审批修缮项目，并组织实施相关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16.承担推进、指导、协调、监督全市公共机构节能工作，负责监督管理市本级公共机构节能工作。负责国旗、国徽管理工作。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17.制定全市公务接待制度并组织实施，负责副厅级以上领导来抚的公务接待，统一管理和协调市委机关、市人大机关、市政府机关、市政协机关的公务接待工作。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18.负责机关集中办公区的安全保卫、消防、交通安全、绿化等后勤管理和服务工作，监督指导食堂服务工作。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19.负责在抚召开的全国、省大型会议及市以上重大活动的服务保障工作。</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20.完成市委、市政府交办的其他任务。</w:t>
      </w:r>
    </w:p>
    <w:p>
      <w:pPr>
        <w:widowControl/>
        <w:shd w:val="clear" w:color="auto" w:fill="FFFFFF"/>
        <w:spacing w:before="10" w:line="562" w:lineRule="atLeast"/>
        <w:ind w:firstLine="642"/>
        <w:jc w:val="left"/>
        <w:textAlignment w:val="baseline"/>
        <w:rPr>
          <w:rFonts w:ascii="Calibri" w:hAnsi="Calibri" w:cs="Calibri"/>
          <w:color w:val="000000"/>
          <w:szCs w:val="21"/>
        </w:rPr>
      </w:pPr>
      <w:r>
        <w:rPr>
          <w:rFonts w:hint="eastAsia" w:ascii="宋体" w:hAnsi="宋体" w:cs="宋体"/>
          <w:color w:val="000000"/>
          <w:kern w:val="0"/>
          <w:sz w:val="30"/>
          <w:szCs w:val="30"/>
          <w:shd w:val="clear" w:color="auto" w:fill="FFFFFF"/>
        </w:rPr>
        <w:t>21.职能转变。加强和改进市政府宣传工作，为推动市政府重点工作和政策措施的落实营造良好环境。加强调查研究工作，研究解决经济社会重点问题的对策建议，提升政府抓落实的工作水平。践行以人民为中心的发展思想，切实强化服务，优化营商环境，不断提升群众和企业的获得感。</w:t>
      </w:r>
    </w:p>
    <w:p>
      <w:pPr>
        <w:widowControl/>
        <w:shd w:val="clear" w:color="auto" w:fill="FFFFFF"/>
        <w:spacing w:line="315" w:lineRule="atLeast"/>
        <w:ind w:firstLine="600"/>
        <w:rPr>
          <w:rFonts w:ascii="宋体" w:hAnsi="宋体"/>
          <w:color w:val="000000"/>
          <w:kern w:val="0"/>
          <w:sz w:val="30"/>
          <w:szCs w:val="30"/>
        </w:rPr>
      </w:pPr>
      <w:r>
        <w:rPr>
          <w:rFonts w:hint="eastAsia" w:ascii="宋体" w:hAnsi="宋体" w:cs="宋体"/>
          <w:color w:val="000000"/>
          <w:kern w:val="0"/>
          <w:sz w:val="30"/>
          <w:szCs w:val="30"/>
          <w:shd w:val="clear" w:color="auto" w:fill="FFFFFF"/>
        </w:rPr>
        <w:t>22.关于市直公务用车管理的职责分工。市财政局负责制定市本级执法执勤公务用车、特种专业技术用车政策规定并组织实施，承担市直执法执勤公务用车、特种专业技术用车编制、调配、更新和处置工作。市政府办公室（市机关事务管理局）负责制定市本级其他公务用车政策规定并组织实施，承担公务用车编制、调配、更新和处置工作，负责公务用车和行政执法用车管理平台建设与管理工作。</w:t>
      </w:r>
    </w:p>
    <w:p>
      <w:pPr>
        <w:widowControl/>
        <w:shd w:val="clear" w:color="auto" w:fill="FFFFFF"/>
        <w:spacing w:line="315" w:lineRule="atLeast"/>
        <w:rPr>
          <w:rFonts w:ascii="宋体" w:hAnsi="宋体" w:cs="宋体"/>
          <w:b/>
          <w:bCs/>
          <w:color w:val="000000"/>
          <w:kern w:val="0"/>
          <w:sz w:val="30"/>
          <w:szCs w:val="30"/>
          <w:shd w:val="clear" w:color="auto" w:fill="FFFFFF"/>
        </w:rPr>
      </w:pPr>
      <w:r>
        <w:rPr>
          <w:rFonts w:hint="eastAsia" w:ascii="宋体" w:hAnsi="宋体"/>
          <w:color w:val="000000"/>
          <w:kern w:val="0"/>
          <w:sz w:val="30"/>
          <w:szCs w:val="30"/>
        </w:rPr>
        <w:t> </w:t>
      </w:r>
      <w:r>
        <w:rPr>
          <w:rFonts w:hint="eastAsia" w:ascii="宋体" w:hAnsi="宋体" w:cs="宋体"/>
          <w:b/>
          <w:bCs/>
          <w:color w:val="000000"/>
          <w:kern w:val="0"/>
          <w:sz w:val="30"/>
          <w:szCs w:val="30"/>
          <w:shd w:val="clear" w:color="auto" w:fill="FFFFFF"/>
        </w:rPr>
        <w:t>机构设置情况</w:t>
      </w:r>
    </w:p>
    <w:p>
      <w:pPr>
        <w:widowControl/>
        <w:shd w:val="clear" w:color="auto" w:fill="FFFFFF"/>
        <w:spacing w:line="315" w:lineRule="atLeast"/>
        <w:ind w:firstLine="600"/>
        <w:rPr>
          <w:rFonts w:ascii="宋体" w:hAnsi="宋体" w:cs="宋体"/>
          <w:color w:val="000000"/>
          <w:kern w:val="0"/>
          <w:sz w:val="30"/>
          <w:szCs w:val="30"/>
          <w:shd w:val="clear" w:color="auto" w:fill="FFFFFF"/>
        </w:rPr>
      </w:pPr>
      <w:r>
        <w:rPr>
          <w:rFonts w:hint="eastAsia" w:ascii="宋体" w:hAnsi="宋体" w:cs="宋体"/>
          <w:color w:val="000000"/>
          <w:kern w:val="0"/>
          <w:sz w:val="30"/>
          <w:szCs w:val="30"/>
          <w:shd w:val="clear" w:color="auto" w:fill="FFFFFF"/>
        </w:rPr>
        <w:t>抚顺市人民政府办公室有内设机构28个，分别为：综合办（保密工作办公室）、秘书科、文电科、综合一科、综合二科、综合三科、综合四科、综合五科、综合六科、综合七科、研究一科、研究二科、新闻联络科、建议提案办理科、信息科、电子政务办公室、政务公开办公室（市政府公报室）、网络诉求综合科、市政府总值班室、公务用车管理科、接待一科、接待二科、规划建设科、运行保障科、安全保卫科、服务保障科、财务科、机关党委办公室（人事科）。</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当年整体绩效目标：</w:t>
      </w:r>
    </w:p>
    <w:p>
      <w:pPr>
        <w:spacing w:line="560" w:lineRule="exact"/>
        <w:ind w:firstLine="630"/>
        <w:rPr>
          <w:rFonts w:ascii="仿宋_GB2312" w:eastAsia="仿宋_GB2312"/>
          <w:color w:val="000000"/>
          <w:sz w:val="32"/>
          <w:szCs w:val="32"/>
        </w:rPr>
      </w:pPr>
      <w:r>
        <w:rPr>
          <w:rFonts w:hint="eastAsia" w:ascii="仿宋_GB2312" w:eastAsia="仿宋_GB2312"/>
          <w:color w:val="000000"/>
          <w:sz w:val="32"/>
          <w:szCs w:val="32"/>
        </w:rPr>
        <w:t>目标1：保证人员工资、各类保险等；</w:t>
      </w:r>
    </w:p>
    <w:p>
      <w:pPr>
        <w:spacing w:line="560" w:lineRule="exact"/>
        <w:ind w:firstLine="630"/>
        <w:rPr>
          <w:rFonts w:ascii="仿宋_GB2312" w:eastAsia="仿宋_GB2312"/>
          <w:color w:val="000000"/>
          <w:sz w:val="32"/>
          <w:szCs w:val="32"/>
        </w:rPr>
      </w:pPr>
      <w:r>
        <w:rPr>
          <w:rFonts w:hint="eastAsia" w:ascii="仿宋_GB2312" w:eastAsia="仿宋_GB2312"/>
          <w:color w:val="000000"/>
          <w:sz w:val="32"/>
          <w:szCs w:val="32"/>
        </w:rPr>
        <w:t>目标2：保证集中办公区、公务周转房、会议室、领导办公室正常运行维护；保证集中办公区安防设备正常运行维护；保证市直公关事业单位办公场所使用需要；保证市直机关公务接待；保证市政府办政务、服务及政务公开、市政府值班应急管理、公文传输及保密、网络诉求、建议提案办理、公务用车管理等各项业务工作正常开展、顺利完成；保证湖边宾馆人员安置需要。</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按照市财政局统一部署，我单位连续多年开展预算绩效管理工作。2021年度抚顺市人民政府办公室全部预算共6009.63万元全部纳入绩效管理。</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pPr>
        <w:spacing w:line="560" w:lineRule="exact"/>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按照市财政局统一部署，抚顺市人民政府办公室组织专门人员认真开展2021年预算绩效自评工作，通过广泛收集基础数据、资料和项目现场勘验检查核实等工作完成绩效自评。</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三、综合评价结论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通过单位绩效自评，我单位绩效评价总得分</w:t>
      </w:r>
      <w:r>
        <w:rPr>
          <w:rFonts w:hint="eastAsia" w:ascii="仿宋_GB2312" w:eastAsia="仿宋_GB2312"/>
          <w:color w:val="000000"/>
          <w:sz w:val="32"/>
          <w:szCs w:val="32"/>
          <w:lang w:val="en-US" w:eastAsia="zh-CN"/>
        </w:rPr>
        <w:t>96.05</w:t>
      </w:r>
      <w:r>
        <w:rPr>
          <w:rFonts w:hint="eastAsia" w:ascii="仿宋_GB2312" w:eastAsia="仿宋_GB2312"/>
          <w:color w:val="000000"/>
          <w:sz w:val="32"/>
          <w:szCs w:val="32"/>
        </w:rPr>
        <w:t>分、各项绩效指标已按期完成。</w:t>
      </w:r>
    </w:p>
    <w:p>
      <w:pPr>
        <w:spacing w:line="560" w:lineRule="exact"/>
        <w:ind w:firstLine="640" w:firstLineChars="200"/>
        <w:rPr>
          <w:rFonts w:ascii="黑体" w:eastAsia="黑体"/>
          <w:sz w:val="32"/>
          <w:szCs w:val="32"/>
        </w:rPr>
      </w:pPr>
      <w:r>
        <w:rPr>
          <w:rFonts w:hint="eastAsia" w:ascii="黑体" w:eastAsia="黑体"/>
          <w:sz w:val="32"/>
          <w:szCs w:val="32"/>
        </w:rPr>
        <w:t>四、整体绩效管理中存</w:t>
      </w:r>
      <w:r>
        <w:rPr>
          <w:rFonts w:ascii="黑体" w:eastAsia="黑体"/>
          <w:sz w:val="32"/>
          <w:szCs w:val="32"/>
        </w:rPr>
        <w:t>在问题</w:t>
      </w:r>
      <w:r>
        <w:rPr>
          <w:rFonts w:hint="eastAsia" w:ascii="黑体" w:eastAsia="黑体"/>
          <w:sz w:val="32"/>
          <w:szCs w:val="32"/>
        </w:rPr>
        <w:t>及</w:t>
      </w:r>
      <w:r>
        <w:rPr>
          <w:rFonts w:ascii="黑体" w:eastAsia="黑体"/>
          <w:sz w:val="32"/>
          <w:szCs w:val="32"/>
        </w:rPr>
        <w:t>改进措施</w:t>
      </w:r>
    </w:p>
    <w:p>
      <w:pPr>
        <w:spacing w:line="560" w:lineRule="exact"/>
        <w:ind w:firstLine="640" w:firstLineChars="200"/>
        <w:rPr>
          <w:rFonts w:ascii="黑体" w:eastAsia="黑体"/>
          <w:sz w:val="32"/>
          <w:szCs w:val="32"/>
        </w:rPr>
      </w:pPr>
      <w:r>
        <w:rPr>
          <w:rFonts w:hint="eastAsia" w:ascii="黑体" w:eastAsia="黑体"/>
          <w:sz w:val="32"/>
          <w:szCs w:val="32"/>
        </w:rPr>
        <w:t>通过绩效自评工作，我单位认真查找了本年度绩效工作中存在的绩效考核指标细化程度等问题并积极制定下年度改进措施。</w:t>
      </w:r>
    </w:p>
    <w:p>
      <w:pPr>
        <w:spacing w:line="560" w:lineRule="exact"/>
        <w:ind w:firstLine="640" w:firstLineChars="200"/>
        <w:rPr>
          <w:rFonts w:ascii="黑体" w:eastAsia="黑体"/>
          <w:sz w:val="32"/>
          <w:szCs w:val="32"/>
        </w:rPr>
      </w:pPr>
      <w:r>
        <w:rPr>
          <w:rFonts w:hint="eastAsia" w:ascii="黑体" w:eastAsia="黑体"/>
          <w:sz w:val="32"/>
          <w:szCs w:val="32"/>
        </w:rPr>
        <w:t>五、</w:t>
      </w:r>
      <w:r>
        <w:rPr>
          <w:rFonts w:ascii="黑体" w:eastAsia="黑体"/>
          <w:sz w:val="32"/>
          <w:szCs w:val="32"/>
        </w:rPr>
        <w:t>绩效自评</w:t>
      </w:r>
      <w:r>
        <w:rPr>
          <w:rFonts w:hint="eastAsia" w:ascii="黑体" w:eastAsia="黑体"/>
          <w:sz w:val="32"/>
          <w:szCs w:val="32"/>
        </w:rPr>
        <w:t>结果</w:t>
      </w:r>
      <w:r>
        <w:rPr>
          <w:rFonts w:ascii="黑体" w:eastAsia="黑体"/>
          <w:sz w:val="32"/>
          <w:szCs w:val="32"/>
        </w:rPr>
        <w:t>拟应用和公开</w:t>
      </w:r>
      <w:r>
        <w:rPr>
          <w:rFonts w:hint="eastAsia" w:ascii="黑体" w:eastAsia="黑体"/>
          <w:sz w:val="32"/>
          <w:szCs w:val="32"/>
        </w:rPr>
        <w:t>情况</w:t>
      </w:r>
    </w:p>
    <w:p>
      <w:pPr>
        <w:spacing w:line="560" w:lineRule="exact"/>
        <w:ind w:firstLine="640" w:firstLineChars="200"/>
        <w:rPr>
          <w:sz w:val="32"/>
          <w:szCs w:val="32"/>
        </w:rPr>
      </w:pPr>
      <w:r>
        <w:rPr>
          <w:rFonts w:hint="eastAsia" w:ascii="黑体" w:eastAsia="黑体"/>
          <w:sz w:val="32"/>
          <w:szCs w:val="32"/>
        </w:rPr>
        <w:t>结合本年度绩效自评情况，我单位将在今后的工作中认真总结经验，汲取教训，并向相关职能部门公开绩效自评结果，推动下年度预算项目执行质量和效率的进一步提高。</w:t>
      </w:r>
    </w:p>
    <w:p>
      <w:pPr>
        <w:spacing w:line="560" w:lineRule="exact"/>
        <w:ind w:firstLine="640" w:firstLineChars="200"/>
        <w:rPr>
          <w:rFonts w:ascii="黑体" w:eastAsia="黑体"/>
          <w:color w:val="000000"/>
          <w:sz w:val="32"/>
          <w:szCs w:val="32"/>
        </w:rPr>
      </w:pPr>
      <w:r>
        <w:rPr>
          <w:rFonts w:hint="eastAsia" w:ascii="黑体" w:eastAsia="黑体"/>
          <w:sz w:val="32"/>
          <w:szCs w:val="32"/>
        </w:rPr>
        <w:t>六</w:t>
      </w:r>
      <w:r>
        <w:rPr>
          <w:rFonts w:hint="eastAsia" w:ascii="黑体" w:eastAsia="黑体"/>
          <w:color w:val="000000"/>
          <w:sz w:val="32"/>
          <w:szCs w:val="32"/>
        </w:rPr>
        <w:t>、部门（单位）整体绩效自评表（详见附件4-2-1）</w:t>
      </w:r>
    </w:p>
    <w:p>
      <w:pPr>
        <w:spacing w:line="600" w:lineRule="exact"/>
        <w:rPr>
          <w:rFonts w:ascii="黑体" w:hAnsi="黑体" w:eastAsia="黑体" w:cs="黑体"/>
          <w:bCs/>
          <w:color w:val="000000"/>
          <w:sz w:val="32"/>
          <w:szCs w:val="32"/>
        </w:rPr>
      </w:pPr>
    </w:p>
    <w:p>
      <w:pPr>
        <w:spacing w:line="60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附件4-2-1</w:t>
      </w:r>
    </w:p>
    <w:p>
      <w:pPr>
        <w:spacing w:line="600" w:lineRule="exact"/>
        <w:rPr>
          <w:rFonts w:ascii="黑体" w:hAnsi="黑体" w:eastAsia="黑体" w:cs="黑体"/>
          <w:bCs/>
          <w:color w:val="000000"/>
          <w:sz w:val="28"/>
          <w:szCs w:val="28"/>
        </w:rPr>
      </w:pPr>
    </w:p>
    <w:tbl>
      <w:tblPr>
        <w:tblStyle w:val="8"/>
        <w:tblW w:w="9150" w:type="dxa"/>
        <w:jc w:val="center"/>
        <w:tblLayout w:type="fixed"/>
        <w:tblCellMar>
          <w:top w:w="0" w:type="dxa"/>
          <w:left w:w="0" w:type="dxa"/>
          <w:bottom w:w="0" w:type="dxa"/>
          <w:right w:w="0" w:type="dxa"/>
        </w:tblCellMar>
      </w:tblPr>
      <w:tblGrid>
        <w:gridCol w:w="708"/>
        <w:gridCol w:w="533"/>
        <w:gridCol w:w="688"/>
        <w:gridCol w:w="615"/>
        <w:gridCol w:w="473"/>
        <w:gridCol w:w="474"/>
        <w:gridCol w:w="467"/>
        <w:gridCol w:w="533"/>
        <w:gridCol w:w="331"/>
        <w:gridCol w:w="467"/>
        <w:gridCol w:w="256"/>
        <w:gridCol w:w="389"/>
        <w:gridCol w:w="461"/>
        <w:gridCol w:w="90"/>
        <w:gridCol w:w="502"/>
        <w:gridCol w:w="468"/>
        <w:gridCol w:w="174"/>
        <w:gridCol w:w="321"/>
        <w:gridCol w:w="616"/>
        <w:gridCol w:w="6"/>
        <w:gridCol w:w="482"/>
        <w:gridCol w:w="90"/>
        <w:gridCol w:w="6"/>
      </w:tblGrid>
      <w:tr>
        <w:tblPrEx>
          <w:tblCellMar>
            <w:top w:w="0" w:type="dxa"/>
            <w:left w:w="0" w:type="dxa"/>
            <w:bottom w:w="0" w:type="dxa"/>
            <w:right w:w="0" w:type="dxa"/>
          </w:tblCellMar>
        </w:tblPrEx>
        <w:trPr>
          <w:gridAfter w:val="2"/>
          <w:wAfter w:w="96" w:type="dxa"/>
          <w:trHeight w:val="402" w:hRule="atLeast"/>
          <w:jc w:val="center"/>
        </w:trPr>
        <w:tc>
          <w:tcPr>
            <w:tcW w:w="9054" w:type="dxa"/>
            <w:gridSpan w:val="21"/>
            <w:tcBorders>
              <w:top w:val="nil"/>
              <w:left w:val="nil"/>
              <w:bottom w:val="nil"/>
              <w:right w:val="nil"/>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b/>
                <w:bCs/>
                <w:color w:val="000000"/>
                <w:sz w:val="44"/>
                <w:szCs w:val="44"/>
              </w:rPr>
              <w:t>部门（单位）整体绩效自评表</w:t>
            </w:r>
          </w:p>
        </w:tc>
      </w:tr>
      <w:tr>
        <w:tblPrEx>
          <w:tblCellMar>
            <w:top w:w="0" w:type="dxa"/>
            <w:left w:w="0" w:type="dxa"/>
            <w:bottom w:w="0" w:type="dxa"/>
            <w:right w:w="0" w:type="dxa"/>
          </w:tblCellMar>
        </w:tblPrEx>
        <w:trPr>
          <w:gridAfter w:val="2"/>
          <w:wAfter w:w="96" w:type="dxa"/>
          <w:trHeight w:val="402" w:hRule="atLeast"/>
          <w:jc w:val="center"/>
        </w:trPr>
        <w:tc>
          <w:tcPr>
            <w:tcW w:w="9054" w:type="dxa"/>
            <w:gridSpan w:val="21"/>
            <w:tcBorders>
              <w:top w:val="nil"/>
              <w:left w:val="nil"/>
              <w:bottom w:val="single" w:color="auto" w:sz="4" w:space="0"/>
              <w:right w:val="nil"/>
            </w:tcBorders>
            <w:tcMar>
              <w:top w:w="15" w:type="dxa"/>
              <w:left w:w="15" w:type="dxa"/>
              <w:bottom w:w="0" w:type="dxa"/>
              <w:right w:w="15" w:type="dxa"/>
            </w:tcMar>
            <w:vAlign w:val="center"/>
          </w:tcPr>
          <w:p>
            <w:pPr>
              <w:spacing w:line="560" w:lineRule="exact"/>
              <w:jc w:val="center"/>
              <w:rPr>
                <w:rFonts w:ascii="宋体" w:hAnsi="宋体" w:cs="宋体"/>
                <w:b/>
                <w:color w:val="000000"/>
                <w:kern w:val="0"/>
                <w:szCs w:val="21"/>
              </w:rPr>
            </w:pPr>
            <w:r>
              <w:rPr>
                <w:rFonts w:hint="eastAsia" w:ascii="宋体" w:hAnsi="宋体" w:cs="宋体"/>
                <w:color w:val="000000"/>
                <w:sz w:val="28"/>
                <w:szCs w:val="28"/>
              </w:rPr>
              <w:t>（2021年度）</w:t>
            </w:r>
          </w:p>
          <w:p>
            <w:pPr>
              <w:spacing w:line="560" w:lineRule="exact"/>
              <w:jc w:val="left"/>
              <w:rPr>
                <w:rFonts w:ascii="宋体" w:hAnsi="宋体" w:cs="宋体"/>
                <w:color w:val="000000"/>
                <w:kern w:val="0"/>
                <w:sz w:val="22"/>
                <w:szCs w:val="22"/>
              </w:rPr>
            </w:pPr>
            <w:r>
              <w:rPr>
                <w:rFonts w:hint="eastAsia" w:ascii="宋体" w:hAnsi="宋体" w:cs="宋体"/>
                <w:b/>
                <w:color w:val="000000"/>
                <w:kern w:val="0"/>
                <w:szCs w:val="21"/>
              </w:rPr>
              <w:t>填报部门（盖章）：</w:t>
            </w:r>
          </w:p>
        </w:tc>
      </w:tr>
      <w:tr>
        <w:tblPrEx>
          <w:tblCellMar>
            <w:top w:w="0" w:type="dxa"/>
            <w:left w:w="0" w:type="dxa"/>
            <w:bottom w:w="0" w:type="dxa"/>
            <w:right w:w="0" w:type="dxa"/>
          </w:tblCellMar>
        </w:tblPrEx>
        <w:trPr>
          <w:gridAfter w:val="2"/>
          <w:wAfter w:w="96"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color w:val="000000"/>
                <w:sz w:val="22"/>
                <w:szCs w:val="22"/>
              </w:rPr>
            </w:pPr>
            <w:r>
              <w:rPr>
                <w:rFonts w:hint="eastAsia" w:ascii="宋体" w:hAnsi="宋体" w:cs="宋体"/>
                <w:color w:val="000000"/>
                <w:kern w:val="0"/>
                <w:szCs w:val="21"/>
              </w:rPr>
              <w:t>部门（单位）名称</w:t>
            </w:r>
          </w:p>
        </w:tc>
        <w:tc>
          <w:tcPr>
            <w:tcW w:w="7125"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抚顺市人民政府办公室　</w:t>
            </w:r>
          </w:p>
          <w:p>
            <w:pPr>
              <w:widowControl/>
              <w:jc w:val="center"/>
              <w:rPr>
                <w:color w:val="000000"/>
                <w:sz w:val="22"/>
                <w:szCs w:val="22"/>
              </w:rPr>
            </w:pP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2"/>
          <w:wAfter w:w="96" w:type="dxa"/>
          <w:trHeight w:val="402" w:hRule="atLeast"/>
          <w:jc w:val="center"/>
        </w:trPr>
        <w:tc>
          <w:tcPr>
            <w:tcW w:w="1929"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部门（单位）</w:t>
            </w:r>
          </w:p>
          <w:p>
            <w:pPr>
              <w:widowControl/>
              <w:jc w:val="center"/>
              <w:rPr>
                <w:color w:val="000000"/>
                <w:sz w:val="22"/>
                <w:szCs w:val="22"/>
              </w:rPr>
            </w:pPr>
            <w:r>
              <w:rPr>
                <w:rFonts w:hint="eastAsia" w:ascii="宋体" w:hAnsi="宋体" w:cs="宋体"/>
                <w:color w:val="000000"/>
                <w:kern w:val="0"/>
                <w:szCs w:val="21"/>
              </w:rPr>
              <w:t>财政供养人员数量</w:t>
            </w:r>
          </w:p>
        </w:tc>
        <w:tc>
          <w:tcPr>
            <w:tcW w:w="446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137　</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所属单位数量（仅部门填列）</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color w:val="000000"/>
                <w:sz w:val="22"/>
                <w:szCs w:val="22"/>
              </w:rPr>
            </w:pPr>
            <w:r>
              <w:rPr>
                <w:rFonts w:hint="eastAsia" w:ascii="宋体" w:hAnsi="宋体" w:cs="宋体"/>
                <w:color w:val="000000"/>
                <w:kern w:val="0"/>
                <w:szCs w:val="21"/>
              </w:rPr>
              <w:t>　</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r>
              <w:rPr>
                <w:rFonts w:hint="eastAsia" w:ascii="宋体" w:hAnsi="宋体" w:cs="宋体"/>
                <w:color w:val="000000"/>
                <w:kern w:val="0"/>
                <w:szCs w:val="21"/>
              </w:rPr>
              <w:t>年度部门（单位）整体收支情况               （万元）</w:t>
            </w: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名 称</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年初</w:t>
            </w:r>
          </w:p>
          <w:p>
            <w:pPr>
              <w:jc w:val="center"/>
              <w:rPr>
                <w:color w:val="000000"/>
                <w:sz w:val="22"/>
                <w:szCs w:val="22"/>
              </w:rPr>
            </w:pPr>
            <w:r>
              <w:rPr>
                <w:rFonts w:hint="eastAsia"/>
                <w:sz w:val="22"/>
                <w:szCs w:val="22"/>
              </w:rPr>
              <w:t>预算数</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color w:val="000000"/>
                <w:sz w:val="22"/>
                <w:szCs w:val="22"/>
              </w:rPr>
            </w:pPr>
            <w:r>
              <w:rPr>
                <w:rFonts w:hint="eastAsia"/>
                <w:sz w:val="22"/>
                <w:szCs w:val="22"/>
              </w:rPr>
              <w:t>预算数</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全年</w:t>
            </w:r>
          </w:p>
          <w:p>
            <w:pPr>
              <w:jc w:val="center"/>
              <w:rPr>
                <w:color w:val="000000"/>
                <w:sz w:val="22"/>
                <w:szCs w:val="22"/>
              </w:rPr>
            </w:pPr>
            <w:r>
              <w:rPr>
                <w:rFonts w:hint="eastAsia"/>
                <w:color w:val="000000"/>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Cs w:val="21"/>
              </w:rPr>
            </w:pPr>
            <w:r>
              <w:rPr>
                <w:rFonts w:hint="eastAsia" w:ascii="宋体" w:hAnsi="宋体" w:cs="宋体"/>
                <w:kern w:val="0"/>
                <w:szCs w:val="21"/>
              </w:rPr>
              <w:t>年度部门预算收入小计（1至7项）</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6009.63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9969.97</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1.财政拨款收入</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6009.63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9953.77</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2.中央提前告知转移支付资金</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3.纳入预算管理的行政事业性收费等非税收入</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4.纳入政府性基金预算管理收入</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spacing w:val="-8"/>
                <w:kern w:val="0"/>
                <w:szCs w:val="21"/>
              </w:rPr>
              <w:t>5.纳入专户管理的行政事业性收费等非税收入</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6.上年结转</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16.2</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color w:val="000000"/>
                <w:szCs w:val="21"/>
              </w:rPr>
            </w:pPr>
            <w:r>
              <w:rPr>
                <w:rFonts w:hint="eastAsia" w:ascii="宋体" w:hAnsi="宋体" w:cs="宋体"/>
                <w:kern w:val="0"/>
                <w:szCs w:val="21"/>
              </w:rPr>
              <w:t>7.其他收入</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Cs w:val="21"/>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宋体" w:hAnsi="宋体" w:cs="宋体"/>
                <w:kern w:val="0"/>
                <w:szCs w:val="21"/>
              </w:rPr>
            </w:pPr>
            <w:r>
              <w:rPr>
                <w:rFonts w:hint="eastAsia" w:ascii="宋体" w:hAnsi="宋体" w:cs="宋体"/>
                <w:kern w:val="0"/>
                <w:szCs w:val="21"/>
              </w:rPr>
              <w:t>年度部门预算支出小计（一+二）</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6009.63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9947.29</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9947.29</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一、基本支出（第1至4项小计）</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3871.33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4731.02</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4731.02</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1.工资福利支出</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1452.12</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2054</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2054</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2.商品和服务支出</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2253.38</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2368.72</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2368.72</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3.对个人和家庭的补助</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165.83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306.73</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306.73</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4.资本性支出</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1.57</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1.57</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二、项目支出（第1至2项小计）</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2138.3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5216.27</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5216.27</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1.履职保障类（部门经费类）项目支出</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2138.3</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5216.27</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5216.27</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r>
      <w:tr>
        <w:tblPrEx>
          <w:tblCellMar>
            <w:top w:w="0" w:type="dxa"/>
            <w:left w:w="0" w:type="dxa"/>
            <w:bottom w:w="0" w:type="dxa"/>
            <w:right w:w="0" w:type="dxa"/>
          </w:tblCellMar>
        </w:tblPrEx>
        <w:trPr>
          <w:gridAfter w:val="2"/>
          <w:wAfter w:w="96" w:type="dxa"/>
          <w:trHeight w:val="651"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color w:val="000000"/>
                <w:sz w:val="22"/>
                <w:szCs w:val="22"/>
              </w:rPr>
            </w:pPr>
            <w:r>
              <w:rPr>
                <w:rFonts w:hint="eastAsia" w:ascii="宋体" w:hAnsi="宋体" w:cs="宋体"/>
                <w:kern w:val="0"/>
                <w:szCs w:val="21"/>
              </w:rPr>
              <w:t>2.事业发展类（专项资金类）项目支出</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r>
              <w:rPr>
                <w:rFonts w:hint="eastAsia" w:ascii="宋体" w:hAnsi="宋体" w:cs="宋体"/>
                <w:color w:val="000000"/>
                <w:kern w:val="0"/>
                <w:szCs w:val="21"/>
              </w:rPr>
              <w:t>年度主要任务</w:t>
            </w: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ascii="宋体" w:hAnsi="宋体" w:cs="宋体"/>
                <w:color w:val="000000"/>
                <w:kern w:val="0"/>
                <w:szCs w:val="21"/>
              </w:rPr>
              <w:t>工作名称</w:t>
            </w:r>
          </w:p>
        </w:tc>
        <w:tc>
          <w:tcPr>
            <w:tcW w:w="2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ascii="宋体" w:hAnsi="宋体" w:cs="宋体"/>
                <w:color w:val="000000"/>
                <w:kern w:val="0"/>
                <w:szCs w:val="21"/>
              </w:rPr>
              <w:t>对应项目</w:t>
            </w: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年初</w:t>
            </w:r>
          </w:p>
          <w:p>
            <w:pPr>
              <w:jc w:val="center"/>
              <w:rPr>
                <w:sz w:val="22"/>
                <w:szCs w:val="22"/>
              </w:rPr>
            </w:pPr>
            <w:r>
              <w:rPr>
                <w:rFonts w:hint="eastAsia"/>
                <w:sz w:val="22"/>
                <w:szCs w:val="22"/>
              </w:rPr>
              <w:t>预算数</w:t>
            </w: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sz w:val="22"/>
                <w:szCs w:val="22"/>
              </w:rPr>
            </w:pPr>
            <w:r>
              <w:rPr>
                <w:rFonts w:hint="eastAsia"/>
                <w:sz w:val="22"/>
                <w:szCs w:val="22"/>
              </w:rPr>
              <w:t>预算数</w:t>
            </w: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sz w:val="22"/>
                <w:szCs w:val="22"/>
              </w:rPr>
            </w:pPr>
            <w:r>
              <w:rPr>
                <w:rFonts w:hint="eastAsia"/>
                <w:sz w:val="22"/>
                <w:szCs w:val="22"/>
              </w:rPr>
              <w:t>全年</w:t>
            </w:r>
          </w:p>
          <w:p>
            <w:pPr>
              <w:jc w:val="center"/>
              <w:rPr>
                <w:sz w:val="22"/>
                <w:szCs w:val="22"/>
              </w:rPr>
            </w:pPr>
            <w:r>
              <w:rPr>
                <w:rFonts w:hint="eastAsia"/>
                <w:sz w:val="22"/>
                <w:szCs w:val="22"/>
              </w:rPr>
              <w:t>执行数</w:t>
            </w: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执行率</w:t>
            </w: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r>
              <w:rPr>
                <w:rFonts w:hint="eastAsia" w:ascii="宋体" w:hAnsi="宋体" w:cs="宋体"/>
                <w:color w:val="000000"/>
                <w:kern w:val="0"/>
                <w:szCs w:val="21"/>
              </w:rPr>
              <w:t>重点工作一</w:t>
            </w:r>
          </w:p>
        </w:tc>
        <w:tc>
          <w:tcPr>
            <w:tcW w:w="2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r>
              <w:rPr>
                <w:rFonts w:hint="eastAsia" w:ascii="宋体" w:hAnsi="宋体" w:cs="宋体"/>
                <w:color w:val="000000"/>
                <w:kern w:val="0"/>
                <w:szCs w:val="21"/>
              </w:rPr>
              <w:t>重点工作二</w:t>
            </w:r>
          </w:p>
        </w:tc>
        <w:tc>
          <w:tcPr>
            <w:tcW w:w="2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r>
              <w:rPr>
                <w:rFonts w:hint="eastAsia" w:ascii="宋体" w:hAnsi="宋体" w:cs="宋体"/>
                <w:color w:val="000000"/>
                <w:kern w:val="0"/>
                <w:szCs w:val="21"/>
              </w:rPr>
              <w:t>……</w:t>
            </w:r>
          </w:p>
        </w:tc>
        <w:tc>
          <w:tcPr>
            <w:tcW w:w="2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kern w:val="0"/>
                <w:szCs w:val="21"/>
              </w:rPr>
            </w:pP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r>
              <w:rPr>
                <w:rFonts w:hint="eastAsia"/>
                <w:color w:val="000000"/>
                <w:sz w:val="22"/>
                <w:szCs w:val="22"/>
              </w:rPr>
              <w:t>合计</w:t>
            </w:r>
          </w:p>
        </w:tc>
        <w:tc>
          <w:tcPr>
            <w:tcW w:w="2562"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kern w:val="0"/>
                <w:szCs w:val="21"/>
              </w:rPr>
            </w:pPr>
          </w:p>
        </w:tc>
        <w:tc>
          <w:tcPr>
            <w:tcW w:w="105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8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234"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142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年度绩效目标　</w:t>
            </w: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年初设定</w:t>
            </w:r>
          </w:p>
          <w:p>
            <w:pPr>
              <w:jc w:val="center"/>
              <w:rPr>
                <w:color w:val="000000"/>
                <w:sz w:val="22"/>
                <w:szCs w:val="22"/>
              </w:rPr>
            </w:pPr>
            <w:r>
              <w:rPr>
                <w:rFonts w:hint="eastAsia"/>
                <w:color w:val="000000"/>
                <w:sz w:val="22"/>
                <w:szCs w:val="22"/>
              </w:rPr>
              <w:t>目标</w:t>
            </w:r>
          </w:p>
        </w:tc>
        <w:tc>
          <w:tcPr>
            <w:tcW w:w="7125"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全年完成情况</w:t>
            </w:r>
          </w:p>
        </w:tc>
      </w:tr>
      <w:tr>
        <w:tblPrEx>
          <w:tblCellMar>
            <w:top w:w="0" w:type="dxa"/>
            <w:left w:w="0" w:type="dxa"/>
            <w:bottom w:w="0" w:type="dxa"/>
            <w:right w:w="0" w:type="dxa"/>
          </w:tblCellMar>
        </w:tblPrEx>
        <w:trPr>
          <w:gridAfter w:val="2"/>
          <w:wAfter w:w="96"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r>
              <w:rPr>
                <w:rFonts w:hint="eastAsia" w:ascii="宋体" w:hAnsi="宋体" w:cs="宋体"/>
                <w:color w:val="000000"/>
                <w:kern w:val="0"/>
                <w:szCs w:val="21"/>
              </w:rPr>
              <w:t>目标1：保证人员工资、各种保险；</w:t>
            </w:r>
          </w:p>
        </w:tc>
        <w:tc>
          <w:tcPr>
            <w:tcW w:w="7125"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tc>
      </w:tr>
      <w:tr>
        <w:tblPrEx>
          <w:tblCellMar>
            <w:top w:w="0" w:type="dxa"/>
            <w:left w:w="0" w:type="dxa"/>
            <w:bottom w:w="0" w:type="dxa"/>
            <w:right w:w="0" w:type="dxa"/>
          </w:tblCellMar>
        </w:tblPrEx>
        <w:trPr>
          <w:gridAfter w:val="2"/>
          <w:wAfter w:w="96"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r>
              <w:rPr>
                <w:rFonts w:hint="eastAsia" w:ascii="宋体" w:hAnsi="宋体" w:cs="宋体"/>
                <w:color w:val="000000"/>
                <w:kern w:val="0"/>
                <w:szCs w:val="21"/>
              </w:rPr>
              <w:t>目标2：保证集中办公区、公务周转房、会议室、领导办公室正常运行维护；保证集中办公区安防设备正常运行维护；保证市直公关事业单位办公场所使用需要；保证市直机关公务接待；保证市政府办政务、服务及政务公开、市政府值班应急管理、公文传输及保密、网络诉求、建议提案办理、公务用车管理等各项业务工作正常开展、顺利完成；保证湖边宾馆人员安置需要。</w:t>
            </w:r>
          </w:p>
        </w:tc>
        <w:tc>
          <w:tcPr>
            <w:tcW w:w="7125"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tc>
      </w:tr>
      <w:tr>
        <w:tblPrEx>
          <w:tblCellMar>
            <w:top w:w="0" w:type="dxa"/>
            <w:left w:w="0" w:type="dxa"/>
            <w:bottom w:w="0" w:type="dxa"/>
            <w:right w:w="0" w:type="dxa"/>
          </w:tblCellMar>
        </w:tblPrEx>
        <w:trPr>
          <w:gridAfter w:val="2"/>
          <w:wAfter w:w="96" w:type="dxa"/>
          <w:trHeight w:val="43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122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color w:val="000000"/>
                <w:sz w:val="22"/>
                <w:szCs w:val="22"/>
              </w:rPr>
            </w:pPr>
          </w:p>
        </w:tc>
        <w:tc>
          <w:tcPr>
            <w:tcW w:w="7125" w:type="dxa"/>
            <w:gridSpan w:val="1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9054" w:type="dxa"/>
            <w:gridSpan w:val="2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分解目标评价</w:t>
            </w:r>
          </w:p>
        </w:tc>
      </w:tr>
      <w:tr>
        <w:tblPrEx>
          <w:tblCellMar>
            <w:top w:w="0" w:type="dxa"/>
            <w:left w:w="0" w:type="dxa"/>
            <w:bottom w:w="0" w:type="dxa"/>
            <w:right w:w="0" w:type="dxa"/>
          </w:tblCellMar>
        </w:tblPrEx>
        <w:trPr>
          <w:gridAfter w:val="1"/>
          <w:wAfter w:w="6" w:type="dxa"/>
          <w:trHeight w:val="809"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一级</w:t>
            </w:r>
          </w:p>
          <w:p>
            <w:pPr>
              <w:jc w:val="center"/>
              <w:rPr>
                <w:rFonts w:ascii="宋体" w:hAnsi="宋体" w:cs="宋体"/>
                <w:color w:val="000000"/>
                <w:sz w:val="22"/>
                <w:szCs w:val="22"/>
              </w:rPr>
            </w:pPr>
            <w:r>
              <w:rPr>
                <w:rFonts w:hint="eastAsia"/>
                <w:color w:val="000000"/>
                <w:sz w:val="22"/>
                <w:szCs w:val="22"/>
              </w:rPr>
              <w:t>指标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二级</w:t>
            </w:r>
          </w:p>
          <w:p>
            <w:pPr>
              <w:jc w:val="center"/>
              <w:rPr>
                <w:rFonts w:ascii="宋体" w:hAnsi="宋体" w:cs="宋体"/>
                <w:color w:val="000000"/>
                <w:sz w:val="22"/>
                <w:szCs w:val="22"/>
              </w:rPr>
            </w:pPr>
            <w:r>
              <w:rPr>
                <w:rFonts w:hint="eastAsia"/>
                <w:color w:val="000000"/>
                <w:sz w:val="22"/>
                <w:szCs w:val="22"/>
              </w:rPr>
              <w:t>指标</w:t>
            </w:r>
          </w:p>
        </w:tc>
        <w:tc>
          <w:tcPr>
            <w:tcW w:w="68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三级</w:t>
            </w:r>
          </w:p>
          <w:p>
            <w:pPr>
              <w:jc w:val="center"/>
              <w:rPr>
                <w:color w:val="000000"/>
                <w:sz w:val="22"/>
                <w:szCs w:val="22"/>
              </w:rPr>
            </w:pPr>
            <w:r>
              <w:rPr>
                <w:rFonts w:hint="eastAsia"/>
                <w:color w:val="000000"/>
                <w:sz w:val="22"/>
                <w:szCs w:val="22"/>
              </w:rPr>
              <w:t>指标</w:t>
            </w:r>
          </w:p>
        </w:tc>
        <w:tc>
          <w:tcPr>
            <w:tcW w:w="1562"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年度</w:t>
            </w:r>
          </w:p>
          <w:p>
            <w:pPr>
              <w:jc w:val="center"/>
              <w:rPr>
                <w:color w:val="000000"/>
                <w:sz w:val="22"/>
                <w:szCs w:val="22"/>
              </w:rPr>
            </w:pPr>
            <w:r>
              <w:rPr>
                <w:rFonts w:hint="eastAsia"/>
                <w:color w:val="000000"/>
                <w:sz w:val="22"/>
                <w:szCs w:val="22"/>
              </w:rPr>
              <w:t>指标值</w:t>
            </w:r>
          </w:p>
        </w:tc>
        <w:tc>
          <w:tcPr>
            <w:tcW w:w="4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全年完成值</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完成</w:t>
            </w:r>
          </w:p>
          <w:p>
            <w:pPr>
              <w:jc w:val="center"/>
              <w:rPr>
                <w:color w:val="000000"/>
                <w:sz w:val="22"/>
                <w:szCs w:val="22"/>
              </w:rPr>
            </w:pPr>
            <w:r>
              <w:rPr>
                <w:rFonts w:hint="eastAsia"/>
                <w:color w:val="000000"/>
                <w:sz w:val="22"/>
                <w:szCs w:val="22"/>
              </w:rPr>
              <w:t>程度</w:t>
            </w:r>
          </w:p>
        </w:tc>
        <w:tc>
          <w:tcPr>
            <w:tcW w:w="33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分值</w:t>
            </w:r>
          </w:p>
        </w:tc>
        <w:tc>
          <w:tcPr>
            <w:tcW w:w="4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得分</w:t>
            </w:r>
          </w:p>
        </w:tc>
        <w:tc>
          <w:tcPr>
            <w:tcW w:w="3277"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未完成原因</w:t>
            </w:r>
          </w:p>
          <w:p>
            <w:pPr>
              <w:jc w:val="center"/>
              <w:rPr>
                <w:rFonts w:ascii="宋体" w:hAnsi="宋体" w:cs="宋体"/>
                <w:color w:val="000000"/>
                <w:kern w:val="0"/>
                <w:sz w:val="20"/>
                <w:szCs w:val="20"/>
              </w:rPr>
            </w:pPr>
            <w:r>
              <w:rPr>
                <w:rFonts w:hint="eastAsia" w:ascii="宋体" w:hAnsi="宋体" w:cs="宋体"/>
                <w:color w:val="000000"/>
                <w:kern w:val="0"/>
                <w:szCs w:val="21"/>
              </w:rPr>
              <w:t>（请在相应选项下划“√”并在原因说明中分项阐述）</w:t>
            </w:r>
          </w:p>
        </w:tc>
        <w:tc>
          <w:tcPr>
            <w:tcW w:w="578"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改进措施</w:t>
            </w:r>
          </w:p>
        </w:tc>
      </w:tr>
      <w:tr>
        <w:tblPrEx>
          <w:tblCellMar>
            <w:top w:w="0" w:type="dxa"/>
            <w:left w:w="0" w:type="dxa"/>
            <w:bottom w:w="0" w:type="dxa"/>
            <w:right w:w="0" w:type="dxa"/>
          </w:tblCellMar>
        </w:tblPrEx>
        <w:trPr>
          <w:gridAfter w:val="1"/>
          <w:wAfter w:w="6" w:type="dxa"/>
          <w:trHeight w:val="80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8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运算符号</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内容</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度量单位</w:t>
            </w:r>
          </w:p>
        </w:tc>
        <w:tc>
          <w:tcPr>
            <w:tcW w:w="46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硬件条件保障</w:t>
            </w: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其他</w:t>
            </w:r>
          </w:p>
        </w:tc>
        <w:tc>
          <w:tcPr>
            <w:tcW w:w="6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8"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0" w:hRule="atLeast"/>
          <w:jc w:val="center"/>
        </w:trPr>
        <w:tc>
          <w:tcPr>
            <w:tcW w:w="70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履职</w:t>
            </w:r>
          </w:p>
          <w:p>
            <w:pPr>
              <w:widowControl/>
              <w:jc w:val="center"/>
              <w:rPr>
                <w:rFonts w:ascii="宋体" w:hAnsi="宋体" w:cs="宋体"/>
                <w:color w:val="000000"/>
                <w:kern w:val="0"/>
                <w:szCs w:val="21"/>
              </w:rPr>
            </w:pPr>
            <w:r>
              <w:rPr>
                <w:rFonts w:hint="eastAsia" w:ascii="宋体" w:hAnsi="宋体" w:cs="宋体"/>
                <w:color w:val="000000"/>
                <w:kern w:val="0"/>
                <w:szCs w:val="21"/>
              </w:rPr>
              <w:t>效能</w:t>
            </w:r>
          </w:p>
          <w:p>
            <w:pPr>
              <w:widowControl/>
              <w:jc w:val="center"/>
              <w:rPr>
                <w:rFonts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重点工作履行情况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宋体" w:hAnsi="宋体" w:cs="宋体"/>
                <w:color w:val="000000"/>
                <w:sz w:val="22"/>
                <w:szCs w:val="22"/>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p>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重点工作办结率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99"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0"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 w:val="22"/>
                <w:szCs w:val="22"/>
              </w:rPr>
              <w:t>整体工作完成情况</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工作完成及时率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3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工作质量达标率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48"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指标3</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总体工作完成率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7</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基础管理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依法行政能力</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管理规范</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6</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6</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3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综合管理水平</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管理规范</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6</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6</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15"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95"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rPr>
                <w:rFonts w:ascii="宋体" w:hAnsi="宋体" w:cs="宋体"/>
                <w:color w:val="000000"/>
                <w:kern w:val="0"/>
                <w:szCs w:val="21"/>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5"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预算</w:t>
            </w:r>
          </w:p>
          <w:p>
            <w:pPr>
              <w:widowControl/>
              <w:jc w:val="center"/>
              <w:textAlignment w:val="center"/>
              <w:rPr>
                <w:rFonts w:ascii="宋体" w:hAnsi="宋体" w:cs="宋体"/>
                <w:color w:val="000000"/>
                <w:sz w:val="22"/>
                <w:szCs w:val="22"/>
              </w:rPr>
            </w:pPr>
            <w:r>
              <w:rPr>
                <w:rFonts w:hint="eastAsia" w:ascii="宋体" w:hAnsi="宋体" w:cs="宋体"/>
                <w:color w:val="000000"/>
                <w:kern w:val="0"/>
                <w:szCs w:val="21"/>
              </w:rPr>
              <w:t>执行</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预算执行效率</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结转结余变动率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40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3</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olor w:val="000000"/>
                <w:sz w:val="22"/>
                <w:szCs w:val="22"/>
              </w:rPr>
              <w:t>√</w:t>
            </w: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应缴未缴医保调济金等</w:t>
            </w: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及时缴纳</w:t>
            </w:r>
          </w:p>
        </w:tc>
      </w:tr>
      <w:tr>
        <w:tblPrEx>
          <w:tblCellMar>
            <w:top w:w="0" w:type="dxa"/>
            <w:left w:w="0" w:type="dxa"/>
            <w:bottom w:w="0" w:type="dxa"/>
            <w:right w:w="0" w:type="dxa"/>
          </w:tblCellMar>
        </w:tblPrEx>
        <w:trPr>
          <w:trHeight w:val="345"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预算调整率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66</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13.2</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4</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0.05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olor w:val="000000"/>
                <w:sz w:val="22"/>
                <w:szCs w:val="22"/>
              </w:rPr>
              <w:t>√</w:t>
            </w: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振兴大厦租金增加预算</w:t>
            </w: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足额编制预算</w:t>
            </w:r>
          </w:p>
        </w:tc>
      </w:tr>
      <w:tr>
        <w:tblPrEx>
          <w:tblCellMar>
            <w:top w:w="0" w:type="dxa"/>
            <w:left w:w="0" w:type="dxa"/>
            <w:bottom w:w="0" w:type="dxa"/>
            <w:right w:w="0" w:type="dxa"/>
          </w:tblCellMar>
        </w:tblPrEx>
        <w:trPr>
          <w:trHeight w:val="3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指标3</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预算执行率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3</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3</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345"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管理</w:t>
            </w:r>
          </w:p>
          <w:p>
            <w:pPr>
              <w:jc w:val="center"/>
              <w:rPr>
                <w:rFonts w:ascii="宋体" w:hAnsi="宋体" w:cs="宋体"/>
                <w:color w:val="000000"/>
                <w:sz w:val="22"/>
                <w:szCs w:val="22"/>
              </w:rPr>
            </w:pPr>
            <w:r>
              <w:rPr>
                <w:rFonts w:hint="eastAsia" w:ascii="宋体" w:hAnsi="宋体" w:cs="宋体"/>
                <w:color w:val="000000"/>
                <w:kern w:val="0"/>
                <w:szCs w:val="21"/>
              </w:rPr>
              <w:t>效率</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预算编制管理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预算绩效目标覆盖率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2</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预算监督管理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预决算公开情况</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全部公开</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全部公开</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预算收支</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预算收入管理规范性</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管理规范</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预算支出管理规范性</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管理规范</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管理规范</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财务管理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内控制度有效性</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制度有效</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ascii="宋体" w:hAnsi="宋体" w:cs="宋体"/>
                <w:color w:val="000000"/>
                <w:szCs w:val="21"/>
              </w:rPr>
              <w:t>制度有效</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2</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资产管理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固定资产利用率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kern w:val="0"/>
                <w:szCs w:val="21"/>
              </w:rPr>
              <w:t>业务</w:t>
            </w:r>
            <w:r>
              <w:rPr>
                <w:rFonts w:hint="eastAsia" w:ascii="宋体" w:hAnsi="宋体" w:cs="宋体"/>
                <w:szCs w:val="21"/>
              </w:rPr>
              <w:t>管理</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政府</w:t>
            </w:r>
            <w:r>
              <w:rPr>
                <w:rFonts w:hint="eastAsia" w:ascii="宋体" w:hAnsi="宋体" w:cs="宋体"/>
                <w:color w:val="000000"/>
                <w:szCs w:val="21"/>
              </w:rPr>
              <w:t>采购管理违法违规行为发生次数</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次</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24"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运行</w:t>
            </w:r>
          </w:p>
          <w:p>
            <w:pPr>
              <w:jc w:val="center"/>
              <w:rPr>
                <w:rFonts w:ascii="宋体" w:hAnsi="宋体" w:cs="宋体"/>
                <w:color w:val="000000"/>
                <w:sz w:val="22"/>
                <w:szCs w:val="22"/>
              </w:rPr>
            </w:pPr>
            <w:r>
              <w:rPr>
                <w:rFonts w:hint="eastAsia" w:ascii="宋体" w:hAnsi="宋体" w:cs="宋体"/>
                <w:color w:val="000000"/>
                <w:sz w:val="22"/>
                <w:szCs w:val="22"/>
              </w:rPr>
              <w:t>成本</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成本控制成效</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“三公”经费变动率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2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Cs w:val="21"/>
              </w:rPr>
              <w:t>在职人员控制率</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5</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kern w:val="0"/>
                <w:szCs w:val="21"/>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67"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效应</w:t>
            </w: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社会</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效应</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政治效益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51"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社会效益</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群众网上投诉投诉形势平稳向好</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平稳向好</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平稳向好</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500"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81" w:hRule="atLeast"/>
          <w:jc w:val="center"/>
        </w:trPr>
        <w:tc>
          <w:tcPr>
            <w:tcW w:w="708"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szCs w:val="21"/>
              </w:rPr>
              <w:t>经济效益</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szCs w:val="21"/>
              </w:rPr>
              <w:t>生态效益</w:t>
            </w: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服务对象满意度</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窗口服务效率满意度</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100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100</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szCs w:val="21"/>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可持</w:t>
            </w:r>
          </w:p>
          <w:p>
            <w:pPr>
              <w:jc w:val="center"/>
              <w:rPr>
                <w:rFonts w:ascii="宋体" w:hAnsi="宋体" w:cs="宋体"/>
                <w:color w:val="000000"/>
                <w:sz w:val="22"/>
                <w:szCs w:val="22"/>
              </w:rPr>
            </w:pPr>
            <w:r>
              <w:rPr>
                <w:rFonts w:hint="eastAsia" w:ascii="宋体" w:hAnsi="宋体" w:cs="宋体"/>
                <w:color w:val="000000"/>
                <w:sz w:val="22"/>
                <w:szCs w:val="22"/>
              </w:rPr>
              <w:t>续性</w:t>
            </w: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体制机制改革</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6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sz w:val="22"/>
                <w:szCs w:val="22"/>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　</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szCs w:val="21"/>
              </w:rPr>
              <w:t>创新驱动发展</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szCs w:val="21"/>
              </w:rPr>
            </w:pPr>
            <w:r>
              <w:rPr>
                <w:rFonts w:hint="eastAsia" w:ascii="宋体" w:hAnsi="宋体" w:cs="宋体"/>
                <w:color w:val="000000"/>
                <w:szCs w:val="21"/>
              </w:rPr>
              <w:t>指标1</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开展信息调研</w:t>
            </w: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Cs w:val="21"/>
              </w:rPr>
              <w:t>创新发展</w:t>
            </w:r>
            <w:r>
              <w:rPr>
                <w:rFonts w:hint="eastAsia"/>
                <w:color w:val="000000"/>
                <w:sz w:val="22"/>
                <w:szCs w:val="22"/>
              </w:rPr>
              <w:t>　</w:t>
            </w: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szCs w:val="21"/>
              </w:rPr>
              <w:t>创新发展</w:t>
            </w: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sz w:val="22"/>
                <w:szCs w:val="22"/>
              </w:rPr>
            </w:pPr>
            <w:r>
              <w:rPr>
                <w:rFonts w:hint="eastAsia"/>
                <w:color w:val="000000"/>
                <w:sz w:val="22"/>
                <w:szCs w:val="22"/>
              </w:rPr>
              <w:t>10</w:t>
            </w: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r>
              <w:rPr>
                <w:rFonts w:hint="eastAsia"/>
                <w:color w:val="000000"/>
                <w:sz w:val="22"/>
                <w:szCs w:val="22"/>
              </w:rPr>
              <w:t>10</w:t>
            </w: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color w:val="000000"/>
                <w:sz w:val="22"/>
                <w:szCs w:val="22"/>
              </w:rPr>
              <w:t>　</w:t>
            </w: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sz w:val="22"/>
                <w:szCs w:val="22"/>
              </w:rPr>
            </w:pPr>
            <w:r>
              <w:rPr>
                <w:rFonts w:hint="eastAsia" w:ascii="宋体" w:hAnsi="宋体" w:cs="宋体"/>
                <w:color w:val="000000"/>
                <w:szCs w:val="21"/>
              </w:rPr>
              <w:t>指标2</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sz w:val="22"/>
                <w:szCs w:val="22"/>
              </w:rPr>
            </w:pPr>
            <w:r>
              <w:rPr>
                <w:rFonts w:hint="eastAsia" w:ascii="宋体" w:hAnsi="宋体" w:cs="宋体"/>
                <w:color w:val="000000"/>
                <w:kern w:val="0"/>
                <w:szCs w:val="21"/>
              </w:rPr>
              <w:t>……</w:t>
            </w:r>
          </w:p>
        </w:tc>
        <w:tc>
          <w:tcPr>
            <w:tcW w:w="615"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trHeight w:val="40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r>
              <w:rPr>
                <w:rFonts w:hint="eastAsia" w:ascii="宋体" w:hAnsi="宋体" w:cs="宋体"/>
                <w:color w:val="000000"/>
                <w:kern w:val="0"/>
                <w:szCs w:val="21"/>
              </w:rPr>
              <w:t>……</w:t>
            </w:r>
          </w:p>
        </w:tc>
        <w:tc>
          <w:tcPr>
            <w:tcW w:w="68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ascii="宋体" w:hAnsi="宋体" w:cs="宋体"/>
                <w:color w:val="000000"/>
                <w:kern w:val="0"/>
                <w:szCs w:val="21"/>
              </w:rPr>
            </w:pPr>
          </w:p>
        </w:tc>
        <w:tc>
          <w:tcPr>
            <w:tcW w:w="61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7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3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4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sz w:val="22"/>
                <w:szCs w:val="22"/>
              </w:rPr>
            </w:pPr>
          </w:p>
        </w:tc>
        <w:tc>
          <w:tcPr>
            <w:tcW w:w="64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5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0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6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495"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6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c>
          <w:tcPr>
            <w:tcW w:w="57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sz w:val="22"/>
                <w:szCs w:val="22"/>
              </w:rPr>
            </w:pPr>
          </w:p>
        </w:tc>
      </w:tr>
      <w:tr>
        <w:tblPrEx>
          <w:tblCellMar>
            <w:top w:w="0" w:type="dxa"/>
            <w:left w:w="0" w:type="dxa"/>
            <w:bottom w:w="0" w:type="dxa"/>
            <w:right w:w="0" w:type="dxa"/>
          </w:tblCellMar>
        </w:tblPrEx>
        <w:trPr>
          <w:gridAfter w:val="2"/>
          <w:wAfter w:w="96" w:type="dxa"/>
          <w:trHeight w:val="402" w:hRule="atLeast"/>
          <w:jc w:val="center"/>
        </w:trPr>
        <w:tc>
          <w:tcPr>
            <w:tcW w:w="4491" w:type="dxa"/>
            <w:gridSpan w:val="8"/>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rPr>
                <w:rFonts w:hint="eastAsia"/>
                <w:color w:val="000000"/>
                <w:sz w:val="22"/>
                <w:szCs w:val="22"/>
              </w:rPr>
              <w:t>总评价得分</w:t>
            </w:r>
          </w:p>
        </w:tc>
        <w:tc>
          <w:tcPr>
            <w:tcW w:w="456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sz w:val="22"/>
                <w:szCs w:val="22"/>
                <w:lang w:val="en-US" w:eastAsia="zh-CN"/>
              </w:rPr>
            </w:pPr>
            <w:r>
              <w:rPr>
                <w:rFonts w:hint="eastAsia"/>
                <w:color w:val="000000"/>
                <w:sz w:val="22"/>
                <w:szCs w:val="22"/>
                <w:lang w:val="en-US" w:eastAsia="zh-CN"/>
              </w:rPr>
              <w:t>96.05</w:t>
            </w:r>
            <w:bookmarkStart w:id="0" w:name="_GoBack"/>
            <w:bookmarkEnd w:id="0"/>
          </w:p>
        </w:tc>
      </w:tr>
      <w:tr>
        <w:tblPrEx>
          <w:tblCellMar>
            <w:top w:w="0" w:type="dxa"/>
            <w:left w:w="0" w:type="dxa"/>
            <w:bottom w:w="0" w:type="dxa"/>
            <w:right w:w="0" w:type="dxa"/>
          </w:tblCellMar>
        </w:tblPrEx>
        <w:trPr>
          <w:gridAfter w:val="2"/>
          <w:wAfter w:w="96" w:type="dxa"/>
          <w:trHeight w:val="4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0"/>
                <w:szCs w:val="20"/>
              </w:rPr>
              <w:t>说明</w:t>
            </w:r>
          </w:p>
        </w:tc>
        <w:tc>
          <w:tcPr>
            <w:tcW w:w="8346"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sz w:val="22"/>
                <w:szCs w:val="22"/>
              </w:rPr>
            </w:pPr>
            <w:r>
              <w:rPr>
                <w:rFonts w:hint="eastAsia" w:ascii="宋体" w:hAnsi="宋体" w:cs="宋体"/>
                <w:color w:val="000000"/>
                <w:kern w:val="0"/>
                <w:sz w:val="20"/>
                <w:szCs w:val="20"/>
              </w:rPr>
              <w:t>请在此处简要说明各级审计和财政监督检查中发现的问题及其所涉及的金额，如没有请填无。</w:t>
            </w:r>
          </w:p>
        </w:tc>
      </w:tr>
      <w:tr>
        <w:tblPrEx>
          <w:tblCellMar>
            <w:top w:w="0" w:type="dxa"/>
            <w:left w:w="0" w:type="dxa"/>
            <w:bottom w:w="0" w:type="dxa"/>
            <w:right w:w="0" w:type="dxa"/>
          </w:tblCellMar>
        </w:tblPrEx>
        <w:trPr>
          <w:gridAfter w:val="2"/>
          <w:wAfter w:w="96" w:type="dxa"/>
          <w:trHeight w:val="89"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r>
              <w:rPr>
                <w:rFonts w:hint="eastAsia" w:ascii="宋体" w:hAnsi="宋体" w:cs="宋体"/>
                <w:color w:val="000000"/>
                <w:szCs w:val="21"/>
              </w:rPr>
              <w:t>结果应用建议选项</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□建议进一步规范预算管理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□建议改进业务管理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0"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□建议改进预算编制管理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□建议进一步提升预算执行效率和效益</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□建议改进资产管理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□建议改进政府采购管理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359"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w:t>
            </w:r>
            <w:r>
              <w:rPr>
                <w:rFonts w:hint="eastAsia" w:ascii="宋体" w:hAnsi="宋体" w:cs="宋体"/>
                <w:color w:val="000000"/>
                <w:kern w:val="0"/>
                <w:szCs w:val="21"/>
              </w:rPr>
              <w:t>建议核减下一年度经费数额</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w:t>
            </w:r>
            <w:r>
              <w:rPr>
                <w:rFonts w:hint="eastAsia" w:ascii="宋体" w:hAnsi="宋体" w:cs="宋体"/>
                <w:color w:val="000000"/>
                <w:kern w:val="0"/>
                <w:szCs w:val="21"/>
              </w:rPr>
              <w:t>建议削减低效</w:t>
            </w:r>
            <w:r>
              <w:rPr>
                <w:rFonts w:ascii="宋体" w:hAnsi="宋体" w:cs="宋体"/>
                <w:color w:val="000000"/>
                <w:kern w:val="0"/>
                <w:szCs w:val="21"/>
              </w:rPr>
              <w:t>、</w:t>
            </w:r>
            <w:r>
              <w:rPr>
                <w:rFonts w:hint="eastAsia" w:ascii="宋体" w:hAnsi="宋体" w:cs="宋体"/>
                <w:color w:val="000000"/>
                <w:kern w:val="0"/>
                <w:szCs w:val="21"/>
              </w:rPr>
              <w:t>无效资金或结构调整</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□建议收回</w:t>
            </w:r>
            <w:r>
              <w:rPr>
                <w:rFonts w:hint="eastAsia" w:ascii="宋体" w:hAnsi="宋体" w:cs="宋体"/>
                <w:color w:val="000000"/>
                <w:kern w:val="0"/>
                <w:szCs w:val="21"/>
              </w:rPr>
              <w:t>长期沉淀的资金</w:t>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413"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tabs>
                <w:tab w:val="left" w:pos="3272"/>
              </w:tabs>
              <w:jc w:val="left"/>
              <w:rPr>
                <w:color w:val="000000"/>
                <w:sz w:val="22"/>
                <w:szCs w:val="22"/>
              </w:rPr>
            </w:pPr>
            <w:r>
              <w:rPr>
                <w:rFonts w:hint="eastAsia" w:ascii="宋体" w:hAnsi="宋体" w:cs="宋体"/>
                <w:color w:val="000000"/>
                <w:szCs w:val="21"/>
              </w:rPr>
              <w:t>□其他建议</w:t>
            </w:r>
            <w:r>
              <w:rPr>
                <w:rFonts w:hint="eastAsia" w:ascii="宋体" w:hAnsi="宋体" w:cs="宋体"/>
                <w:color w:val="000000"/>
                <w:szCs w:val="21"/>
              </w:rPr>
              <w:tab/>
            </w:r>
          </w:p>
        </w:tc>
        <w:tc>
          <w:tcPr>
            <w:tcW w:w="4563" w:type="dxa"/>
            <w:gridSpan w:val="13"/>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359"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color w:val="000000"/>
                <w:sz w:val="22"/>
                <w:szCs w:val="22"/>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szCs w:val="21"/>
              </w:rPr>
              <w:t>具体审核意见</w:t>
            </w:r>
          </w:p>
        </w:tc>
        <w:tc>
          <w:tcPr>
            <w:tcW w:w="4563" w:type="dxa"/>
            <w:gridSpan w:val="13"/>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top"/>
              <w:rPr>
                <w:rFonts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tabs>
                <w:tab w:val="left" w:pos="1738"/>
              </w:tabs>
              <w:jc w:val="left"/>
              <w:textAlignment w:val="top"/>
              <w:rPr>
                <w:rFonts w:ascii="宋体" w:hAnsi="宋体" w:cs="宋体"/>
                <w:color w:val="000000"/>
                <w:kern w:val="0"/>
                <w:szCs w:val="21"/>
              </w:rPr>
            </w:pPr>
            <w:r>
              <w:rPr>
                <w:rFonts w:hint="eastAsia" w:ascii="宋体" w:hAnsi="宋体" w:cs="宋体"/>
                <w:color w:val="000000"/>
                <w:kern w:val="0"/>
                <w:szCs w:val="21"/>
              </w:rPr>
              <w:tab/>
            </w: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widowControl/>
              <w:tabs>
                <w:tab w:val="left" w:pos="1738"/>
              </w:tabs>
              <w:jc w:val="left"/>
              <w:textAlignment w:val="top"/>
              <w:rPr>
                <w:rFonts w:ascii="宋体" w:hAnsi="宋体" w:cs="宋体"/>
                <w:color w:val="000000"/>
                <w:kern w:val="0"/>
                <w:szCs w:val="21"/>
              </w:rPr>
            </w:pPr>
          </w:p>
          <w:p>
            <w:pPr>
              <w:jc w:val="left"/>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gridAfter w:val="2"/>
          <w:wAfter w:w="9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sz w:val="22"/>
                <w:szCs w:val="22"/>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r>
              <w:rPr>
                <w:rFonts w:hint="eastAsia" w:ascii="宋体" w:hAnsi="宋体" w:cs="宋体"/>
                <w:color w:val="000000"/>
                <w:szCs w:val="21"/>
              </w:rPr>
              <w:t>□建议继续全额安排</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color w:val="000000"/>
                <w:sz w:val="22"/>
                <w:szCs w:val="22"/>
              </w:rPr>
            </w:pPr>
          </w:p>
        </w:tc>
      </w:tr>
      <w:tr>
        <w:tblPrEx>
          <w:tblCellMar>
            <w:top w:w="0" w:type="dxa"/>
            <w:left w:w="0" w:type="dxa"/>
            <w:bottom w:w="0" w:type="dxa"/>
            <w:right w:w="0" w:type="dxa"/>
          </w:tblCellMar>
        </w:tblPrEx>
        <w:trPr>
          <w:gridAfter w:val="2"/>
          <w:wAfter w:w="9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□建议继续安排，</w:t>
            </w:r>
            <w:r>
              <w:rPr>
                <w:rFonts w:hint="eastAsia" w:ascii="宋体" w:hAnsi="宋体" w:cs="宋体"/>
                <w:color w:val="000000"/>
                <w:kern w:val="0"/>
                <w:szCs w:val="21"/>
              </w:rPr>
              <w:t>按规定调整下一年度经费数额</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p>
        </w:tc>
      </w:tr>
      <w:tr>
        <w:tblPrEx>
          <w:tblCellMar>
            <w:top w:w="0" w:type="dxa"/>
            <w:left w:w="0" w:type="dxa"/>
            <w:bottom w:w="0" w:type="dxa"/>
            <w:right w:w="0" w:type="dxa"/>
          </w:tblCellMar>
        </w:tblPrEx>
        <w:trPr>
          <w:gridAfter w:val="2"/>
          <w:wAfter w:w="96" w:type="dxa"/>
          <w:trHeight w:val="208"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□规范预算管理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□改进业务管理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□改进预算编制管理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□提升预算执行效率和效益</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□改进资产管理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□改进政府采购管理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454"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削减低效</w:t>
            </w:r>
            <w:r>
              <w:rPr>
                <w:rFonts w:ascii="宋体" w:hAnsi="宋体" w:cs="宋体"/>
                <w:color w:val="000000"/>
                <w:kern w:val="0"/>
                <w:szCs w:val="21"/>
              </w:rPr>
              <w:t>、</w:t>
            </w:r>
            <w:r>
              <w:rPr>
                <w:rFonts w:hint="eastAsia" w:ascii="宋体" w:hAnsi="宋体" w:cs="宋体"/>
                <w:color w:val="000000"/>
                <w:kern w:val="0"/>
                <w:szCs w:val="21"/>
              </w:rPr>
              <w:t>无效资金</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对资金结构进行调整</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13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收回长期沉淀的资金</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512" w:hRule="atLeast"/>
          <w:jc w:val="center"/>
        </w:trPr>
        <w:tc>
          <w:tcPr>
            <w:tcW w:w="70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□其他意见</w:t>
            </w:r>
          </w:p>
        </w:tc>
        <w:tc>
          <w:tcPr>
            <w:tcW w:w="4563" w:type="dxa"/>
            <w:gridSpan w:val="13"/>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90" w:hRule="atLeast"/>
          <w:jc w:val="center"/>
        </w:trPr>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Cs w:val="21"/>
              </w:rPr>
              <w:t>意见</w:t>
            </w: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szCs w:val="21"/>
              </w:rPr>
              <w:t>具体审核意见</w:t>
            </w:r>
          </w:p>
        </w:tc>
        <w:tc>
          <w:tcPr>
            <w:tcW w:w="4563" w:type="dxa"/>
            <w:gridSpan w:val="13"/>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top"/>
              <w:rPr>
                <w:rFonts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ascii="宋体" w:hAnsi="宋体" w:cs="宋体"/>
                <w:color w:val="000000"/>
                <w:kern w:val="0"/>
                <w:szCs w:val="21"/>
              </w:rPr>
            </w:pPr>
          </w:p>
          <w:p>
            <w:pPr>
              <w:widowControl/>
              <w:jc w:val="left"/>
              <w:textAlignment w:val="top"/>
              <w:rPr>
                <w:rFonts w:ascii="宋体" w:hAnsi="宋体" w:cs="宋体"/>
                <w:color w:val="000000"/>
                <w:kern w:val="0"/>
                <w:szCs w:val="21"/>
              </w:rPr>
            </w:pPr>
          </w:p>
          <w:p>
            <w:pPr>
              <w:widowControl/>
              <w:jc w:val="left"/>
              <w:textAlignment w:val="top"/>
              <w:rPr>
                <w:rFonts w:ascii="宋体" w:hAnsi="宋体" w:cs="宋体"/>
                <w:color w:val="000000"/>
                <w:kern w:val="0"/>
                <w:szCs w:val="21"/>
              </w:rPr>
            </w:pPr>
          </w:p>
          <w:p>
            <w:pPr>
              <w:widowControl/>
              <w:jc w:val="left"/>
              <w:textAlignment w:val="top"/>
              <w:rPr>
                <w:rFonts w:ascii="宋体" w:hAnsi="宋体" w:cs="宋体"/>
                <w:color w:val="000000"/>
                <w:kern w:val="0"/>
                <w:szCs w:val="21"/>
              </w:rPr>
            </w:pPr>
          </w:p>
          <w:p>
            <w:pPr>
              <w:widowControl/>
              <w:jc w:val="left"/>
              <w:textAlignment w:val="top"/>
              <w:rPr>
                <w:rFonts w:ascii="宋体" w:hAnsi="宋体" w:cs="宋体"/>
                <w:color w:val="000000"/>
                <w:kern w:val="0"/>
                <w:szCs w:val="21"/>
              </w:rPr>
            </w:pPr>
          </w:p>
          <w:p>
            <w:pPr>
              <w:widowControl/>
              <w:jc w:val="left"/>
              <w:textAlignment w:val="top"/>
              <w:rPr>
                <w:rFonts w:ascii="宋体" w:hAnsi="宋体" w:cs="宋体"/>
                <w:color w:val="000000"/>
                <w:kern w:val="0"/>
                <w:szCs w:val="21"/>
              </w:rPr>
            </w:pPr>
            <w:r>
              <w:rPr>
                <w:rFonts w:hint="eastAsia" w:ascii="宋体" w:hAnsi="宋体" w:cs="宋体"/>
                <w:color w:val="000000"/>
                <w:kern w:val="0"/>
                <w:szCs w:val="21"/>
              </w:rPr>
              <w:br w:type="textWrapping"/>
            </w:r>
          </w:p>
          <w:p>
            <w:pPr>
              <w:widowControl/>
              <w:jc w:val="left"/>
              <w:textAlignment w:val="top"/>
              <w:rPr>
                <w:rFonts w:ascii="宋体" w:hAnsi="宋体" w:cs="宋体"/>
                <w:color w:val="000000"/>
                <w:kern w:val="0"/>
                <w:szCs w:val="21"/>
              </w:rPr>
            </w:pPr>
            <w:r>
              <w:rPr>
                <w:rFonts w:hint="eastAsia" w:ascii="宋体" w:hAnsi="宋体" w:cs="宋体"/>
                <w:color w:val="000000"/>
                <w:kern w:val="0"/>
                <w:szCs w:val="21"/>
              </w:rPr>
              <w:br w:type="textWrapping"/>
            </w:r>
          </w:p>
          <w:p>
            <w:pPr>
              <w:widowControl/>
              <w:ind w:firstLine="2310" w:firstLineChars="1100"/>
              <w:jc w:val="left"/>
              <w:textAlignment w:val="top"/>
              <w:rPr>
                <w:rFonts w:ascii="宋体" w:hAnsi="宋体" w:cs="宋体"/>
                <w:color w:val="000000"/>
                <w:kern w:val="0"/>
                <w:szCs w:val="21"/>
              </w:rPr>
            </w:pPr>
            <w:r>
              <w:rPr>
                <w:rFonts w:hint="eastAsia" w:ascii="宋体" w:hAnsi="宋体" w:cs="宋体"/>
                <w:color w:val="000000"/>
                <w:kern w:val="0"/>
                <w:szCs w:val="21"/>
              </w:rPr>
              <w:t xml:space="preserve">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gridAfter w:val="2"/>
          <w:wAfter w:w="96" w:type="dxa"/>
          <w:jc w:val="center"/>
        </w:trPr>
        <w:tc>
          <w:tcPr>
            <w:tcW w:w="708" w:type="dxa"/>
            <w:vMerge w:val="continue"/>
            <w:tcBorders>
              <w:top w:val="single" w:color="auto" w:sz="4" w:space="0"/>
              <w:left w:val="single" w:color="auto" w:sz="4" w:space="0"/>
              <w:bottom w:val="single" w:color="auto" w:sz="8" w:space="0"/>
              <w:right w:val="single" w:color="auto" w:sz="4" w:space="0"/>
            </w:tcBorders>
            <w:vAlign w:val="center"/>
          </w:tcPr>
          <w:p>
            <w:pPr>
              <w:widowControl/>
              <w:jc w:val="center"/>
              <w:textAlignment w:val="center"/>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□建议继续全额安排</w:t>
            </w:r>
          </w:p>
        </w:tc>
        <w:tc>
          <w:tcPr>
            <w:tcW w:w="4563" w:type="dxa"/>
            <w:gridSpan w:val="13"/>
            <w:vMerge w:val="continue"/>
            <w:tcBorders>
              <w:top w:val="single" w:color="auto" w:sz="4" w:space="0"/>
              <w:left w:val="single" w:color="auto"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jc w:val="center"/>
        </w:trPr>
        <w:tc>
          <w:tcPr>
            <w:tcW w:w="708" w:type="dxa"/>
            <w:vMerge w:val="continue"/>
            <w:tcBorders>
              <w:left w:val="single" w:color="auto" w:sz="4" w:space="0"/>
              <w:bottom w:val="single" w:color="auto" w:sz="8"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□建议继续安排，</w:t>
            </w:r>
            <w:r>
              <w:rPr>
                <w:rFonts w:hint="eastAsia" w:ascii="宋体" w:hAnsi="宋体" w:cs="宋体"/>
                <w:color w:val="000000"/>
                <w:kern w:val="0"/>
                <w:szCs w:val="21"/>
              </w:rPr>
              <w:t>按规定调整下一年度经费数额</w:t>
            </w:r>
          </w:p>
        </w:tc>
        <w:tc>
          <w:tcPr>
            <w:tcW w:w="4563" w:type="dxa"/>
            <w:gridSpan w:val="13"/>
            <w:vMerge w:val="continue"/>
            <w:tcBorders>
              <w:left w:val="single" w:color="auto" w:sz="4" w:space="0"/>
              <w:right w:val="single" w:color="auto" w:sz="4" w:space="0"/>
            </w:tcBorders>
            <w:vAlign w:val="center"/>
          </w:tcPr>
          <w:p>
            <w:pPr>
              <w:jc w:val="left"/>
              <w:rPr>
                <w:rFonts w:ascii="宋体" w:hAnsi="宋体" w:cs="宋体"/>
                <w:color w:val="000000"/>
                <w:szCs w:val="21"/>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□规范部门预算管理</w:t>
            </w:r>
          </w:p>
        </w:tc>
        <w:tc>
          <w:tcPr>
            <w:tcW w:w="4563" w:type="dxa"/>
            <w:gridSpan w:val="13"/>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pPr>
            <w:r>
              <w:rPr>
                <w:rFonts w:hint="eastAsia" w:ascii="宋体" w:hAnsi="宋体" w:cs="宋体"/>
                <w:color w:val="000000"/>
                <w:szCs w:val="21"/>
              </w:rPr>
              <w:t>□改进部门业务管理</w:t>
            </w:r>
          </w:p>
        </w:tc>
        <w:tc>
          <w:tcPr>
            <w:tcW w:w="4563" w:type="dxa"/>
            <w:gridSpan w:val="13"/>
            <w:vMerge w:val="continue"/>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□改进部门预算编制管理</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□提升部门预算执行效率和效益</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□改进部门资产管理</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□改进部门政府采购管理</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削减低效</w:t>
            </w:r>
            <w:r>
              <w:rPr>
                <w:rFonts w:ascii="宋体" w:hAnsi="宋体" w:cs="宋体"/>
                <w:color w:val="000000"/>
                <w:kern w:val="0"/>
                <w:szCs w:val="21"/>
              </w:rPr>
              <w:t>、</w:t>
            </w:r>
            <w:r>
              <w:rPr>
                <w:rFonts w:hint="eastAsia" w:ascii="宋体" w:hAnsi="宋体" w:cs="宋体"/>
                <w:color w:val="000000"/>
                <w:kern w:val="0"/>
                <w:szCs w:val="21"/>
              </w:rPr>
              <w:t>无效资金</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对部门（单位）的资金结构进行调整</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w:t>
            </w:r>
            <w:r>
              <w:rPr>
                <w:rFonts w:hint="eastAsia" w:ascii="宋体" w:hAnsi="宋体" w:cs="宋体"/>
                <w:color w:val="000000"/>
                <w:kern w:val="0"/>
                <w:szCs w:val="21"/>
              </w:rPr>
              <w:t>收回部门（单位）长期沉淀的资金</w:t>
            </w:r>
          </w:p>
        </w:tc>
        <w:tc>
          <w:tcPr>
            <w:tcW w:w="4563" w:type="dxa"/>
            <w:gridSpan w:val="13"/>
            <w:vMerge w:val="continue"/>
            <w:tcBorders>
              <w:left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65" w:hRule="atLeast"/>
          <w:jc w:val="center"/>
        </w:trPr>
        <w:tc>
          <w:tcPr>
            <w:tcW w:w="708" w:type="dxa"/>
            <w:vMerge w:val="continue"/>
            <w:tcBorders>
              <w:top w:val="single" w:color="auto" w:sz="8" w:space="0"/>
              <w:left w:val="single" w:color="auto" w:sz="4" w:space="0"/>
              <w:bottom w:val="single" w:color="auto" w:sz="8" w:space="0"/>
              <w:right w:val="single" w:color="auto" w:sz="4" w:space="0"/>
            </w:tcBorders>
            <w:vAlign w:val="center"/>
          </w:tcPr>
          <w:p>
            <w:pPr>
              <w:jc w:val="left"/>
              <w:rPr>
                <w:rFonts w:ascii="宋体" w:hAnsi="宋体" w:cs="宋体"/>
                <w:color w:val="000000"/>
                <w:kern w:val="0"/>
                <w:sz w:val="20"/>
                <w:szCs w:val="20"/>
              </w:rPr>
            </w:pPr>
          </w:p>
        </w:tc>
        <w:tc>
          <w:tcPr>
            <w:tcW w:w="3783" w:type="dxa"/>
            <w:gridSpan w:val="7"/>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0"/>
                <w:szCs w:val="20"/>
              </w:rPr>
            </w:pPr>
            <w:r>
              <w:rPr>
                <w:rFonts w:hint="eastAsia" w:ascii="宋体" w:hAnsi="宋体" w:cs="宋体"/>
                <w:color w:val="000000"/>
                <w:szCs w:val="21"/>
              </w:rPr>
              <w:t>□其他意见</w:t>
            </w:r>
          </w:p>
        </w:tc>
        <w:tc>
          <w:tcPr>
            <w:tcW w:w="4563" w:type="dxa"/>
            <w:gridSpan w:val="13"/>
            <w:vMerge w:val="continue"/>
            <w:tcBorders>
              <w:left w:val="single" w:color="auto" w:sz="4" w:space="0"/>
              <w:bottom w:val="single" w:color="auto" w:sz="8" w:space="0"/>
              <w:right w:val="single" w:color="auto" w:sz="4" w:space="0"/>
            </w:tcBorders>
            <w:vAlign w:val="center"/>
          </w:tcPr>
          <w:p>
            <w:pPr>
              <w:widowControl/>
              <w:jc w:val="left"/>
              <w:textAlignment w:val="center"/>
              <w:rPr>
                <w:rFonts w:ascii="宋体" w:hAnsi="宋体" w:cs="宋体"/>
                <w:color w:val="000000"/>
                <w:kern w:val="0"/>
                <w:sz w:val="20"/>
                <w:szCs w:val="20"/>
              </w:rPr>
            </w:pPr>
          </w:p>
        </w:tc>
      </w:tr>
      <w:tr>
        <w:tblPrEx>
          <w:tblCellMar>
            <w:top w:w="0" w:type="dxa"/>
            <w:left w:w="0" w:type="dxa"/>
            <w:bottom w:w="0" w:type="dxa"/>
            <w:right w:w="0" w:type="dxa"/>
          </w:tblCellMar>
        </w:tblPrEx>
        <w:trPr>
          <w:gridAfter w:val="2"/>
          <w:wAfter w:w="96" w:type="dxa"/>
          <w:trHeight w:val="402" w:hRule="atLeast"/>
          <w:jc w:val="center"/>
        </w:trPr>
        <w:tc>
          <w:tcPr>
            <w:tcW w:w="9054" w:type="dxa"/>
            <w:gridSpan w:val="21"/>
            <w:tcBorders>
              <w:top w:val="single" w:color="auto" w:sz="8" w:space="0"/>
              <w:left w:val="nil"/>
              <w:bottom w:val="nil"/>
              <w:right w:val="nil"/>
            </w:tcBorders>
            <w:vAlign w:val="bottom"/>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注：1.未完成原因中可以同时勾选多项原因，并在原因说明中逐项进行说明。</w:t>
            </w:r>
          </w:p>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2.年度部门预算收入及支出金额以万元为单位,保留两位小数。</w:t>
            </w:r>
          </w:p>
          <w:p>
            <w:pPr>
              <w:widowControl/>
              <w:ind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3.对应项目：部门经费类（履职保障类）项目、部门基本支出无需填列，仅专项资金类（事业发展类）项目填列此项。</w:t>
            </w:r>
          </w:p>
          <w:p>
            <w:pPr>
              <w:widowControl/>
              <w:ind w:firstLine="360"/>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4.资金使用单位填写本单位实际完成数。预算部门汇总时，对绝对值直接累加计算，相对值按照资金额度加权平均计算。</w:t>
            </w:r>
          </w:p>
        </w:tc>
      </w:tr>
    </w:tbl>
    <w:p>
      <w:pPr>
        <w:spacing w:line="584" w:lineRule="exact"/>
        <w:rPr>
          <w:rFonts w:ascii="宋体" w:hAnsi="宋体" w:cs="宋体"/>
          <w:b/>
          <w:bCs/>
          <w:color w:val="000000"/>
          <w:sz w:val="44"/>
          <w:szCs w:val="44"/>
        </w:rPr>
      </w:pPr>
    </w:p>
    <w:p>
      <w:pPr>
        <w:spacing w:line="584" w:lineRule="exact"/>
        <w:rPr>
          <w:rFonts w:ascii="宋体" w:hAnsi="宋体" w:cs="宋体"/>
          <w:b/>
          <w:bCs/>
          <w:color w:val="000000"/>
          <w:sz w:val="44"/>
          <w:szCs w:val="44"/>
        </w:rPr>
      </w:pPr>
    </w:p>
    <w:p>
      <w:pPr>
        <w:spacing w:line="584" w:lineRule="exact"/>
        <w:rPr>
          <w:rFonts w:ascii="宋体" w:hAnsi="宋体" w:cs="宋体"/>
          <w:b/>
          <w:bCs/>
          <w:color w:val="000000"/>
          <w:sz w:val="44"/>
          <w:szCs w:val="44"/>
        </w:rPr>
      </w:pPr>
    </w:p>
    <w:p>
      <w:pPr>
        <w:spacing w:line="584" w:lineRule="exact"/>
        <w:jc w:val="center"/>
        <w:rPr>
          <w:rFonts w:ascii="宋体" w:hAnsi="宋体" w:cs="宋体"/>
          <w:b/>
          <w:bCs/>
          <w:color w:val="000000"/>
          <w:sz w:val="44"/>
          <w:szCs w:val="44"/>
        </w:rPr>
      </w:pPr>
      <w:r>
        <w:rPr>
          <w:rFonts w:hint="eastAsia" w:ascii="宋体" w:hAnsi="宋体" w:cs="宋体"/>
          <w:b/>
          <w:bCs/>
          <w:color w:val="000000"/>
          <w:sz w:val="44"/>
          <w:szCs w:val="44"/>
        </w:rPr>
        <w:t>填报说明</w:t>
      </w:r>
    </w:p>
    <w:p>
      <w:pPr>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一、指标解释</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指标解释详见附件2-2部门（单位）整体绩效目标申报表填报说明。</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color w:val="000000"/>
          <w:sz w:val="32"/>
          <w:szCs w:val="32"/>
        </w:rPr>
        <w:t>二、</w:t>
      </w:r>
      <w:r>
        <w:rPr>
          <w:rFonts w:hint="eastAsia" w:ascii="黑体" w:hAnsi="黑体" w:eastAsia="黑体" w:cs="黑体"/>
          <w:bCs/>
          <w:sz w:val="32"/>
          <w:szCs w:val="32"/>
        </w:rPr>
        <w:t>完成程度</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依据部门（单位）年度整体的预算执行情况，对照预算批复，逐一填写各项绩效指标的实际完成程度。</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1.绩效指标中的定量指标，完成指标值的得满分。未完成的，按照完成值与指标值的比例计分。需对三级指标定量描述指标完成百分比，完成程度=全年实际完成值÷预算批复值（也即年度指标值）</w:t>
      </w:r>
      <w:r>
        <w:rPr>
          <w:rFonts w:ascii="仿宋_GB2312" w:hAnsi="宋体" w:eastAsia="仿宋_GB2312"/>
          <w:sz w:val="32"/>
          <w:szCs w:val="32"/>
        </w:rPr>
        <w:t>×</w:t>
      </w:r>
      <w:r>
        <w:rPr>
          <w:rFonts w:hint="eastAsia" w:ascii="仿宋_GB2312" w:hAnsi="宋体" w:eastAsia="仿宋_GB2312"/>
          <w:sz w:val="32"/>
          <w:szCs w:val="32"/>
        </w:rPr>
        <w:t>100%。</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绩效指标中的定性指标，完成指标值的得满分。未完成的，需对三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三、分值设置</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自评得分实行百分制。原则上一级指标分值统一设置为：履职效能指标40分、预算执行指标10分、管理效率指标10分、运行成本指标10分、社会效应指标20分、可持续性指标10分。如有特殊情况，除履职效能、预算执行指标外，其他指标权重可根据实际情况适当调整。</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每项三级指标分值=一级指标总分值÷一级指标下的三级指标项数。如不能整除，则可根据三级指标的实际情况对其分值进行调整取整数。如XX部门整体预算绩效指标中管理效率指标分值10分，具体细化为3项三级指标，则1项三级指标分值设置为4分，其余2项三级指标分值均设置为3分。</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四、得分计算</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根据各绩效指标完成程度，按照评分规则，逐项填写绩效指标得分。</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其中：指标得分=完成程度</w:t>
      </w:r>
      <w:r>
        <w:rPr>
          <w:rFonts w:ascii="仿宋_GB2312" w:hAnsi="宋体" w:eastAsia="仿宋_GB2312"/>
          <w:sz w:val="32"/>
          <w:szCs w:val="32"/>
        </w:rPr>
        <w:t>×</w:t>
      </w:r>
      <w:r>
        <w:rPr>
          <w:rFonts w:hint="eastAsia" w:ascii="仿宋_GB2312" w:hAnsi="宋体" w:eastAsia="仿宋_GB2312"/>
          <w:sz w:val="32"/>
          <w:szCs w:val="32"/>
        </w:rPr>
        <w:t>分值</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五、自评总分</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各项绩效指标得分加总得出该部门（单位）整体绩效自评总分（不超过100分）。</w:t>
      </w:r>
    </w:p>
    <w:p>
      <w:pPr>
        <w:spacing w:line="520" w:lineRule="exact"/>
        <w:ind w:firstLine="640" w:firstLineChars="200"/>
        <w:rPr>
          <w:rFonts w:ascii="仿宋_GB2312" w:hAnsi="宋体" w:eastAsia="仿宋_GB2312"/>
          <w:sz w:val="32"/>
          <w:szCs w:val="32"/>
        </w:rPr>
      </w:pPr>
    </w:p>
    <w:p>
      <w:pPr>
        <w:spacing w:line="520" w:lineRule="exact"/>
        <w:ind w:firstLine="640" w:firstLineChars="200"/>
        <w:rPr>
          <w:rFonts w:ascii="仿宋_GB2312" w:hAnsi="宋体" w:eastAsia="仿宋_GB2312"/>
          <w:sz w:val="32"/>
          <w:szCs w:val="32"/>
        </w:rPr>
      </w:pPr>
    </w:p>
    <w:p>
      <w:pPr>
        <w:spacing w:line="520" w:lineRule="exact"/>
        <w:ind w:firstLine="640" w:firstLineChars="200"/>
        <w:rPr>
          <w:rFonts w:ascii="仿宋_GB2312" w:hAnsi="宋体" w:eastAsia="仿宋_GB2312"/>
          <w:sz w:val="32"/>
          <w:szCs w:val="32"/>
        </w:rPr>
      </w:pPr>
    </w:p>
    <w:p>
      <w:pPr>
        <w:spacing w:line="520" w:lineRule="exact"/>
        <w:ind w:firstLine="640" w:firstLineChars="200"/>
        <w:rPr>
          <w:rFonts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57E8"/>
    <w:rsid w:val="00196233"/>
    <w:rsid w:val="00330CAE"/>
    <w:rsid w:val="00334684"/>
    <w:rsid w:val="003B755F"/>
    <w:rsid w:val="00634312"/>
    <w:rsid w:val="006457E8"/>
    <w:rsid w:val="00650B83"/>
    <w:rsid w:val="00697A9D"/>
    <w:rsid w:val="00713C96"/>
    <w:rsid w:val="008A2B11"/>
    <w:rsid w:val="009E4C1F"/>
    <w:rsid w:val="009F43DC"/>
    <w:rsid w:val="00A5642E"/>
    <w:rsid w:val="00B36B38"/>
    <w:rsid w:val="00C8423F"/>
    <w:rsid w:val="00CD57EC"/>
    <w:rsid w:val="00CD6EA0"/>
    <w:rsid w:val="00D62946"/>
    <w:rsid w:val="00DC303F"/>
    <w:rsid w:val="00EE5760"/>
    <w:rsid w:val="00F045DD"/>
    <w:rsid w:val="00F45984"/>
    <w:rsid w:val="00F56CB2"/>
    <w:rsid w:val="2ADD2BA4"/>
    <w:rsid w:val="7F3F6B27"/>
    <w:rsid w:val="9BFFB911"/>
    <w:rsid w:val="FBBE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等线" w:eastAsia="等线" w:cs="Arial"/>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ind w:firstLine="645"/>
    </w:pPr>
    <w:rPr>
      <w:rFonts w:ascii="仿宋_GB2312" w:eastAsia="仿宋_GB2312"/>
      <w:sz w:val="32"/>
      <w:szCs w:val="32"/>
    </w:rPr>
  </w:style>
  <w:style w:type="paragraph" w:styleId="4">
    <w:name w:val="Balloon Text"/>
    <w:basedOn w:val="1"/>
    <w:link w:val="15"/>
    <w:semiHidden/>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annotation reference"/>
    <w:basedOn w:val="9"/>
    <w:qFormat/>
    <w:uiPriority w:val="0"/>
    <w:rPr>
      <w:sz w:val="21"/>
      <w:szCs w:val="21"/>
    </w:rPr>
  </w:style>
  <w:style w:type="character" w:customStyle="1" w:styleId="13">
    <w:name w:val="标题 1 Char"/>
    <w:basedOn w:val="9"/>
    <w:link w:val="2"/>
    <w:qFormat/>
    <w:uiPriority w:val="0"/>
    <w:rPr>
      <w:rFonts w:ascii="等线" w:hAnsi="Times New Roman" w:eastAsia="等线" w:cs="Arial"/>
      <w:b/>
      <w:bCs/>
      <w:kern w:val="44"/>
      <w:sz w:val="44"/>
      <w:szCs w:val="44"/>
    </w:rPr>
  </w:style>
  <w:style w:type="character" w:customStyle="1" w:styleId="14">
    <w:name w:val="正文文本缩进 Char"/>
    <w:basedOn w:val="9"/>
    <w:link w:val="3"/>
    <w:qFormat/>
    <w:uiPriority w:val="0"/>
    <w:rPr>
      <w:rFonts w:ascii="仿宋_GB2312" w:hAnsi="Times New Roman" w:eastAsia="仿宋_GB2312" w:cs="Times New Roman"/>
      <w:sz w:val="32"/>
      <w:szCs w:val="32"/>
    </w:rPr>
  </w:style>
  <w:style w:type="character" w:customStyle="1" w:styleId="15">
    <w:name w:val="批注框文本 Char"/>
    <w:basedOn w:val="9"/>
    <w:link w:val="4"/>
    <w:semiHidden/>
    <w:qFormat/>
    <w:uiPriority w:val="0"/>
    <w:rPr>
      <w:rFonts w:ascii="Times New Roman" w:hAnsi="Times New Roman" w:eastAsia="宋体" w:cs="Times New Roman"/>
      <w:sz w:val="18"/>
      <w:szCs w:val="18"/>
    </w:rPr>
  </w:style>
  <w:style w:type="character" w:customStyle="1" w:styleId="16">
    <w:name w:val="页脚 Char"/>
    <w:basedOn w:val="9"/>
    <w:link w:val="5"/>
    <w:qFormat/>
    <w:uiPriority w:val="0"/>
    <w:rPr>
      <w:rFonts w:ascii="Times New Roman" w:hAnsi="Times New Roman" w:eastAsia="宋体" w:cs="Times New Roman"/>
      <w:sz w:val="18"/>
      <w:szCs w:val="24"/>
    </w:rPr>
  </w:style>
  <w:style w:type="character" w:customStyle="1" w:styleId="17">
    <w:name w:val="页眉 Char"/>
    <w:basedOn w:val="9"/>
    <w:link w:val="6"/>
    <w:qFormat/>
    <w:uiPriority w:val="0"/>
    <w:rPr>
      <w:rFonts w:ascii="Times New Roman" w:hAnsi="Times New Roman" w:eastAsia="宋体" w:cs="Times New Roman"/>
      <w:sz w:val="18"/>
      <w:szCs w:val="18"/>
    </w:rPr>
  </w:style>
  <w:style w:type="character" w:customStyle="1" w:styleId="18">
    <w:name w:val="font121"/>
    <w:basedOn w:val="9"/>
    <w:qFormat/>
    <w:uiPriority w:val="0"/>
    <w:rPr>
      <w:rFonts w:hint="eastAsia" w:ascii="宋体" w:hAnsi="宋体" w:eastAsia="宋体" w:cs="宋体"/>
      <w:color w:val="000000"/>
      <w:sz w:val="24"/>
      <w:szCs w:val="24"/>
      <w:u w:val="none"/>
    </w:rPr>
  </w:style>
  <w:style w:type="character" w:customStyle="1" w:styleId="19">
    <w:name w:val="font111"/>
    <w:basedOn w:val="9"/>
    <w:qFormat/>
    <w:uiPriority w:val="0"/>
    <w:rPr>
      <w:rFonts w:hint="eastAsia" w:ascii="宋体" w:hAnsi="宋体" w:eastAsia="宋体" w:cs="宋体"/>
      <w:color w:val="000000"/>
      <w:sz w:val="32"/>
      <w:szCs w:val="32"/>
      <w:u w:val="none"/>
    </w:rPr>
  </w:style>
  <w:style w:type="character" w:customStyle="1" w:styleId="20">
    <w:name w:val="font11"/>
    <w:basedOn w:val="9"/>
    <w:qFormat/>
    <w:uiPriority w:val="0"/>
    <w:rPr>
      <w:rFonts w:hint="eastAsia" w:ascii="宋体" w:hAnsi="宋体" w:eastAsia="宋体" w:cs="宋体"/>
      <w:b/>
      <w:color w:val="000000"/>
      <w:sz w:val="32"/>
      <w:szCs w:val="32"/>
      <w:u w:val="none"/>
    </w:rPr>
  </w:style>
  <w:style w:type="character" w:customStyle="1" w:styleId="21">
    <w:name w:val="font31"/>
    <w:basedOn w:val="9"/>
    <w:qFormat/>
    <w:uiPriority w:val="0"/>
    <w:rPr>
      <w:rFonts w:hint="eastAsia" w:ascii="宋体" w:hAnsi="宋体" w:eastAsia="宋体" w:cs="宋体"/>
      <w:color w:val="000000"/>
      <w:sz w:val="32"/>
      <w:szCs w:val="32"/>
      <w:u w:val="none"/>
    </w:rPr>
  </w:style>
  <w:style w:type="character" w:customStyle="1" w:styleId="22">
    <w:name w:val="font61"/>
    <w:basedOn w:val="9"/>
    <w:qFormat/>
    <w:uiPriority w:val="0"/>
    <w:rPr>
      <w:rFonts w:hint="eastAsia" w:ascii="宋体" w:hAnsi="宋体" w:eastAsia="宋体" w:cs="宋体"/>
      <w:color w:val="000000"/>
      <w:sz w:val="14"/>
      <w:szCs w:val="14"/>
      <w:u w:val="none"/>
    </w:rPr>
  </w:style>
  <w:style w:type="paragraph" w:customStyle="1" w:styleId="23">
    <w:name w:val="正文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
    <w:name w:val="正文 New New New"/>
    <w:qFormat/>
    <w:uiPriority w:val="0"/>
    <w:pPr>
      <w:wordWrap w:val="0"/>
      <w:snapToGrid w:val="0"/>
      <w:spacing w:line="580" w:lineRule="atLeast"/>
      <w:ind w:firstLine="640"/>
      <w:jc w:val="both"/>
    </w:pPr>
    <w:rPr>
      <w:rFonts w:ascii="仿宋_GB2312" w:hAnsi="Arial" w:eastAsia="仿宋_GB2312" w:cs="Arial"/>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1148</Words>
  <Characters>6547</Characters>
  <Lines>54</Lines>
  <Paragraphs>15</Paragraphs>
  <TotalTime>149</TotalTime>
  <ScaleCrop>false</ScaleCrop>
  <LinksUpToDate>false</LinksUpToDate>
  <CharactersWithSpaces>7680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2022-02-15T11:21:00Z</dcterms:created>
  <dc:creator>行政政法科-徐艳敏</dc:creator>
  <cp:lastModifiedBy>fushunshi</cp:lastModifiedBy>
  <dcterms:modified xsi:type="dcterms:W3CDTF">2022-08-25T14:57:42Z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