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w:t>
      </w:r>
    </w:p>
    <w:p>
      <w:pPr>
        <w:jc w:val="center"/>
        <w:rPr>
          <w:rFonts w:hint="eastAsia" w:ascii="宋体" w:hAnsi="宋体" w:cs="宋体"/>
          <w:b/>
          <w:sz w:val="44"/>
          <w:szCs w:val="44"/>
        </w:rPr>
      </w:pPr>
    </w:p>
    <w:p>
      <w:pPr>
        <w:jc w:val="center"/>
        <w:rPr>
          <w:rFonts w:hint="eastAsia" w:ascii="宋体" w:hAnsi="宋体" w:cs="宋体"/>
          <w:b/>
          <w:sz w:val="44"/>
          <w:szCs w:val="44"/>
        </w:rPr>
      </w:pPr>
      <w:r>
        <w:rPr>
          <w:rFonts w:hint="eastAsia" w:ascii="宋体" w:hAnsi="宋体" w:cs="宋体"/>
          <w:b/>
          <w:sz w:val="44"/>
          <w:szCs w:val="44"/>
          <w:lang w:val="en-US" w:eastAsia="zh-CN"/>
        </w:rPr>
        <w:t>2021</w:t>
      </w:r>
      <w:r>
        <w:rPr>
          <w:rFonts w:hint="eastAsia" w:ascii="宋体" w:hAnsi="宋体" w:cs="宋体"/>
          <w:b/>
          <w:sz w:val="44"/>
          <w:szCs w:val="44"/>
        </w:rPr>
        <w:t>年度</w:t>
      </w:r>
      <w:r>
        <w:rPr>
          <w:rFonts w:hint="eastAsia" w:ascii="宋体" w:hAnsi="宋体" w:cs="宋体"/>
          <w:b/>
          <w:sz w:val="44"/>
          <w:szCs w:val="44"/>
          <w:lang w:eastAsia="zh-CN"/>
        </w:rPr>
        <w:t>公务接待</w:t>
      </w:r>
      <w:r>
        <w:rPr>
          <w:rFonts w:hint="eastAsia" w:ascii="宋体" w:hAnsi="宋体" w:cs="宋体"/>
          <w:b/>
          <w:sz w:val="44"/>
          <w:szCs w:val="44"/>
        </w:rPr>
        <w:t>项目（政策）</w:t>
      </w:r>
    </w:p>
    <w:p>
      <w:pPr>
        <w:jc w:val="center"/>
        <w:rPr>
          <w:rFonts w:ascii="Arial" w:hAnsi="Arial" w:cs="Arial"/>
          <w:b/>
          <w:sz w:val="44"/>
          <w:szCs w:val="44"/>
        </w:rPr>
      </w:pPr>
      <w:bookmarkStart w:id="0" w:name="_GoBack"/>
      <w:bookmarkEnd w:id="0"/>
      <w:r>
        <w:rPr>
          <w:rFonts w:hint="eastAsia" w:ascii="宋体" w:hAnsi="宋体" w:cs="宋体"/>
          <w:b/>
          <w:sz w:val="44"/>
          <w:szCs w:val="44"/>
        </w:rPr>
        <w:t>绩效自评报告</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1.项目（政策，下同）概况。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市政府办是市政府的枢纽机关，承担着五大机关公务接待工作，根据2021实际工作需要安排相应预算经费保障。按照《市政府办预算执行管理办法》及相关要求保证本项目的顺利实施。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2.项目预算绩效目标、绩效指标设定情况。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保证五大机关公务接待。</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二、绩效自评工作开展情况。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按照市财政局统一部署，抚顺市人民政府办公室组织专门人员认真开展2021年预算绩效自评工作，通过广泛收集基础数据、资料和项目现场勘验检查核实等工作完成绩效自评。</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三、综合评价结论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通过单位绩效自评，我单位绩效评价总得分</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分、各项绩效指标已按期完成。</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四、发现的主要问题和改进措施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通过绩效自评工作，我单位认真查找了本年度绩效工作中存在的绩效考核指标细化程度等问题并积极制定下年度改进措施。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五、绩效自评结果拟应用和公开情况</w:t>
      </w:r>
    </w:p>
    <w:p>
      <w:pPr>
        <w:ind w:firstLine="640" w:firstLineChars="200"/>
        <w:rPr>
          <w:rFonts w:hint="eastAsia" w:ascii="黑体" w:hAnsi="黑体" w:eastAsia="黑体" w:cs="黑体"/>
          <w:bCs/>
          <w:sz w:val="32"/>
          <w:szCs w:val="32"/>
        </w:rPr>
      </w:pPr>
      <w:r>
        <w:rPr>
          <w:rFonts w:hint="eastAsia" w:ascii="仿宋_GB2312" w:eastAsia="仿宋_GB2312"/>
          <w:color w:val="000000"/>
          <w:sz w:val="32"/>
          <w:szCs w:val="32"/>
        </w:rPr>
        <w:t>结合本年度绩效自评情况，我单位将在今后的工作中认真总结经验，汲取教训，并向相关职能部门公开绩效自评结果，推动下年度预算项目执行质量和效率的进一步提高。</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六、绩效自评工作的经验、问题和建议</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无。</w:t>
      </w:r>
    </w:p>
    <w:p>
      <w:pPr>
        <w:ind w:left="596" w:leftChars="284"/>
        <w:outlineLvl w:val="0"/>
        <w:rPr>
          <w:rFonts w:hint="eastAsia" w:ascii="黑体" w:hAnsi="黑体" w:eastAsia="黑体" w:cs="黑体"/>
          <w:bCs/>
          <w:color w:val="000000"/>
          <w:sz w:val="32"/>
          <w:szCs w:val="32"/>
        </w:rPr>
      </w:pPr>
      <w:r>
        <w:rPr>
          <w:rFonts w:hint="eastAsia" w:ascii="黑体" w:hAnsi="黑体" w:eastAsia="黑体" w:cs="黑体"/>
          <w:bCs/>
          <w:sz w:val="32"/>
          <w:szCs w:val="32"/>
        </w:rPr>
        <w:t>七、</w:t>
      </w:r>
      <w:r>
        <w:rPr>
          <w:rFonts w:hint="eastAsia" w:ascii="黑体" w:hAnsi="黑体" w:eastAsia="黑体" w:cs="黑体"/>
          <w:bCs/>
          <w:color w:val="000000"/>
          <w:sz w:val="32"/>
          <w:szCs w:val="32"/>
        </w:rPr>
        <w:t>省本级预算项目（政策）绩效目标自评表 （详见附件4-3-1）</w:t>
      </w:r>
    </w:p>
    <w:p>
      <w:pP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2"/>
        <w:tblW w:w="9276" w:type="dxa"/>
        <w:jc w:val="center"/>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w:t>
            </w:r>
            <w:r>
              <w:rPr>
                <w:rFonts w:hint="eastAsia" w:ascii="宋体" w:hAnsi="宋体" w:cs="宋体"/>
                <w:color w:val="000000"/>
                <w:sz w:val="32"/>
                <w:szCs w:val="32"/>
                <w:lang w:val="en-US" w:eastAsia="zh-CN"/>
              </w:rPr>
              <w:t>2021</w:t>
            </w:r>
            <w:r>
              <w:rPr>
                <w:rFonts w:hint="eastAsia" w:ascii="宋体" w:hAnsi="宋体" w:cs="宋体"/>
                <w:color w:val="000000"/>
                <w:sz w:val="32"/>
                <w:szCs w:val="32"/>
              </w:rPr>
              <w:t>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运行保障费</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抚顺市人民政府办公室</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抚顺市人民政府办公室</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月  -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100</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143.25</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143.25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100</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143.25</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143.25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rPr>
              <w:t>目标1保证市直机关公务接待。</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完成</w:t>
            </w:r>
            <w:r>
              <w:rPr>
                <w:rFonts w:hint="eastAsia"/>
                <w:color w:val="000000"/>
              </w:rPr>
              <w:t>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保证五大机关公务接待活动务实节俭、严格标准、合法合规支出。保证微笑优质服务、严格保密制度。</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通过服务使客人加深了对抚顺市的良好印象，得到接待对象和保障服务对象的一致肯定和好评，得到上级部门及各方对抚顺的支持。</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rFonts w:hint="default" w:eastAsia="宋体"/>
                <w:color w:val="000000"/>
                <w:lang w:val="en-US" w:eastAsia="zh-CN"/>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80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rFonts w:hint="default" w:eastAsia="宋体"/>
                <w:color w:val="000000"/>
                <w:lang w:val="en-US" w:eastAsia="zh-CN"/>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90</w:t>
            </w:r>
          </w:p>
        </w:tc>
      </w:tr>
      <w:tr>
        <w:tblPrEx>
          <w:tblCellMar>
            <w:top w:w="0" w:type="dxa"/>
            <w:left w:w="0" w:type="dxa"/>
            <w:bottom w:w="0" w:type="dxa"/>
            <w:right w:w="0" w:type="dxa"/>
          </w:tblCellMar>
        </w:tblPrEx>
        <w:trPr>
          <w:trHeight w:val="652" w:hRule="atLeast"/>
          <w:jc w:val="center"/>
        </w:trPr>
        <w:tc>
          <w:tcPr>
            <w:tcW w:w="77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说明</w:t>
            </w:r>
          </w:p>
        </w:tc>
        <w:tc>
          <w:tcPr>
            <w:tcW w:w="8497"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color w:val="00000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195"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结果应用建议</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划“√”并在“具体建议内容”栏阐述）</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结果应用建议选项</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具体建议内容</w:t>
            </w: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改进预算项目管理（改进措施和方式）</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□完善制度设计，建议进行</w:t>
            </w:r>
            <w:r>
              <w:rPr>
                <w:rFonts w:hint="eastAsia" w:ascii="宋体" w:hAnsi="宋体" w:cs="宋体"/>
                <w:color w:val="000000"/>
                <w:kern w:val="0"/>
                <w:szCs w:val="21"/>
              </w:rPr>
              <w:t>政策调整</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政策到期，建议重新发布</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586"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w:t>
            </w:r>
            <w:r>
              <w:rPr>
                <w:rFonts w:hint="eastAsia" w:ascii="宋体" w:hAnsi="宋体" w:cs="宋体"/>
                <w:color w:val="000000"/>
                <w:kern w:val="0"/>
                <w:szCs w:val="21"/>
              </w:rPr>
              <w:t>调整公共服务标准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□其他建议</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3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主管</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意见</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划“√”，如有其他意见请在“总体意见”栏阐述，下同）</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主管部门公章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43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8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6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7"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75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财政</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color w:val="000000"/>
              </w:rPr>
            </w:pPr>
            <w:r>
              <w:rPr>
                <w:rFonts w:hint="eastAsia" w:ascii="宋体" w:hAnsi="宋体" w:cs="宋体"/>
                <w:color w:val="000000"/>
                <w:kern w:val="0"/>
                <w:szCs w:val="21"/>
              </w:rPr>
              <w:t>意见</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业务处室公章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361" w:hRule="atLeast"/>
          <w:jc w:val="center"/>
        </w:trPr>
        <w:tc>
          <w:tcPr>
            <w:tcW w:w="779" w:type="dxa"/>
            <w:gridSpan w:val="2"/>
            <w:vMerge w:val="continue"/>
            <w:tcBorders>
              <w:top w:val="single" w:color="auto" w:sz="4" w:space="0"/>
              <w:left w:val="single" w:color="auto" w:sz="4" w:space="0"/>
              <w:right w:val="single" w:color="000000"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70"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54"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55" w:hRule="atLeast"/>
          <w:jc w:val="center"/>
        </w:trPr>
        <w:tc>
          <w:tcPr>
            <w:tcW w:w="779" w:type="dxa"/>
            <w:gridSpan w:val="2"/>
            <w:vMerge w:val="continue"/>
            <w:tcBorders>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left w:val="nil"/>
              <w:bottom w:val="single" w:color="000000" w:sz="4" w:space="0"/>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914" w:hRule="atLeast"/>
          <w:jc w:val="center"/>
        </w:trPr>
        <w:tc>
          <w:tcPr>
            <w:tcW w:w="9276" w:type="dxa"/>
            <w:gridSpan w:val="22"/>
            <w:tcMar>
              <w:top w:w="15" w:type="dxa"/>
              <w:left w:w="15" w:type="dxa"/>
              <w:bottom w:w="0" w:type="dxa"/>
              <w:right w:w="15" w:type="dxa"/>
            </w:tcMa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注：1.项目预算金额以万元为单位,保留两位小数。</w:t>
            </w:r>
          </w:p>
          <w:p>
            <w:pPr>
              <w:widowControl/>
              <w:jc w:val="left"/>
              <w:textAlignment w:val="center"/>
              <w:rPr>
                <w:color w:val="000000"/>
              </w:rPr>
            </w:pPr>
            <w:r>
              <w:rPr>
                <w:rFonts w:hint="eastAsia" w:ascii="宋体" w:hAnsi="宋体" w:cs="宋体"/>
                <w:color w:val="000000"/>
                <w:kern w:val="0"/>
                <w:sz w:val="18"/>
                <w:szCs w:val="18"/>
              </w:rPr>
              <w:t xml:space="preserve">    2.未完成原因中可以同时勾选多项原因，并在原因说明中逐项进行说明。</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w:t>
            </w:r>
          </w:p>
        </w:tc>
      </w:tr>
    </w:tbl>
    <w:p>
      <w:pPr>
        <w:spacing w:line="584" w:lineRule="exact"/>
        <w:rPr>
          <w:rFonts w:hint="eastAsia" w:ascii="宋体" w:hAnsi="宋体" w:cs="宋体"/>
          <w:b/>
          <w:bCs/>
          <w:color w:val="000000"/>
          <w:sz w:val="44"/>
          <w:szCs w:val="44"/>
        </w:rPr>
      </w:pPr>
    </w:p>
    <w:p>
      <w:pPr>
        <w:spacing w:line="584" w:lineRule="exact"/>
        <w:jc w:val="center"/>
        <w:rPr>
          <w:rFonts w:hint="eastAsia" w:ascii="宋体" w:hAnsi="宋体" w:cs="宋体"/>
          <w:b/>
          <w:bCs/>
          <w:color w:val="000000"/>
          <w:sz w:val="44"/>
          <w:szCs w:val="44"/>
        </w:rPr>
      </w:pPr>
      <w:r>
        <w:rPr>
          <w:rFonts w:hint="eastAsia" w:ascii="宋体" w:hAnsi="宋体" w:cs="宋体"/>
          <w:b/>
          <w:bCs/>
          <w:color w:val="000000"/>
          <w:sz w:val="44"/>
          <w:szCs w:val="44"/>
        </w:rPr>
        <w:t>填报说明</w:t>
      </w:r>
    </w:p>
    <w:p>
      <w:pPr>
        <w:spacing w:line="600" w:lineRule="exact"/>
        <w:rPr>
          <w:rFonts w:hint="eastAsia" w:ascii="黑体" w:hAnsi="黑体" w:eastAsia="黑体" w:cs="黑体"/>
          <w:bCs/>
          <w:color w:val="000000"/>
          <w:sz w:val="32"/>
          <w:szCs w:val="32"/>
        </w:rPr>
      </w:pPr>
    </w:p>
    <w:p>
      <w:pPr>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一、指标解释</w:t>
      </w:r>
    </w:p>
    <w:p>
      <w:pPr>
        <w:ind w:firstLine="640" w:firstLineChars="200"/>
        <w:rPr>
          <w:rFonts w:hint="eastAsia" w:ascii="黑体" w:hAnsi="黑体" w:eastAsia="黑体" w:cs="黑体"/>
          <w:bCs/>
          <w:color w:val="000000"/>
          <w:sz w:val="32"/>
          <w:szCs w:val="32"/>
        </w:rPr>
      </w:pPr>
      <w:r>
        <w:rPr>
          <w:rFonts w:hint="eastAsia" w:ascii="仿宋_GB2312" w:hAnsi="宋体" w:eastAsia="仿宋_GB2312"/>
          <w:sz w:val="32"/>
          <w:szCs w:val="32"/>
        </w:rPr>
        <w:t>指标解释详见附件2-3</w:t>
      </w:r>
      <w:r>
        <w:rPr>
          <w:rFonts w:hint="eastAsia" w:ascii="仿宋_GB2312" w:hAnsi="仿宋_GB2312" w:eastAsia="仿宋_GB2312" w:cs="仿宋_GB2312"/>
          <w:kern w:val="0"/>
          <w:sz w:val="32"/>
          <w:szCs w:val="32"/>
        </w:rPr>
        <w:t>省本级部门预算项目（政策）绩效目标申报表</w:t>
      </w:r>
      <w:r>
        <w:rPr>
          <w:rFonts w:hint="eastAsia" w:ascii="仿宋_GB2312" w:hAnsi="宋体" w:eastAsia="仿宋_GB2312"/>
          <w:sz w:val="32"/>
          <w:szCs w:val="32"/>
        </w:rPr>
        <w:t>填报说明。</w:t>
      </w:r>
    </w:p>
    <w:p>
      <w:pPr>
        <w:ind w:firstLine="640" w:firstLineChars="200"/>
        <w:rPr>
          <w:rFonts w:hint="eastAsia" w:ascii="黑体" w:hAnsi="黑体" w:eastAsia="黑体" w:cs="黑体"/>
          <w:bCs/>
          <w:sz w:val="32"/>
          <w:szCs w:val="32"/>
        </w:rPr>
      </w:pPr>
      <w:r>
        <w:rPr>
          <w:rFonts w:hint="eastAsia" w:ascii="黑体" w:hAnsi="黑体" w:eastAsia="黑体" w:cs="黑体"/>
          <w:bCs/>
          <w:color w:val="000000"/>
          <w:sz w:val="32"/>
          <w:szCs w:val="32"/>
        </w:rPr>
        <w:t>二、</w:t>
      </w:r>
      <w:r>
        <w:rPr>
          <w:rFonts w:hint="eastAsia" w:ascii="黑体" w:hAnsi="黑体" w:eastAsia="黑体" w:cs="黑体"/>
          <w:bCs/>
          <w:sz w:val="32"/>
          <w:szCs w:val="32"/>
        </w:rPr>
        <w:t>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依据项目（政策）的年度执行情况，对照预算批复，逐一填写各绩效指标实际完成程度。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1.绩效指标中的定量指标，完成指标值的得满分。未完成的，按照完成值与指标值的比例计分。需对末级指标定量描述指标完成百分比，完成程度=全年实际完成值÷预算批复值（也即年度指标值）</w:t>
      </w:r>
      <w:r>
        <w:rPr>
          <w:rFonts w:ascii="仿宋_GB2312" w:hAnsi="宋体" w:eastAsia="仿宋_GB2312"/>
          <w:sz w:val="32"/>
          <w:szCs w:val="32"/>
        </w:rPr>
        <w:t>×</w:t>
      </w:r>
      <w:r>
        <w:rPr>
          <w:rFonts w:hint="eastAsia" w:ascii="仿宋_GB2312" w:hAnsi="宋体" w:eastAsia="仿宋_GB2312"/>
          <w:sz w:val="32"/>
          <w:szCs w:val="32"/>
        </w:rPr>
        <w:t>100%。</w:t>
      </w:r>
    </w:p>
    <w:p>
      <w:pPr>
        <w:ind w:firstLine="640" w:firstLineChars="200"/>
        <w:rPr>
          <w:rFonts w:ascii="仿宋_GB2312" w:hAnsi="宋体" w:eastAsia="仿宋_GB2312"/>
          <w:sz w:val="32"/>
          <w:szCs w:val="32"/>
        </w:rPr>
      </w:pPr>
      <w:r>
        <w:rPr>
          <w:rFonts w:hint="eastAsia" w:ascii="仿宋_GB2312" w:hAnsi="宋体" w:eastAsia="仿宋_GB2312"/>
          <w:sz w:val="32"/>
          <w:szCs w:val="32"/>
        </w:rPr>
        <w:t>2.绩效指标中的定性指标，完成指标值的得满分。未完成的，需对末级指标定性表述指标完成情况，分为“全部或基本达成预期指标/部分达成预期指标并具有一定效果/未达成预期指标且效果较差”三档，分别在100%-80%（含）、80%-60%（含）、60-0%的范围值内合理填写完成比例。如XX项目部分达成预期指标并具有一定效果，完成程度为70%。</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三、分值设置</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自评得分实行百分制。原则上一级指标分值统一设置为：产出指标50分、效益指标30分、满意度指标10分、预算资金执行率10分。如有特殊情况，除预算资金执行率外，其他指标权重可作适当调整，但总分应为100分。各项末级（三级）指标得分最高不能超过该指标分值上限。</w:t>
      </w:r>
    </w:p>
    <w:p>
      <w:pPr>
        <w:ind w:firstLine="640" w:firstLineChars="200"/>
        <w:rPr>
          <w:rFonts w:ascii="仿宋_GB2312" w:hAnsi="宋体" w:eastAsia="仿宋_GB2312"/>
          <w:sz w:val="32"/>
          <w:szCs w:val="32"/>
        </w:rPr>
      </w:pPr>
      <w:r>
        <w:rPr>
          <w:rFonts w:hint="eastAsia" w:ascii="仿宋_GB2312" w:hAnsi="宋体" w:eastAsia="仿宋_GB2312"/>
          <w:sz w:val="32"/>
          <w:szCs w:val="32"/>
        </w:rPr>
        <w:t>每项三级指标分值=一级指标总分值÷一级指标下的三级指标项数。如不能整除，则可根据末级指标的实际情况对其分值进行调整取整数。如XX项目产出指标分值50分，具体细化为7项3级指标，则1项三级指标分值设置为8分，其余6项三级指标分值均设置为7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四、得分计算</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根据各绩效指标完成程度，按照评分规则，逐项填写绩效指标得分。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其中：指标得分=完成程度</w:t>
      </w:r>
      <w:r>
        <w:rPr>
          <w:rFonts w:ascii="仿宋_GB2312" w:hAnsi="宋体" w:eastAsia="仿宋_GB2312"/>
          <w:sz w:val="32"/>
          <w:szCs w:val="32"/>
        </w:rPr>
        <w:t>×</w:t>
      </w:r>
      <w:r>
        <w:rPr>
          <w:rFonts w:hint="eastAsia" w:ascii="仿宋_GB2312" w:hAnsi="宋体" w:eastAsia="仿宋_GB2312"/>
          <w:sz w:val="32"/>
          <w:szCs w:val="32"/>
        </w:rPr>
        <w:t>分值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五、自评总分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对各项绩效指标得分进行加总，并加上预算执行率得分后，得出该项目（政策）绩效自评总分（不超过100分）。</w:t>
      </w: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88"/>
    <w:rsid w:val="003B1488"/>
    <w:rsid w:val="003B755F"/>
    <w:rsid w:val="0BFE6BC2"/>
    <w:rsid w:val="57FBADF8"/>
    <w:rsid w:val="5FDBAFA6"/>
    <w:rsid w:val="7BEF3F2D"/>
    <w:rsid w:val="7E797271"/>
    <w:rsid w:val="BD3F219B"/>
    <w:rsid w:val="BFABC96B"/>
    <w:rsid w:val="BFF9A635"/>
    <w:rsid w:val="DC3F21BE"/>
    <w:rsid w:val="EEFD6D67"/>
    <w:rsid w:val="FFE7F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521</Words>
  <Characters>2971</Characters>
  <Lines>24</Lines>
  <Paragraphs>6</Paragraphs>
  <TotalTime>41</TotalTime>
  <ScaleCrop>false</ScaleCrop>
  <LinksUpToDate>false</LinksUpToDate>
  <CharactersWithSpaces>3486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2022-02-14T19:22:00Z</dcterms:created>
  <dc:creator>行政政法科-徐艳敏</dc:creator>
  <cp:lastModifiedBy>fushunshi</cp:lastModifiedBy>
  <dcterms:modified xsi:type="dcterms:W3CDTF">2022-03-02T15:53:18Z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