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2021年度抚顺广播电视事业发展中心决算分析报告</w:t>
      </w:r>
    </w:p>
    <w:bookmarkEnd w:id="0"/>
    <w:p>
      <w:pPr>
        <w:pStyle w:val="8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单位情况。</w:t>
      </w:r>
    </w:p>
    <w:p>
      <w:pPr>
        <w:pStyle w:val="8"/>
        <w:numPr>
          <w:ilvl w:val="0"/>
          <w:numId w:val="2"/>
        </w:numPr>
        <w:ind w:firstLineChars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基本情况。</w:t>
      </w:r>
    </w:p>
    <w:p>
      <w:pPr>
        <w:pStyle w:val="8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1、主要职能：抚顺广播电视事业发展中心受市委宣传部的直接领导，负责新闻宣传，播放制作广播电视节目，促进社会经济文化发展的工作。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人员情况，抚顺广播电视事业发展中心在职事业编制人员211人、退休人员251人。</w:t>
      </w:r>
    </w:p>
    <w:p>
      <w:pPr>
        <w:ind w:left="42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（二）当年取得的主要事业成就。</w:t>
      </w:r>
    </w:p>
    <w:p>
      <w:pPr>
        <w:ind w:firstLine="548" w:firstLineChars="196"/>
        <w:rPr>
          <w:rFonts w:cs="黑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抚顺广播电视事业发展中心</w:t>
      </w:r>
      <w:r>
        <w:rPr>
          <w:rFonts w:hint="eastAsia" w:cs="Times New Roman" w:asciiTheme="minorEastAsia" w:hAnsiTheme="minorEastAsia"/>
          <w:sz w:val="28"/>
          <w:szCs w:val="28"/>
        </w:rPr>
        <w:t>在市委宣传部的直接领导下，党建领航，奋楫争先。认真贯彻落实意识形态工作责任制，牢牢把握正确舆论导向，紧密围绕市委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市</w:t>
      </w:r>
      <w:r>
        <w:rPr>
          <w:rFonts w:hint="eastAsia" w:cs="Times New Roman" w:asciiTheme="minorEastAsia" w:hAnsiTheme="minorEastAsia"/>
          <w:sz w:val="28"/>
          <w:szCs w:val="28"/>
        </w:rPr>
        <w:t>政府重点工作，守正出新、开拓进取，全方位、立体化、多视角开展新闻宣传工作，同时加强自身建设，在困境中砥砺前行，奋力开新局、奋进新征程。新闻宣传，创新创优，亮点频现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cs="黑体" w:asciiTheme="minorEastAsia" w:hAnsiTheme="minorEastAsia"/>
          <w:sz w:val="28"/>
          <w:szCs w:val="28"/>
        </w:rPr>
        <w:t>自身建设，事业发展，全面推进。</w:t>
      </w:r>
    </w:p>
    <w:p>
      <w:pPr>
        <w:pStyle w:val="8"/>
        <w:numPr>
          <w:ilvl w:val="0"/>
          <w:numId w:val="1"/>
        </w:numPr>
        <w:ind w:firstLineChars="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2"/>
          <w:szCs w:val="32"/>
        </w:rPr>
        <w:t>收入支出预算执行情况分析。</w:t>
      </w:r>
    </w:p>
    <w:p>
      <w:pPr>
        <w:pStyle w:val="8"/>
        <w:numPr>
          <w:ilvl w:val="0"/>
          <w:numId w:val="4"/>
        </w:numPr>
        <w:ind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="黑体" w:eastAsia="黑体" w:hAnsiTheme="majorEastAsia"/>
          <w:sz w:val="30"/>
          <w:szCs w:val="30"/>
        </w:rPr>
        <w:t>收入支出预算安排情况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pStyle w:val="8"/>
        <w:ind w:left="81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预计完成收入4500万元，支出5400万元，与上年度基本持平。</w:t>
      </w:r>
    </w:p>
    <w:p>
      <w:pPr>
        <w:pStyle w:val="8"/>
        <w:numPr>
          <w:ilvl w:val="0"/>
          <w:numId w:val="4"/>
        </w:numPr>
        <w:ind w:firstLineChars="0"/>
        <w:rPr>
          <w:rFonts w:ascii="黑体" w:eastAsia="黑体" w:hAnsiTheme="majorEastAsia"/>
          <w:sz w:val="30"/>
          <w:szCs w:val="30"/>
        </w:rPr>
      </w:pPr>
      <w:r>
        <w:rPr>
          <w:rFonts w:hint="eastAsia" w:ascii="黑体" w:eastAsia="黑体" w:hAnsiTheme="majorEastAsia"/>
          <w:sz w:val="30"/>
          <w:szCs w:val="30"/>
        </w:rPr>
        <w:t>收入支出预算执行情况</w:t>
      </w:r>
    </w:p>
    <w:p>
      <w:pPr>
        <w:ind w:left="81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本年收入预计完成4500万元，实际完成4768万元，预计支出5400万元，实际支出5340万元。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收入支出与预算对比分析。</w:t>
      </w:r>
    </w:p>
    <w:p>
      <w:pPr>
        <w:pStyle w:val="8"/>
        <w:ind w:left="765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收入比预计多收入268万元，主要原因是收拆迁补偿款300万元，支出比预计少支出60万元。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收入支出结构分析。全年财政补助收入1939万元，占比41%。其他业务收入2829万元占比59%。支出工资福利性支出3057万元，占比57%，商品和服务支出1885万元，占比35.2%，对个人和家庭的补助支出43万元，占比0.8%，资本性支出354万元，占比7%。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支出按经济分类科目分析。</w:t>
      </w:r>
    </w:p>
    <w:p>
      <w:pPr>
        <w:pStyle w:val="8"/>
        <w:ind w:left="765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（1）“三公”经费支出情况，本年及上年均未发生此类支出。</w:t>
      </w:r>
    </w:p>
    <w:p>
      <w:pPr>
        <w:pStyle w:val="8"/>
        <w:ind w:left="765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（2）会议费支出情况，本年及上年均有1万元的费用发生，均为交纳记协会费。</w:t>
      </w:r>
    </w:p>
    <w:p>
      <w:pPr>
        <w:pStyle w:val="8"/>
        <w:ind w:left="765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（3）培训费支出情况，本年及上年均未发生此类支出。</w:t>
      </w:r>
    </w:p>
    <w:p>
      <w:pPr>
        <w:ind w:firstLine="40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4、财政拨款收入、支出分析。</w:t>
      </w:r>
    </w:p>
    <w:p>
      <w:pPr>
        <w:ind w:left="819" w:leftChars="19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财政拨款收入共1939万元，其中省级运行维护费19.6万元，中央无线节目补助41.1万元，专项建设补助300万元，运行补助1579万元，支出均是按相对应补助情况支出。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非财政拨款收入分析</w:t>
      </w:r>
    </w:p>
    <w:p>
      <w:pPr>
        <w:pStyle w:val="8"/>
        <w:ind w:left="765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非财政拨款收入全年完成2829万元，其中节目制作播出收入2408万元，拆迁补助收入300万元，房租收入220万元。</w:t>
      </w:r>
    </w:p>
    <w:p>
      <w:pPr>
        <w:pStyle w:val="8"/>
        <w:numPr>
          <w:ilvl w:val="0"/>
          <w:numId w:val="4"/>
        </w:numPr>
        <w:ind w:firstLineChars="0"/>
        <w:rPr>
          <w:rFonts w:ascii="黑体" w:eastAsia="黑体" w:hAnsiTheme="majorEastAsia"/>
          <w:sz w:val="30"/>
          <w:szCs w:val="30"/>
        </w:rPr>
      </w:pPr>
      <w:r>
        <w:rPr>
          <w:rFonts w:hint="eastAsia" w:ascii="黑体" w:eastAsia="黑体" w:hAnsiTheme="majorEastAsia"/>
          <w:sz w:val="30"/>
          <w:szCs w:val="30"/>
        </w:rPr>
        <w:t>年未结转和结余情况。</w:t>
      </w:r>
    </w:p>
    <w:p>
      <w:pPr>
        <w:pStyle w:val="8"/>
        <w:ind w:left="75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本年度资金缺口共572万元。</w:t>
      </w:r>
    </w:p>
    <w:p>
      <w:pPr>
        <w:pStyle w:val="8"/>
        <w:numPr>
          <w:ilvl w:val="0"/>
          <w:numId w:val="1"/>
        </w:numPr>
        <w:ind w:firstLineChars="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2"/>
          <w:szCs w:val="32"/>
        </w:rPr>
        <w:t>本年度部门决算等财务工作展开情况。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本单位财务管理、绩效管理在台党委的正确领导下，工作有序积极开展，决算组织、编报、审核专人负责，及时准确上报完成。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本单位决算及绩效信息公开工作，全部按要求完成。</w:t>
      </w:r>
    </w:p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E0504"/>
    <w:multiLevelType w:val="multilevel"/>
    <w:tmpl w:val="01BE0504"/>
    <w:lvl w:ilvl="0" w:tentative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0A063F7C"/>
    <w:multiLevelType w:val="multilevel"/>
    <w:tmpl w:val="0A063F7C"/>
    <w:lvl w:ilvl="0" w:tentative="0">
      <w:start w:val="1"/>
      <w:numFmt w:val="japaneseCounting"/>
      <w:lvlText w:val="（%1）"/>
      <w:lvlJc w:val="left"/>
      <w:pPr>
        <w:ind w:left="132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9821AD"/>
    <w:multiLevelType w:val="multilevel"/>
    <w:tmpl w:val="119821A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300EBD"/>
    <w:multiLevelType w:val="multilevel"/>
    <w:tmpl w:val="48300EBD"/>
    <w:lvl w:ilvl="0" w:tentative="0">
      <w:start w:val="5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4FD96CD0"/>
    <w:multiLevelType w:val="multilevel"/>
    <w:tmpl w:val="4FD96CD0"/>
    <w:lvl w:ilvl="0" w:tentative="0">
      <w:start w:val="2"/>
      <w:numFmt w:val="decimal"/>
      <w:lvlText w:val="%1、"/>
      <w:lvlJc w:val="left"/>
      <w:pPr>
        <w:ind w:left="1215" w:hanging="435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56A6757E"/>
    <w:multiLevelType w:val="multilevel"/>
    <w:tmpl w:val="56A6757E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2B53D2"/>
    <w:multiLevelType w:val="multilevel"/>
    <w:tmpl w:val="6A2B53D2"/>
    <w:lvl w:ilvl="0" w:tentative="0">
      <w:start w:val="1"/>
      <w:numFmt w:val="japaneseCounting"/>
      <w:lvlText w:val="（%1）"/>
      <w:lvlJc w:val="left"/>
      <w:pPr>
        <w:ind w:left="8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F96"/>
    <w:rsid w:val="001E74DD"/>
    <w:rsid w:val="00344C52"/>
    <w:rsid w:val="004A62C8"/>
    <w:rsid w:val="0055271E"/>
    <w:rsid w:val="005630FE"/>
    <w:rsid w:val="00581F96"/>
    <w:rsid w:val="005C3E5A"/>
    <w:rsid w:val="005F6E3D"/>
    <w:rsid w:val="006011BF"/>
    <w:rsid w:val="0060502B"/>
    <w:rsid w:val="0061054A"/>
    <w:rsid w:val="007A70A7"/>
    <w:rsid w:val="00814DC9"/>
    <w:rsid w:val="00840DFF"/>
    <w:rsid w:val="008C42F9"/>
    <w:rsid w:val="00CF50C1"/>
    <w:rsid w:val="73788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154</Words>
  <Characters>878</Characters>
  <Lines>7</Lines>
  <Paragraphs>2</Paragraphs>
  <TotalTime>89</TotalTime>
  <ScaleCrop>false</ScaleCrop>
  <LinksUpToDate>false</LinksUpToDate>
  <CharactersWithSpaces>1030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2022-01-12T14:21:00Z</dcterms:created>
  <dc:creator>Administrator</dc:creator>
  <cp:lastModifiedBy>fushunshi</cp:lastModifiedBy>
  <dcterms:modified xsi:type="dcterms:W3CDTF">2024-05-21T14:38:31Z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