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2021</w:t>
      </w:r>
      <w:r>
        <w:rPr>
          <w:rFonts w:hint="eastAsia" w:ascii="宋体" w:hAnsi="宋体" w:cs="宋体"/>
          <w:b/>
          <w:sz w:val="44"/>
          <w:szCs w:val="44"/>
        </w:rPr>
        <w:t>年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抚顺市审计局审计外勤</w:t>
      </w:r>
      <w:r>
        <w:rPr>
          <w:rFonts w:hint="eastAsia" w:ascii="宋体" w:hAnsi="宋体" w:cs="宋体"/>
          <w:b/>
          <w:sz w:val="44"/>
          <w:szCs w:val="44"/>
        </w:rPr>
        <w:t>项目（政策）绩效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目标</w:t>
      </w:r>
      <w:r>
        <w:rPr>
          <w:rFonts w:hint="eastAsia" w:ascii="宋体" w:hAnsi="宋体" w:cs="宋体"/>
          <w:b/>
          <w:sz w:val="44"/>
          <w:szCs w:val="44"/>
        </w:rPr>
        <w:t>自评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表</w:t>
      </w:r>
    </w:p>
    <w:tbl>
      <w:tblPr>
        <w:tblStyle w:val="2"/>
        <w:tblW w:w="92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"/>
        <w:gridCol w:w="400"/>
        <w:gridCol w:w="584"/>
        <w:gridCol w:w="650"/>
        <w:gridCol w:w="484"/>
        <w:gridCol w:w="616"/>
        <w:gridCol w:w="433"/>
        <w:gridCol w:w="567"/>
        <w:gridCol w:w="450"/>
        <w:gridCol w:w="358"/>
        <w:gridCol w:w="358"/>
        <w:gridCol w:w="578"/>
        <w:gridCol w:w="14"/>
        <w:gridCol w:w="586"/>
        <w:gridCol w:w="175"/>
        <w:gridCol w:w="475"/>
        <w:gridCol w:w="242"/>
        <w:gridCol w:w="307"/>
        <w:gridCol w:w="496"/>
        <w:gridCol w:w="160"/>
        <w:gridCol w:w="393"/>
        <w:gridCol w:w="5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项目（政策）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审计外勤</w:t>
            </w: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抚顺市审计局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 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年初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预算数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全年预算数（A）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全年执行数（B）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执行率（B/A)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（分值*B/A）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　</w:t>
            </w: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　</w:t>
            </w: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　</w:t>
            </w: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10" w:firstLineChars="100"/>
              <w:jc w:val="both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中央提前告知转移支付资金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纳入政府性基金预算管理收入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上年结转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通过报销差旅费，为审计人员同城审计或到县区、外省市延伸审计提供最基本的工作生活保障。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全部达成预期指标</w:t>
            </w: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未完成原因分析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8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指标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效益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局内40人次出差审计人员报销差旅费</w:t>
            </w:r>
          </w:p>
        </w:tc>
        <w:tc>
          <w:tcPr>
            <w:tcW w:w="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“=”“≤”“≥”“＜”“＞”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差旅费15万元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万元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0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约束审计人员行为</w:t>
            </w:r>
          </w:p>
        </w:tc>
        <w:tc>
          <w:tcPr>
            <w:tcW w:w="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按照抚财行[2016]46号、抚委办发[2014]22号文件规定执行差旅费报销。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制度有效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全部达成预期指标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（C）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90</w:t>
            </w:r>
          </w:p>
        </w:tc>
        <w:tc>
          <w:tcPr>
            <w:tcW w:w="2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（D）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绩效自评总得分（C+D）</w:t>
            </w:r>
          </w:p>
        </w:tc>
        <w:tc>
          <w:tcPr>
            <w:tcW w:w="47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9276" w:type="dxa"/>
            <w:gridSpan w:val="22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</w:tr>
    </w:tbl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0NTFmMTJiYzJhOTI1MjQ4MjQ2N2QyMGU3MWUzYzQifQ=="/>
  </w:docVars>
  <w:rsids>
    <w:rsidRoot w:val="003B1488"/>
    <w:rsid w:val="003B1488"/>
    <w:rsid w:val="003B755F"/>
    <w:rsid w:val="0D8D1273"/>
    <w:rsid w:val="1047521A"/>
    <w:rsid w:val="1D80593A"/>
    <w:rsid w:val="2AEA3FC1"/>
    <w:rsid w:val="2F415690"/>
    <w:rsid w:val="327F28B3"/>
    <w:rsid w:val="33B00959"/>
    <w:rsid w:val="761A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556</Words>
  <Characters>620</Characters>
  <Lines>24</Lines>
  <Paragraphs>6</Paragraphs>
  <TotalTime>28</TotalTime>
  <ScaleCrop>false</ScaleCrop>
  <LinksUpToDate>false</LinksUpToDate>
  <CharactersWithSpaces>642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2022-02-14T03:22:00Z</dcterms:created>
  <dc:creator>行政政法科-徐艳敏</dc:creator>
  <cp:lastModifiedBy>Administrator</cp:lastModifiedBy>
  <dcterms:modified xsi:type="dcterms:W3CDTF">2022-08-02T08:31:50Z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2656171F887547FA8112A1B426758647</vt:lpwstr>
  </property>
</Properties>
</file>