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附件4-2-1</w:t>
      </w:r>
    </w:p>
    <w:p>
      <w:pPr>
        <w:spacing w:line="600" w:lineRule="exact"/>
        <w:rPr>
          <w:rFonts w:ascii="黑体" w:hAnsi="黑体" w:eastAsia="黑体" w:cs="黑体"/>
          <w:bCs/>
          <w:color w:val="000000"/>
          <w:sz w:val="28"/>
          <w:szCs w:val="28"/>
        </w:rPr>
      </w:pPr>
    </w:p>
    <w:tbl>
      <w:tblPr>
        <w:tblStyle w:val="3"/>
        <w:tblW w:w="9060" w:type="dxa"/>
        <w:jc w:val="center"/>
        <w:tblLayout w:type="fixed"/>
        <w:tblCellMar>
          <w:top w:w="0" w:type="dxa"/>
          <w:left w:w="0" w:type="dxa"/>
          <w:bottom w:w="0" w:type="dxa"/>
          <w:right w:w="0" w:type="dxa"/>
        </w:tblCellMar>
      </w:tblPr>
      <w:tblGrid>
        <w:gridCol w:w="519"/>
        <w:gridCol w:w="567"/>
        <w:gridCol w:w="709"/>
        <w:gridCol w:w="283"/>
        <w:gridCol w:w="939"/>
        <w:gridCol w:w="474"/>
        <w:gridCol w:w="467"/>
        <w:gridCol w:w="533"/>
        <w:gridCol w:w="350"/>
        <w:gridCol w:w="498"/>
        <w:gridCol w:w="283"/>
        <w:gridCol w:w="222"/>
        <w:gridCol w:w="551"/>
        <w:gridCol w:w="502"/>
        <w:gridCol w:w="468"/>
        <w:gridCol w:w="264"/>
        <w:gridCol w:w="231"/>
        <w:gridCol w:w="616"/>
        <w:gridCol w:w="6"/>
        <w:gridCol w:w="572"/>
        <w:gridCol w:w="6"/>
      </w:tblGrid>
      <w:tr>
        <w:tblPrEx>
          <w:tblCellMar>
            <w:top w:w="0" w:type="dxa"/>
            <w:left w:w="0" w:type="dxa"/>
            <w:bottom w:w="0" w:type="dxa"/>
            <w:right w:w="0" w:type="dxa"/>
          </w:tblCellMar>
        </w:tblPrEx>
        <w:trPr>
          <w:gridAfter w:val="1"/>
          <w:wAfter w:w="6" w:type="dxa"/>
          <w:trHeight w:val="402" w:hRule="atLeast"/>
          <w:jc w:val="center"/>
        </w:trPr>
        <w:tc>
          <w:tcPr>
            <w:tcW w:w="9054" w:type="dxa"/>
            <w:gridSpan w:val="20"/>
            <w:tcMar>
              <w:top w:w="15" w:type="dxa"/>
              <w:left w:w="15" w:type="dxa"/>
              <w:bottom w:w="0" w:type="dxa"/>
              <w:right w:w="15" w:type="dxa"/>
            </w:tcMar>
            <w:vAlign w:val="center"/>
          </w:tcPr>
          <w:p>
            <w:pPr>
              <w:jc w:val="center"/>
              <w:rPr>
                <w:rFonts w:ascii="宋体" w:hAnsi="宋体" w:cs="宋体"/>
                <w:color w:val="000000"/>
                <w:sz w:val="22"/>
                <w:szCs w:val="22"/>
              </w:rPr>
            </w:pPr>
            <w:r>
              <w:rPr>
                <w:rFonts w:hint="eastAsia"/>
                <w:b/>
                <w:bCs/>
                <w:color w:val="000000"/>
                <w:sz w:val="44"/>
                <w:szCs w:val="44"/>
              </w:rPr>
              <w:t>部门（单位）整体绩效自评表</w:t>
            </w: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nil"/>
              <w:left w:val="nil"/>
              <w:bottom w:val="single" w:color="auto" w:sz="4" w:space="0"/>
              <w:right w:val="nil"/>
            </w:tcBorders>
            <w:tcMar>
              <w:top w:w="15" w:type="dxa"/>
              <w:left w:w="15" w:type="dxa"/>
              <w:bottom w:w="0" w:type="dxa"/>
              <w:right w:w="15" w:type="dxa"/>
            </w:tcMar>
            <w:vAlign w:val="center"/>
          </w:tcPr>
          <w:p>
            <w:pPr>
              <w:spacing w:line="560" w:lineRule="exact"/>
              <w:jc w:val="center"/>
              <w:rPr>
                <w:rFonts w:ascii="宋体" w:hAnsi="宋体" w:cs="宋体"/>
                <w:b/>
                <w:color w:val="000000"/>
                <w:kern w:val="0"/>
                <w:szCs w:val="21"/>
              </w:rPr>
            </w:pPr>
            <w:r>
              <w:rPr>
                <w:rFonts w:hint="eastAsia" w:ascii="宋体" w:hAnsi="宋体" w:cs="宋体"/>
                <w:color w:val="000000"/>
                <w:sz w:val="28"/>
                <w:szCs w:val="28"/>
              </w:rPr>
              <w:t>（2021年度）</w:t>
            </w:r>
          </w:p>
          <w:p>
            <w:pPr>
              <w:spacing w:line="560" w:lineRule="exact"/>
              <w:jc w:val="left"/>
              <w:rPr>
                <w:rFonts w:ascii="宋体" w:hAnsi="宋体" w:cs="宋体"/>
                <w:color w:val="000000"/>
                <w:kern w:val="0"/>
                <w:sz w:val="22"/>
                <w:szCs w:val="22"/>
              </w:rPr>
            </w:pPr>
            <w:r>
              <w:rPr>
                <w:rFonts w:hint="eastAsia" w:ascii="宋体" w:hAnsi="宋体" w:cs="宋体"/>
                <w:b/>
                <w:color w:val="000000"/>
                <w:kern w:val="0"/>
                <w:szCs w:val="21"/>
              </w:rPr>
              <w:t>填报部门（盖章）：抚顺市生态环境局</w:t>
            </w:r>
          </w:p>
        </w:tc>
      </w:tr>
      <w:tr>
        <w:tblPrEx>
          <w:tblCellMar>
            <w:top w:w="0" w:type="dxa"/>
            <w:left w:w="0" w:type="dxa"/>
            <w:bottom w:w="0" w:type="dxa"/>
            <w:right w:w="0" w:type="dxa"/>
          </w:tblCellMar>
        </w:tblPrEx>
        <w:trPr>
          <w:gridAfter w:val="1"/>
          <w:wAfter w:w="6" w:type="dxa"/>
          <w:trHeight w:val="402" w:hRule="atLeast"/>
          <w:jc w:val="center"/>
        </w:trPr>
        <w:tc>
          <w:tcPr>
            <w:tcW w:w="179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color w:val="000000"/>
                <w:sz w:val="22"/>
                <w:szCs w:val="22"/>
              </w:rPr>
            </w:pPr>
            <w:r>
              <w:rPr>
                <w:rFonts w:hint="eastAsia" w:ascii="宋体" w:hAnsi="宋体" w:cs="宋体"/>
                <w:color w:val="000000"/>
                <w:kern w:val="0"/>
                <w:szCs w:val="21"/>
              </w:rPr>
              <w:t>部门（单位）名称</w:t>
            </w:r>
          </w:p>
        </w:tc>
        <w:tc>
          <w:tcPr>
            <w:tcW w:w="7259"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szCs w:val="21"/>
              </w:rPr>
              <w:t>抚顺市生态环境局</w:t>
            </w: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1"/>
          <w:wAfter w:w="6" w:type="dxa"/>
          <w:trHeight w:val="402" w:hRule="atLeast"/>
          <w:jc w:val="center"/>
        </w:trPr>
        <w:tc>
          <w:tcPr>
            <w:tcW w:w="179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部门（单位）</w:t>
            </w:r>
          </w:p>
          <w:p>
            <w:pPr>
              <w:widowControl/>
              <w:jc w:val="center"/>
              <w:rPr>
                <w:color w:val="000000"/>
                <w:sz w:val="22"/>
                <w:szCs w:val="22"/>
              </w:rPr>
            </w:pPr>
            <w:r>
              <w:rPr>
                <w:rFonts w:hint="eastAsia" w:ascii="宋体" w:hAnsi="宋体" w:cs="宋体"/>
                <w:color w:val="000000"/>
                <w:kern w:val="0"/>
                <w:szCs w:val="21"/>
              </w:rPr>
              <w:t>财政供养人员数量</w:t>
            </w:r>
          </w:p>
        </w:tc>
        <w:tc>
          <w:tcPr>
            <w:tcW w:w="4600"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82　</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所属单位数量（仅部门填列）</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color w:val="000000"/>
                <w:sz w:val="22"/>
                <w:szCs w:val="22"/>
              </w:rPr>
            </w:pP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r>
              <w:rPr>
                <w:rFonts w:hint="eastAsia" w:ascii="宋体" w:hAnsi="宋体" w:cs="宋体"/>
                <w:color w:val="000000"/>
                <w:kern w:val="0"/>
                <w:szCs w:val="21"/>
              </w:rPr>
              <w:t>年度部门（单位）整体收支情况               （万元）</w:t>
            </w: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名 称</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年初</w:t>
            </w:r>
          </w:p>
          <w:p>
            <w:pPr>
              <w:jc w:val="center"/>
              <w:rPr>
                <w:color w:val="000000"/>
                <w:sz w:val="22"/>
                <w:szCs w:val="22"/>
              </w:rPr>
            </w:pPr>
            <w:r>
              <w:rPr>
                <w:rFonts w:hint="eastAsia"/>
                <w:sz w:val="22"/>
                <w:szCs w:val="22"/>
              </w:rPr>
              <w:t>预算数</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color w:val="000000"/>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全年</w:t>
            </w:r>
          </w:p>
          <w:p>
            <w:pPr>
              <w:jc w:val="center"/>
              <w:rPr>
                <w:color w:val="000000"/>
                <w:sz w:val="22"/>
                <w:szCs w:val="22"/>
              </w:rPr>
            </w:pPr>
            <w:r>
              <w:rPr>
                <w:rFonts w:hint="eastAsia"/>
                <w:color w:val="000000"/>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Cs w:val="21"/>
              </w:rPr>
            </w:pPr>
            <w:r>
              <w:rPr>
                <w:rFonts w:hint="eastAsia" w:ascii="宋体" w:hAnsi="宋体" w:cs="宋体"/>
                <w:kern w:val="0"/>
                <w:szCs w:val="21"/>
              </w:rPr>
              <w:t>年度部门预算收入小计（1至7项）</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2995.61</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2995.61</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1.财政拨款收入</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1546.65</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1546.65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2.中央提前告知转移支付资金</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3.纳入预算管理的行政事业性收费等非税收入</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4.纳入政府性基金预算管理收入</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spacing w:val="-8"/>
                <w:kern w:val="0"/>
                <w:szCs w:val="21"/>
              </w:rPr>
              <w:t>5.纳入专户管理的行政事业性收费等非税收入</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6.上年结转</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1448.96</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1448.96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7.其他收入</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kern w:val="0"/>
                <w:szCs w:val="21"/>
              </w:rPr>
            </w:pPr>
            <w:r>
              <w:rPr>
                <w:rFonts w:hint="eastAsia" w:ascii="宋体" w:hAnsi="宋体" w:cs="宋体"/>
                <w:kern w:val="0"/>
                <w:szCs w:val="21"/>
              </w:rPr>
              <w:t>年度部门预算支出小计（一+二）</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1546.65</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1546.65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1462.86</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94.58%</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一、基本支出（第1至4项小计）</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1221.06</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1221.06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1221.06</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1.工资福利支出</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856.56</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856.56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856.56</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color w:val="000000"/>
                <w:sz w:val="22"/>
                <w:szCs w:val="22"/>
              </w:rPr>
              <w:t>100%</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2.商品和服务支出</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345.5</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345.5</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345.5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color w:val="000000"/>
                <w:sz w:val="22"/>
                <w:szCs w:val="22"/>
              </w:rPr>
              <w:t>100%</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3.对个人和家庭的补助</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19</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19</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color w:val="000000"/>
                <w:sz w:val="22"/>
                <w:szCs w:val="22"/>
              </w:rPr>
              <w:t>100%</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4.资本性支出</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二、项目支出（第1至2项小计）</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325.59</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325.59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241.80</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74.27%</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1.履职保障类（部门经费类）项目支出</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158.37</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158.37</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130.95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82.46%</w:t>
            </w:r>
          </w:p>
        </w:tc>
      </w:tr>
      <w:tr>
        <w:tblPrEx>
          <w:tblCellMar>
            <w:top w:w="0" w:type="dxa"/>
            <w:left w:w="0" w:type="dxa"/>
            <w:bottom w:w="0" w:type="dxa"/>
            <w:right w:w="0" w:type="dxa"/>
          </w:tblCellMar>
        </w:tblPrEx>
        <w:trPr>
          <w:gridAfter w:val="1"/>
          <w:wAfter w:w="6" w:type="dxa"/>
          <w:trHeight w:val="65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4322"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2.事业发展类（专项资金类）项目支出</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167.22</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167.22</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110.85</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66.29%</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年度主要任务</w:t>
            </w: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color w:val="000000"/>
                <w:kern w:val="0"/>
                <w:szCs w:val="21"/>
              </w:rPr>
              <w:t>工作名称</w:t>
            </w:r>
          </w:p>
        </w:tc>
        <w:tc>
          <w:tcPr>
            <w:tcW w:w="30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color w:val="000000"/>
                <w:kern w:val="0"/>
                <w:szCs w:val="21"/>
              </w:rPr>
              <w:t>对应项目</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年初</w:t>
            </w:r>
          </w:p>
          <w:p>
            <w:pPr>
              <w:jc w:val="center"/>
              <w:rPr>
                <w:sz w:val="22"/>
                <w:szCs w:val="22"/>
              </w:rPr>
            </w:pPr>
            <w:r>
              <w:rPr>
                <w:rFonts w:hint="eastAsia"/>
                <w:sz w:val="22"/>
                <w:szCs w:val="22"/>
              </w:rPr>
              <w:t>预算数</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sz w:val="22"/>
                <w:szCs w:val="22"/>
              </w:rPr>
            </w:pPr>
            <w:r>
              <w:rPr>
                <w:rFonts w:hint="eastAsia"/>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b/>
                <w:bCs/>
                <w:kern w:val="0"/>
                <w:szCs w:val="21"/>
                <w:highlight w:val="yellow"/>
              </w:rPr>
            </w:pPr>
            <w:r>
              <w:rPr>
                <w:rFonts w:hint="eastAsia" w:ascii="宋体" w:hAnsi="宋体" w:cs="宋体"/>
                <w:color w:val="000000"/>
                <w:kern w:val="0"/>
                <w:szCs w:val="21"/>
              </w:rPr>
              <w:t>按照国家和省里的要求完成规定申报企业的排污许可核证核发</w:t>
            </w:r>
          </w:p>
        </w:tc>
        <w:tc>
          <w:tcPr>
            <w:tcW w:w="30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排污许可证核发2021</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12.12</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12.12</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11</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90.76%</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b/>
                <w:bCs/>
                <w:kern w:val="0"/>
                <w:szCs w:val="21"/>
                <w:highlight w:val="yellow"/>
              </w:rPr>
            </w:pPr>
            <w:r>
              <w:rPr>
                <w:rFonts w:hint="eastAsia" w:ascii="宋体" w:hAnsi="宋体" w:cs="宋体"/>
                <w:color w:val="000000"/>
                <w:kern w:val="0"/>
                <w:szCs w:val="21"/>
              </w:rPr>
              <w:t>每年至少完成120个项目的评估工作</w:t>
            </w:r>
          </w:p>
        </w:tc>
        <w:tc>
          <w:tcPr>
            <w:tcW w:w="30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rPr>
              <w:t>环境影响评估</w:t>
            </w:r>
            <w:r>
              <w:rPr>
                <w:rFonts w:hint="eastAsia" w:ascii="宋体" w:hAnsi="宋体" w:cs="宋体"/>
                <w:sz w:val="24"/>
              </w:rPr>
              <w:t>2021</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60</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60</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59.24</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98.73%</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r>
              <w:rPr>
                <w:rFonts w:hint="eastAsia"/>
                <w:color w:val="000000"/>
              </w:rPr>
              <w:t>编制《抚顺市水生态环境保护“十四五”规划要点》</w:t>
            </w:r>
          </w:p>
        </w:tc>
        <w:tc>
          <w:tcPr>
            <w:tcW w:w="30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抚顺市重点流域水生态环境保护“十四五”规划编制2021</w:t>
            </w: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16</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color w:val="000000"/>
                <w:sz w:val="22"/>
                <w:szCs w:val="22"/>
              </w:rPr>
              <w:t>合计</w:t>
            </w:r>
          </w:p>
        </w:tc>
        <w:tc>
          <w:tcPr>
            <w:tcW w:w="30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p>
        </w:tc>
        <w:tc>
          <w:tcPr>
            <w:tcW w:w="7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88.12</w:t>
            </w:r>
          </w:p>
        </w:tc>
        <w:tc>
          <w:tcPr>
            <w:tcW w:w="77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88.12</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86.24</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97.87%</w:t>
            </w:r>
          </w:p>
        </w:tc>
      </w:tr>
      <w:tr>
        <w:tblPrEx>
          <w:tblCellMar>
            <w:top w:w="0" w:type="dxa"/>
            <w:left w:w="0" w:type="dxa"/>
            <w:bottom w:w="0" w:type="dxa"/>
            <w:right w:w="0" w:type="dxa"/>
          </w:tblCellMar>
        </w:tblPrEx>
        <w:trPr>
          <w:gridAfter w:val="1"/>
          <w:wAfter w:w="6" w:type="dxa"/>
          <w:trHeight w:val="402" w:hRule="atLeast"/>
          <w:jc w:val="center"/>
        </w:trPr>
        <w:tc>
          <w:tcPr>
            <w:tcW w:w="5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年度绩效目标　</w:t>
            </w: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年初设定</w:t>
            </w:r>
          </w:p>
          <w:p>
            <w:pPr>
              <w:jc w:val="center"/>
              <w:rPr>
                <w:color w:val="000000"/>
                <w:sz w:val="22"/>
                <w:szCs w:val="22"/>
              </w:rPr>
            </w:pPr>
            <w:r>
              <w:rPr>
                <w:rFonts w:hint="eastAsia"/>
                <w:color w:val="000000"/>
                <w:sz w:val="22"/>
                <w:szCs w:val="22"/>
              </w:rPr>
              <w:t>目标</w:t>
            </w:r>
          </w:p>
        </w:tc>
        <w:tc>
          <w:tcPr>
            <w:tcW w:w="7259"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全年完成情况</w:t>
            </w:r>
          </w:p>
        </w:tc>
      </w:tr>
      <w:tr>
        <w:tblPrEx>
          <w:tblCellMar>
            <w:top w:w="0" w:type="dxa"/>
            <w:left w:w="0" w:type="dxa"/>
            <w:bottom w:w="0" w:type="dxa"/>
            <w:right w:w="0" w:type="dxa"/>
          </w:tblCellMar>
        </w:tblPrEx>
        <w:trPr>
          <w:gridAfter w:val="1"/>
          <w:wAfter w:w="6" w:type="dxa"/>
          <w:trHeight w:val="439"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r>
              <w:rPr>
                <w:rFonts w:hint="eastAsia" w:ascii="宋体" w:hAnsi="宋体" w:cs="宋体"/>
                <w:color w:val="000000"/>
                <w:kern w:val="0"/>
                <w:szCs w:val="21"/>
              </w:rPr>
              <w:t>目标1：按需及时完成各项目的支付工作。</w:t>
            </w:r>
          </w:p>
        </w:tc>
        <w:tc>
          <w:tcPr>
            <w:tcW w:w="7259"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基本完成各项目的支付工作</w:t>
            </w:r>
          </w:p>
        </w:tc>
      </w:tr>
      <w:tr>
        <w:tblPrEx>
          <w:tblCellMar>
            <w:top w:w="0" w:type="dxa"/>
            <w:left w:w="0" w:type="dxa"/>
            <w:bottom w:w="0" w:type="dxa"/>
            <w:right w:w="0" w:type="dxa"/>
          </w:tblCellMar>
        </w:tblPrEx>
        <w:trPr>
          <w:gridAfter w:val="1"/>
          <w:wAfter w:w="6" w:type="dxa"/>
          <w:trHeight w:val="439"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r>
              <w:rPr>
                <w:rFonts w:hint="eastAsia" w:ascii="宋体" w:hAnsi="宋体" w:cs="宋体"/>
                <w:color w:val="000000"/>
                <w:kern w:val="0"/>
                <w:szCs w:val="21"/>
              </w:rPr>
              <w:t>目标2：保障运转、持续发展、改善环境质量、提高管理水平。</w:t>
            </w:r>
          </w:p>
        </w:tc>
        <w:tc>
          <w:tcPr>
            <w:tcW w:w="7259"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顺利保障运转，持续提高管理水平、改善环境质量</w:t>
            </w:r>
          </w:p>
        </w:tc>
      </w:tr>
      <w:tr>
        <w:tblPrEx>
          <w:tblCellMar>
            <w:top w:w="0" w:type="dxa"/>
            <w:left w:w="0" w:type="dxa"/>
            <w:bottom w:w="0" w:type="dxa"/>
            <w:right w:w="0" w:type="dxa"/>
          </w:tblCellMar>
        </w:tblPrEx>
        <w:trPr>
          <w:gridAfter w:val="1"/>
          <w:wAfter w:w="6" w:type="dxa"/>
          <w:trHeight w:val="439"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r>
              <w:rPr>
                <w:rFonts w:hint="eastAsia" w:ascii="宋体" w:hAnsi="宋体" w:cs="宋体"/>
                <w:color w:val="000000"/>
                <w:kern w:val="0"/>
                <w:szCs w:val="21"/>
              </w:rPr>
              <w:t xml:space="preserve"> ……</w:t>
            </w:r>
          </w:p>
        </w:tc>
        <w:tc>
          <w:tcPr>
            <w:tcW w:w="7259" w:type="dxa"/>
            <w:gridSpan w:val="1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gridAfter w:val="1"/>
          <w:wAfter w:w="6" w:type="dxa"/>
          <w:trHeight w:val="402" w:hRule="atLeast"/>
          <w:jc w:val="center"/>
        </w:trPr>
        <w:tc>
          <w:tcPr>
            <w:tcW w:w="9054"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分解目标评价</w:t>
            </w:r>
          </w:p>
        </w:tc>
      </w:tr>
      <w:tr>
        <w:tblPrEx>
          <w:tblCellMar>
            <w:top w:w="0" w:type="dxa"/>
            <w:left w:w="0" w:type="dxa"/>
            <w:bottom w:w="0" w:type="dxa"/>
            <w:right w:w="0" w:type="dxa"/>
          </w:tblCellMar>
        </w:tblPrEx>
        <w:trPr>
          <w:gridAfter w:val="1"/>
          <w:wAfter w:w="6" w:type="dxa"/>
          <w:trHeight w:val="809" w:hRule="atLeast"/>
          <w:jc w:val="center"/>
        </w:trPr>
        <w:tc>
          <w:tcPr>
            <w:tcW w:w="5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一级</w:t>
            </w:r>
          </w:p>
          <w:p>
            <w:pPr>
              <w:jc w:val="center"/>
              <w:rPr>
                <w:rFonts w:ascii="宋体" w:hAnsi="宋体" w:cs="宋体"/>
                <w:color w:val="000000"/>
                <w:sz w:val="22"/>
                <w:szCs w:val="22"/>
              </w:rPr>
            </w:pPr>
            <w:r>
              <w:rPr>
                <w:rFonts w:hint="eastAsia"/>
                <w:color w:val="000000"/>
                <w:sz w:val="22"/>
                <w:szCs w:val="22"/>
              </w:rPr>
              <w:t>指标</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二级</w:t>
            </w:r>
          </w:p>
          <w:p>
            <w:pPr>
              <w:jc w:val="center"/>
              <w:rPr>
                <w:rFonts w:ascii="宋体" w:hAnsi="宋体" w:cs="宋体"/>
                <w:color w:val="000000"/>
                <w:sz w:val="22"/>
                <w:szCs w:val="22"/>
              </w:rPr>
            </w:pPr>
            <w:r>
              <w:rPr>
                <w:rFonts w:hint="eastAsia"/>
                <w:color w:val="000000"/>
                <w:sz w:val="22"/>
                <w:szCs w:val="22"/>
              </w:rPr>
              <w:t>指标</w:t>
            </w:r>
          </w:p>
        </w:tc>
        <w:tc>
          <w:tcPr>
            <w:tcW w:w="70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三级</w:t>
            </w:r>
          </w:p>
          <w:p>
            <w:pPr>
              <w:jc w:val="center"/>
              <w:rPr>
                <w:color w:val="000000"/>
                <w:sz w:val="22"/>
                <w:szCs w:val="22"/>
              </w:rPr>
            </w:pPr>
            <w:r>
              <w:rPr>
                <w:rFonts w:hint="eastAsia"/>
                <w:color w:val="000000"/>
                <w:sz w:val="22"/>
                <w:szCs w:val="22"/>
              </w:rPr>
              <w:t>指标</w:t>
            </w:r>
          </w:p>
        </w:tc>
        <w:tc>
          <w:tcPr>
            <w:tcW w:w="169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年度</w:t>
            </w:r>
          </w:p>
          <w:p>
            <w:pPr>
              <w:jc w:val="center"/>
              <w:rPr>
                <w:color w:val="000000"/>
                <w:sz w:val="22"/>
                <w:szCs w:val="22"/>
              </w:rPr>
            </w:pPr>
            <w:r>
              <w:rPr>
                <w:rFonts w:hint="eastAsia"/>
                <w:color w:val="000000"/>
                <w:sz w:val="22"/>
                <w:szCs w:val="22"/>
              </w:rPr>
              <w:t>指标值</w:t>
            </w:r>
          </w:p>
        </w:tc>
        <w:tc>
          <w:tcPr>
            <w:tcW w:w="4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全年完成值</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p>
            <w:pPr>
              <w:jc w:val="center"/>
              <w:rPr>
                <w:color w:val="000000"/>
                <w:sz w:val="22"/>
                <w:szCs w:val="22"/>
              </w:rPr>
            </w:pPr>
            <w:r>
              <w:rPr>
                <w:rFonts w:hint="eastAsia"/>
                <w:color w:val="000000"/>
                <w:sz w:val="22"/>
                <w:szCs w:val="22"/>
              </w:rPr>
              <w:t>程度</w:t>
            </w:r>
          </w:p>
        </w:tc>
        <w:tc>
          <w:tcPr>
            <w:tcW w:w="3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分值</w:t>
            </w:r>
          </w:p>
        </w:tc>
        <w:tc>
          <w:tcPr>
            <w:tcW w:w="49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得分</w:t>
            </w:r>
          </w:p>
        </w:tc>
        <w:tc>
          <w:tcPr>
            <w:tcW w:w="313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未完成原因</w:t>
            </w:r>
          </w:p>
          <w:p>
            <w:pPr>
              <w:jc w:val="center"/>
              <w:rPr>
                <w:rFonts w:ascii="宋体" w:hAnsi="宋体" w:cs="宋体"/>
                <w:color w:val="000000"/>
                <w:kern w:val="0"/>
                <w:sz w:val="20"/>
                <w:szCs w:val="20"/>
              </w:rPr>
            </w:pPr>
            <w:r>
              <w:rPr>
                <w:rFonts w:hint="eastAsia" w:ascii="宋体" w:hAnsi="宋体" w:cs="宋体"/>
                <w:color w:val="000000"/>
                <w:kern w:val="0"/>
                <w:szCs w:val="21"/>
              </w:rPr>
              <w:t>（请在相应选项下划“√”并在原因说明中分项阐述）</w:t>
            </w:r>
          </w:p>
        </w:tc>
        <w:tc>
          <w:tcPr>
            <w:tcW w:w="578"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改进措施</w:t>
            </w:r>
          </w:p>
        </w:tc>
      </w:tr>
      <w:tr>
        <w:tblPrEx>
          <w:tblCellMar>
            <w:top w:w="0" w:type="dxa"/>
            <w:left w:w="0" w:type="dxa"/>
            <w:bottom w:w="0" w:type="dxa"/>
            <w:right w:w="0" w:type="dxa"/>
          </w:tblCellMar>
        </w:tblPrEx>
        <w:trPr>
          <w:gridAfter w:val="1"/>
          <w:wAfter w:w="6" w:type="dxa"/>
          <w:trHeight w:val="809"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2"/>
                <w:szCs w:val="22"/>
              </w:rPr>
            </w:pPr>
          </w:p>
        </w:tc>
        <w:tc>
          <w:tcPr>
            <w:tcW w:w="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运算符号</w:t>
            </w: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内容</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度量单位</w:t>
            </w:r>
          </w:p>
        </w:tc>
        <w:tc>
          <w:tcPr>
            <w:tcW w:w="4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sz w:val="22"/>
                <w:szCs w:val="22"/>
              </w:rPr>
            </w:pPr>
          </w:p>
        </w:tc>
        <w:tc>
          <w:tcPr>
            <w:tcW w:w="35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 w:val="22"/>
                <w:szCs w:val="22"/>
              </w:rPr>
            </w:pPr>
          </w:p>
        </w:tc>
        <w:tc>
          <w:tcPr>
            <w:tcW w:w="49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硬件条件保障</w:t>
            </w: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其他</w:t>
            </w:r>
          </w:p>
        </w:tc>
        <w:tc>
          <w:tcPr>
            <w:tcW w:w="6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2"/>
                <w:szCs w:val="22"/>
              </w:rPr>
            </w:pPr>
          </w:p>
        </w:tc>
      </w:tr>
      <w:tr>
        <w:tblPrEx>
          <w:tblCellMar>
            <w:top w:w="0" w:type="dxa"/>
            <w:left w:w="0" w:type="dxa"/>
            <w:bottom w:w="0" w:type="dxa"/>
            <w:right w:w="0" w:type="dxa"/>
          </w:tblCellMar>
        </w:tblPrEx>
        <w:trPr>
          <w:trHeight w:val="259" w:hRule="atLeast"/>
          <w:jc w:val="center"/>
        </w:trPr>
        <w:tc>
          <w:tcPr>
            <w:tcW w:w="5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履职</w:t>
            </w:r>
          </w:p>
          <w:p>
            <w:pPr>
              <w:widowControl/>
              <w:jc w:val="center"/>
              <w:rPr>
                <w:rFonts w:ascii="宋体" w:hAnsi="宋体" w:cs="宋体"/>
                <w:color w:val="000000"/>
                <w:kern w:val="0"/>
                <w:szCs w:val="21"/>
              </w:rPr>
            </w:pPr>
            <w:r>
              <w:rPr>
                <w:rFonts w:hint="eastAsia" w:ascii="宋体" w:hAnsi="宋体" w:cs="宋体"/>
                <w:color w:val="000000"/>
                <w:kern w:val="0"/>
                <w:szCs w:val="21"/>
              </w:rPr>
              <w:t>效能</w:t>
            </w:r>
          </w:p>
          <w:p>
            <w:pPr>
              <w:widowControl/>
              <w:jc w:val="center"/>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重点工作履行情况</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重点工作办结率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20</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99"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8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0"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 w:val="22"/>
                <w:szCs w:val="22"/>
              </w:rPr>
              <w:t>整体工作完成情况</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3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48"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基础管理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依法行政能力</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管理规范</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20</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3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15"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95"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5"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预算</w:t>
            </w:r>
          </w:p>
          <w:p>
            <w:pPr>
              <w:widowControl/>
              <w:jc w:val="center"/>
              <w:textAlignment w:val="center"/>
              <w:rPr>
                <w:rFonts w:ascii="宋体" w:hAnsi="宋体" w:cs="宋体"/>
                <w:color w:val="000000"/>
                <w:sz w:val="22"/>
                <w:szCs w:val="22"/>
              </w:rPr>
            </w:pPr>
            <w:r>
              <w:rPr>
                <w:rFonts w:hint="eastAsia" w:ascii="宋体" w:hAnsi="宋体" w:cs="宋体"/>
                <w:color w:val="000000"/>
                <w:kern w:val="0"/>
                <w:szCs w:val="21"/>
              </w:rPr>
              <w:t>执行</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预算执行效率</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预算执行率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74.27%</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基本完成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3.71</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45"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预算调整率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小于5%</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45"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管理</w:t>
            </w:r>
          </w:p>
          <w:p>
            <w:pPr>
              <w:jc w:val="center"/>
              <w:rPr>
                <w:rFonts w:ascii="宋体" w:hAnsi="宋体" w:cs="宋体"/>
                <w:color w:val="000000"/>
                <w:sz w:val="22"/>
                <w:szCs w:val="22"/>
              </w:rPr>
            </w:pPr>
            <w:r>
              <w:rPr>
                <w:rFonts w:hint="eastAsia" w:ascii="宋体" w:hAnsi="宋体" w:cs="宋体"/>
                <w:color w:val="000000"/>
                <w:kern w:val="0"/>
                <w:szCs w:val="21"/>
              </w:rPr>
              <w:t>效率</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预算编制管理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预算绩效目标覆盖率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5</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预算监督管理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预决算公开情况</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全部公开</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预算收支</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财务管理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资产管理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kern w:val="0"/>
                <w:szCs w:val="21"/>
              </w:rPr>
              <w:t>业务</w:t>
            </w:r>
            <w:r>
              <w:rPr>
                <w:rFonts w:hint="eastAsia" w:ascii="宋体" w:hAnsi="宋体" w:cs="宋体"/>
                <w:szCs w:val="21"/>
              </w:rPr>
              <w:t>管理</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24"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运行</w:t>
            </w:r>
          </w:p>
          <w:p>
            <w:pPr>
              <w:jc w:val="center"/>
              <w:rPr>
                <w:rFonts w:ascii="宋体" w:hAnsi="宋体" w:cs="宋体"/>
                <w:color w:val="000000"/>
                <w:sz w:val="22"/>
                <w:szCs w:val="22"/>
              </w:rPr>
            </w:pPr>
            <w:r>
              <w:rPr>
                <w:rFonts w:hint="eastAsia" w:ascii="宋体" w:hAnsi="宋体" w:cs="宋体"/>
                <w:color w:val="000000"/>
                <w:sz w:val="22"/>
                <w:szCs w:val="22"/>
              </w:rPr>
              <w:t>成本</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成本控制成效</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三公经费变动率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24"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67"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效应</w:t>
            </w: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效应</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政治效益</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5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3"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社会效益</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统计信息公开及时性</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是否及时公开</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100%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00"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szCs w:val="21"/>
              </w:rPr>
              <w:t>经济效益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21"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生态效益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开展生态环保宣传工作次数</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最少1次</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100%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3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50"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服务对象满意度</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14"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可持</w:t>
            </w:r>
          </w:p>
          <w:p>
            <w:pPr>
              <w:jc w:val="center"/>
              <w:rPr>
                <w:rFonts w:ascii="宋体" w:hAnsi="宋体" w:cs="宋体"/>
                <w:color w:val="000000"/>
                <w:sz w:val="22"/>
                <w:szCs w:val="22"/>
              </w:rPr>
            </w:pPr>
            <w:r>
              <w:rPr>
                <w:rFonts w:hint="eastAsia" w:ascii="宋体" w:hAnsi="宋体" w:cs="宋体"/>
                <w:color w:val="000000"/>
                <w:sz w:val="22"/>
                <w:szCs w:val="22"/>
              </w:rPr>
              <w:t>续性</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体制机制改革</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综合管理水平</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持续提高</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100%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04"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84"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创新驱动发展</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sz w:val="22"/>
                <w:szCs w:val="22"/>
              </w:rPr>
            </w:pPr>
            <w:r>
              <w:rPr>
                <w:rFonts w:hint="eastAsia" w:ascii="宋体" w:hAnsi="宋体" w:cs="宋体"/>
                <w:color w:val="000000"/>
                <w:szCs w:val="21"/>
              </w:rPr>
              <w:t>指标2</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67"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rPr>
                <w:color w:val="000000"/>
                <w:sz w:val="22"/>
                <w:szCs w:val="22"/>
              </w:rPr>
            </w:pPr>
            <w:r>
              <w:rPr>
                <w:rFonts w:hint="eastAsia" w:ascii="宋体" w:hAnsi="宋体" w:cs="宋体"/>
                <w:color w:val="000000"/>
                <w:kern w:val="0"/>
                <w:szCs w:val="21"/>
              </w:rPr>
              <w:t>……</w:t>
            </w:r>
          </w:p>
        </w:tc>
        <w:tc>
          <w:tcPr>
            <w:tcW w:w="2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trHeight w:val="260"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2"/>
                <w:szCs w:val="22"/>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9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0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gridAfter w:val="1"/>
          <w:wAfter w:w="6" w:type="dxa"/>
          <w:trHeight w:val="260" w:hRule="atLeast"/>
          <w:jc w:val="center"/>
        </w:trPr>
        <w:tc>
          <w:tcPr>
            <w:tcW w:w="4491"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总评价得分</w:t>
            </w:r>
          </w:p>
        </w:tc>
        <w:tc>
          <w:tcPr>
            <w:tcW w:w="4563" w:type="dxa"/>
            <w:gridSpan w:val="1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98.71</w:t>
            </w:r>
          </w:p>
        </w:tc>
      </w:tr>
    </w:tbl>
    <w:p>
      <w:pPr>
        <w:spacing w:line="584" w:lineRule="exact"/>
        <w:rPr>
          <w:rFonts w:ascii="宋体" w:hAnsi="宋体" w:cs="宋体"/>
          <w:b/>
          <w:bCs/>
          <w:color w:val="000000"/>
          <w:sz w:val="44"/>
          <w:szCs w:val="44"/>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11222" w:type="dxa"/>
        <w:jc w:val="center"/>
        <w:tblLayout w:type="fixed"/>
        <w:tblCellMar>
          <w:top w:w="0" w:type="dxa"/>
          <w:left w:w="0" w:type="dxa"/>
          <w:bottom w:w="0" w:type="dxa"/>
          <w:right w:w="0" w:type="dxa"/>
        </w:tblCellMar>
      </w:tblPr>
      <w:tblGrid>
        <w:gridCol w:w="650"/>
        <w:gridCol w:w="750"/>
        <w:gridCol w:w="435"/>
        <w:gridCol w:w="540"/>
        <w:gridCol w:w="585"/>
        <w:gridCol w:w="1617"/>
        <w:gridCol w:w="495"/>
        <w:gridCol w:w="930"/>
        <w:gridCol w:w="601"/>
        <w:gridCol w:w="375"/>
        <w:gridCol w:w="570"/>
        <w:gridCol w:w="553"/>
        <w:gridCol w:w="204"/>
        <w:gridCol w:w="306"/>
        <w:gridCol w:w="411"/>
        <w:gridCol w:w="309"/>
        <w:gridCol w:w="540"/>
        <w:gridCol w:w="114"/>
        <w:gridCol w:w="246"/>
        <w:gridCol w:w="495"/>
        <w:gridCol w:w="496"/>
      </w:tblGrid>
      <w:tr>
        <w:tblPrEx>
          <w:tblCellMar>
            <w:top w:w="0" w:type="dxa"/>
            <w:left w:w="0" w:type="dxa"/>
            <w:bottom w:w="0" w:type="dxa"/>
            <w:right w:w="0" w:type="dxa"/>
          </w:tblCellMar>
        </w:tblPrEx>
        <w:trPr>
          <w:trHeight w:val="968" w:hRule="atLeast"/>
          <w:jc w:val="center"/>
        </w:trPr>
        <w:tc>
          <w:tcPr>
            <w:tcW w:w="11222" w:type="dxa"/>
            <w:gridSpan w:val="21"/>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83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9387"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szCs w:val="21"/>
              </w:rPr>
              <w:t>环境保护督察工作经费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83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9387"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color w:val="000000"/>
              </w:rPr>
              <w:t>市生态环境局</w:t>
            </w:r>
          </w:p>
        </w:tc>
      </w:tr>
      <w:tr>
        <w:tblPrEx>
          <w:tblCellMar>
            <w:top w:w="0" w:type="dxa"/>
            <w:left w:w="0" w:type="dxa"/>
            <w:bottom w:w="0" w:type="dxa"/>
            <w:right w:w="0" w:type="dxa"/>
          </w:tblCellMar>
        </w:tblPrEx>
        <w:trPr>
          <w:trHeight w:val="311" w:hRule="atLeast"/>
          <w:jc w:val="center"/>
        </w:trPr>
        <w:tc>
          <w:tcPr>
            <w:tcW w:w="183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571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市生态环境局</w:t>
            </w: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91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 xml:space="preserve"> 2021年1 月 -2021年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835"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237"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5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2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835"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571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674"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71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ascii="宋体" w:hAnsi="宋体" w:cs="宋体"/>
                <w:color w:val="000000"/>
                <w:kern w:val="0"/>
                <w:szCs w:val="21"/>
              </w:rPr>
              <w:t>推进我市第二轮中央生态环境保护督察整改工作。</w:t>
            </w:r>
          </w:p>
        </w:tc>
        <w:tc>
          <w:tcPr>
            <w:tcW w:w="3674"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kern w:val="0"/>
                <w:szCs w:val="21"/>
              </w:rPr>
              <w:t xml:space="preserve">《抚顺市中央生态环境保护督察整改方案》 </w:t>
            </w:r>
            <w:r>
              <w:rPr>
                <w:rFonts w:hint="eastAsia"/>
                <w:color w:val="000000"/>
              </w:rPr>
              <w:t>明确的2021年应完成8项整改任务，截至2021年年底，已全部完成整改。</w:t>
            </w:r>
          </w:p>
        </w:tc>
      </w:tr>
      <w:tr>
        <w:tblPrEx>
          <w:tblCellMar>
            <w:top w:w="0" w:type="dxa"/>
            <w:left w:w="0" w:type="dxa"/>
            <w:bottom w:w="0" w:type="dxa"/>
            <w:right w:w="0" w:type="dxa"/>
          </w:tblCellMar>
        </w:tblPrEx>
        <w:trPr>
          <w:trHeight w:val="311"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71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r>
              <w:rPr>
                <w:rFonts w:hint="eastAsia" w:ascii="宋体" w:hAnsi="宋体" w:cs="宋体"/>
                <w:color w:val="000000"/>
                <w:kern w:val="0"/>
                <w:szCs w:val="21"/>
              </w:rPr>
              <w:t>推进我市省级生态环境保护督察整改工作。</w:t>
            </w:r>
          </w:p>
        </w:tc>
        <w:tc>
          <w:tcPr>
            <w:tcW w:w="3674"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kern w:val="0"/>
                <w:szCs w:val="21"/>
              </w:rPr>
              <w:t>《抚顺市贯彻落实第二轮省级生态环境保护督察反馈意见整改任务清单》</w:t>
            </w:r>
            <w:r>
              <w:rPr>
                <w:rFonts w:hint="eastAsia"/>
                <w:color w:val="000000"/>
              </w:rPr>
              <w:t>明确2021年应完成12项整改任务，截至2021年年底，已全部完成整改。</w:t>
            </w:r>
          </w:p>
        </w:tc>
      </w:tr>
      <w:tr>
        <w:tblPrEx>
          <w:tblCellMar>
            <w:top w:w="0" w:type="dxa"/>
            <w:left w:w="0" w:type="dxa"/>
            <w:bottom w:w="0" w:type="dxa"/>
            <w:right w:w="0" w:type="dxa"/>
          </w:tblCellMar>
        </w:tblPrEx>
        <w:trPr>
          <w:trHeight w:val="296" w:hRule="atLeast"/>
          <w:jc w:val="center"/>
        </w:trPr>
        <w:tc>
          <w:tcPr>
            <w:tcW w:w="18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71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kern w:val="0"/>
                <w:szCs w:val="21"/>
              </w:rPr>
              <w:t>目标3：完成整改的中央生态环境保护督察及“回头看”、省级生态环境保护督察整改任务销号档案制作。</w:t>
            </w:r>
          </w:p>
        </w:tc>
        <w:tc>
          <w:tcPr>
            <w:tcW w:w="3674"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color w:val="000000"/>
              </w:rPr>
              <w:t>截至2021年年底，</w:t>
            </w:r>
            <w:r>
              <w:rPr>
                <w:rFonts w:hint="eastAsia" w:ascii="宋体" w:hAnsi="宋体" w:cs="宋体"/>
                <w:color w:val="000000"/>
                <w:kern w:val="0"/>
                <w:szCs w:val="21"/>
              </w:rPr>
              <w:t>完成整改的中央生态环境保护督察及“回头看”整改任务已全部完成销号档案制作。省级生态环境保护督察整改工作尚未涉及销号档案制作。</w:t>
            </w:r>
          </w:p>
        </w:tc>
      </w:tr>
      <w:tr>
        <w:tblPrEx>
          <w:tblCellMar>
            <w:top w:w="0" w:type="dxa"/>
            <w:left w:w="0" w:type="dxa"/>
            <w:bottom w:w="0" w:type="dxa"/>
            <w:right w:w="0" w:type="dxa"/>
          </w:tblCellMar>
        </w:tblPrEx>
        <w:trPr>
          <w:trHeight w:val="911" w:hRule="atLeast"/>
          <w:jc w:val="center"/>
        </w:trPr>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7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269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93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60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7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57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178"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49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运算</w:t>
            </w:r>
          </w:p>
          <w:p>
            <w:pPr>
              <w:jc w:val="center"/>
              <w:rPr>
                <w:color w:val="000000"/>
              </w:rPr>
            </w:pPr>
            <w:r>
              <w:rPr>
                <w:rFonts w:hint="eastAsia"/>
                <w:color w:val="000000"/>
              </w:rPr>
              <w:t>符号</w:t>
            </w: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内容</w:t>
            </w:r>
          </w:p>
        </w:tc>
        <w:tc>
          <w:tcPr>
            <w:tcW w:w="495"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1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3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2021年年底前，应完成中央生态环境保护督察8项整改任务。</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2021年年底前，应完成省级生态环境保护督察12项整改任务。　</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12</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指标3</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已完成整改的中央及省级生态环境保护督察及“回头看”整改任务完成销号档案制作。省级生态环境保护督察整改工作尚未涉及销号档案制作。</w:t>
            </w:r>
            <w:r>
              <w:rPr>
                <w:rFonts w:hint="eastAsia"/>
                <w:color w:val="000000"/>
              </w:rPr>
              <w:t>　</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25</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szCs w:val="21"/>
              </w:rPr>
              <w:t>保证中央生态环境保护督察整改工作顺利推进。</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kern w:val="0"/>
                <w:szCs w:val="21"/>
              </w:rPr>
              <w:t>持续推进《抚顺市中央生态环境保护督察整改方案》</w:t>
            </w:r>
            <w:r>
              <w:rPr>
                <w:rFonts w:hint="eastAsia"/>
                <w:color w:val="000000"/>
              </w:rPr>
              <w:t>明确的22项整改任务整改，截至2021年年底，8项已完成整改，14项达到序时进度要求。</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szCs w:val="21"/>
              </w:rPr>
              <w:t>保证省级生态环境保护督察整改工作顺利推进。</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持续推《抚顺市贯彻落实第二轮省级生态环境保护督察反馈意见整改任务清单》</w:t>
            </w:r>
            <w:r>
              <w:rPr>
                <w:rFonts w:hint="eastAsia"/>
                <w:color w:val="000000"/>
              </w:rPr>
              <w:t>　明确的29项整改任务，截至2021年年底，23项已完成整改，6项达到序时进度要求。</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已完成的整改任务，完成销号档案制作。</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截至2021年6月，完成整改的中央生态环境保护督察及“回头看”整改任务已全部完成销号档案制作。省级生态环境保护督察整改工作尚未涉及销号档案制作。</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szCs w:val="21"/>
              </w:rPr>
              <w:t>中央生态环境保护督察整改工作。</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中央生态环境保护督察整改工作成效显著，东泽污水处理厂超排、欧家河污染治理、大伙房水源地环境问题等一批重难点生态环境问题得以解决，切实改善了生态环境质量，提高了人民群众的获得感和幸福感。</w:t>
            </w: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r>
              <w:rPr>
                <w:rFonts w:hint="eastAsia" w:ascii="宋体" w:hAnsi="宋体" w:cs="宋体"/>
                <w:color w:val="000000"/>
                <w:szCs w:val="21"/>
              </w:rPr>
              <w:t>省级生态环境保护督察整改工作。</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通过全面坚决整改省级生态环境保护督察反馈问题，我市环境质量明显改善，全市水环境治理取得阶段性成果，国省考核断面稳达到考核目标，1-12月份水质全省排名第2位；市民生态环境幸福感、获得感、安全感显著增强。</w:t>
            </w:r>
          </w:p>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w:t>
            </w: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58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6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1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7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660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9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23"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35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r>
      <w:tr>
        <w:tblPrEx>
          <w:tblCellMar>
            <w:top w:w="0" w:type="dxa"/>
            <w:left w:w="0" w:type="dxa"/>
            <w:bottom w:w="0" w:type="dxa"/>
            <w:right w:w="0" w:type="dxa"/>
          </w:tblCellMar>
        </w:tblPrEx>
        <w:trPr>
          <w:trHeight w:val="414" w:hRule="atLeast"/>
          <w:jc w:val="center"/>
        </w:trPr>
        <w:tc>
          <w:tcPr>
            <w:tcW w:w="660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619" w:type="dxa"/>
            <w:gridSpan w:val="1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r>
    </w:tbl>
    <w:p>
      <w:pPr>
        <w:spacing w:line="584" w:lineRule="exact"/>
        <w:jc w:val="center"/>
        <w:rPr>
          <w:rFonts w:ascii="宋体" w:hAnsi="宋体" w:cs="宋体"/>
          <w:b/>
          <w:bCs/>
          <w:color w:val="000000"/>
          <w:sz w:val="44"/>
          <w:szCs w:val="44"/>
        </w:rPr>
      </w:pPr>
    </w:p>
    <w:p>
      <w:pPr>
        <w:spacing w:line="584" w:lineRule="exact"/>
        <w:jc w:val="center"/>
        <w:rPr>
          <w:rFonts w:ascii="宋体" w:hAnsi="宋体" w:cs="宋体"/>
          <w:b/>
          <w:bCs/>
          <w:color w:val="000000"/>
          <w:sz w:val="44"/>
          <w:szCs w:val="44"/>
        </w:rPr>
      </w:pPr>
    </w:p>
    <w:p>
      <w:pPr>
        <w:spacing w:line="584" w:lineRule="exact"/>
        <w:jc w:val="center"/>
        <w:rPr>
          <w:rFonts w:ascii="宋体" w:hAnsi="宋体" w:cs="宋体"/>
          <w:b/>
          <w:bCs/>
          <w:color w:val="000000"/>
          <w:sz w:val="44"/>
          <w:szCs w:val="44"/>
        </w:rPr>
      </w:pPr>
    </w:p>
    <w:p>
      <w:pPr>
        <w:spacing w:line="584" w:lineRule="exact"/>
        <w:jc w:val="center"/>
        <w:rPr>
          <w:rFonts w:ascii="宋体" w:hAnsi="宋体" w:cs="宋体"/>
          <w:b/>
          <w:bCs/>
          <w:color w:val="000000"/>
          <w:sz w:val="44"/>
          <w:szCs w:val="44"/>
        </w:rPr>
      </w:pPr>
    </w:p>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457"/>
        <w:gridCol w:w="709"/>
        <w:gridCol w:w="367"/>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清洁生产评估费2021</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ascii="宋体" w:hAnsi="宋体" w:cs="宋体"/>
                <w:color w:val="000000"/>
                <w:szCs w:val="21"/>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ascii="宋体" w:hAnsi="宋体" w:cs="宋体"/>
                <w:color w:val="000000"/>
                <w:kern w:val="0"/>
                <w:szCs w:val="21"/>
              </w:rPr>
              <w:t>按省厅要求完成2021年强制性清洁生产审核评估工作</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省厅未下达2021年强审名单，未开展工作</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709"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 容</w:t>
            </w:r>
          </w:p>
        </w:tc>
        <w:tc>
          <w:tcPr>
            <w:tcW w:w="36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ascii="宋体" w:hAnsi="宋体" w:cs="宋体"/>
                <w:color w:val="000000"/>
                <w:szCs w:val="21"/>
              </w:rPr>
            </w:pPr>
            <w:r>
              <w:rPr>
                <w:rFonts w:hint="eastAsia" w:ascii="宋体" w:hAnsi="宋体" w:cs="宋体"/>
                <w:color w:val="000000"/>
                <w:szCs w:val="21"/>
              </w:rPr>
              <w:t>完成2021年强制性清洁生产审核名单中所涉企业评估工作</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省厅未下达强审名单</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节能、降耗、减污、增效</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省厅未下达强审名单</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上级部门满意度</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r>
    </w:tbl>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457"/>
        <w:gridCol w:w="643"/>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ascii="宋体" w:hAnsi="宋体" w:cs="宋体"/>
                <w:color w:val="000000"/>
                <w:sz w:val="32"/>
                <w:szCs w:val="32"/>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环境影响评估2021</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r>
              <w:rPr>
                <w:color w:val="000000"/>
              </w:rPr>
              <w:t>0</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r>
              <w:rPr>
                <w:color w:val="000000"/>
              </w:rPr>
              <w:t>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59.24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color w:val="000000"/>
              </w:rPr>
            </w:pPr>
            <w:r>
              <w:rPr>
                <w:rFonts w:hint="eastAsia"/>
                <w:color w:val="000000"/>
              </w:rPr>
              <w:t>9</w:t>
            </w:r>
            <w:r>
              <w:rPr>
                <w:color w:val="000000"/>
              </w:rPr>
              <w:t>8.73</w:t>
            </w:r>
            <w:r>
              <w:rPr>
                <w:rFonts w:hint="eastAsia"/>
                <w:color w:val="000000"/>
              </w:rPr>
              <w:t>%</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r>
              <w:rPr>
                <w:color w:val="000000"/>
              </w:rPr>
              <w:t>.87</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r>
              <w:rPr>
                <w:color w:val="000000"/>
              </w:rPr>
              <w:t>0</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6</w:t>
            </w:r>
            <w:r>
              <w:rPr>
                <w:color w:val="000000"/>
              </w:rPr>
              <w:t>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59.2</w:t>
            </w:r>
            <w:r>
              <w:rPr>
                <w:color w:val="000000"/>
              </w:rPr>
              <w:t>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r>
              <w:rPr>
                <w:color w:val="000000"/>
              </w:rPr>
              <w:t>8.73</w:t>
            </w:r>
            <w:r>
              <w:rPr>
                <w:rFonts w:hint="eastAsia"/>
                <w:color w:val="000000"/>
              </w:rPr>
              <w:t>%</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color w:val="000000"/>
              </w:rPr>
              <w:t>：全年最少完成120个项目的评估工作</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全年完成143个项目的评估工作</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64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全年最少完成120个项目的评估工作</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个</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全年完成1</w:t>
            </w:r>
            <w:r>
              <w:rPr>
                <w:color w:val="000000"/>
              </w:rPr>
              <w:t>43</w:t>
            </w:r>
            <w:r>
              <w:rPr>
                <w:rFonts w:hint="eastAsia"/>
                <w:color w:val="000000"/>
              </w:rPr>
              <w:t>个项目的评估工作</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持续保证建设项目符合相关环保政策及标准</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个</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全年完成1</w:t>
            </w:r>
            <w:r>
              <w:rPr>
                <w:color w:val="000000"/>
              </w:rPr>
              <w:t>43</w:t>
            </w:r>
            <w:r>
              <w:rPr>
                <w:rFonts w:hint="eastAsia"/>
                <w:color w:val="000000"/>
              </w:rPr>
              <w:t>个项目的评估工作</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建设单位及环评单位人员满意度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r>
              <w:rPr>
                <w:color w:val="000000"/>
              </w:rPr>
              <w:t>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r>
              <w:rPr>
                <w:color w:val="000000"/>
              </w:rPr>
              <w:t>.87</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r>
              <w:rPr>
                <w:color w:val="000000"/>
              </w:rPr>
              <w:t>9.87</w:t>
            </w:r>
          </w:p>
        </w:tc>
      </w:tr>
    </w:tbl>
    <w:p>
      <w:pPr>
        <w:outlineLvl w:val="0"/>
        <w:rPr>
          <w:rFonts w:ascii="黑体" w:hAnsi="黑体" w:eastAsia="黑体" w:cs="黑体"/>
          <w:bCs/>
          <w:color w:val="000000"/>
          <w:sz w:val="32"/>
          <w:szCs w:val="32"/>
        </w:rPr>
      </w:pPr>
    </w:p>
    <w:tbl>
      <w:tblPr>
        <w:tblStyle w:val="3"/>
        <w:tblpPr w:leftFromText="180" w:rightFromText="180" w:vertAnchor="text" w:horzAnchor="margin" w:tblpY="277"/>
        <w:tblW w:w="9276" w:type="dxa"/>
        <w:tblInd w:w="0" w:type="dxa"/>
        <w:tblLayout w:type="fixed"/>
        <w:tblCellMar>
          <w:top w:w="0" w:type="dxa"/>
          <w:left w:w="0" w:type="dxa"/>
          <w:bottom w:w="0" w:type="dxa"/>
          <w:right w:w="0" w:type="dxa"/>
        </w:tblCellMar>
      </w:tblPr>
      <w:tblGrid>
        <w:gridCol w:w="379"/>
        <w:gridCol w:w="400"/>
        <w:gridCol w:w="584"/>
        <w:gridCol w:w="650"/>
        <w:gridCol w:w="457"/>
        <w:gridCol w:w="709"/>
        <w:gridCol w:w="367"/>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ascii="宋体" w:hAnsi="宋体" w:cs="宋体"/>
                <w:color w:val="000000"/>
                <w:szCs w:val="21"/>
              </w:rPr>
              <w:t>县区工作经费2021</w:t>
            </w:r>
          </w:p>
        </w:tc>
      </w:tr>
      <w:tr>
        <w:tblPrEx>
          <w:tblCellMar>
            <w:top w:w="0" w:type="dxa"/>
            <w:left w:w="0" w:type="dxa"/>
            <w:bottom w:w="0" w:type="dxa"/>
            <w:right w:w="0" w:type="dxa"/>
          </w:tblCellMar>
        </w:tblPrEx>
        <w:trPr>
          <w:trHeight w:val="331" w:hRule="atLeast"/>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抚顺市生态环境局</w:t>
            </w:r>
          </w:p>
        </w:tc>
      </w:tr>
      <w:tr>
        <w:tblPrEx>
          <w:tblCellMar>
            <w:top w:w="0" w:type="dxa"/>
            <w:left w:w="0" w:type="dxa"/>
            <w:bottom w:w="0" w:type="dxa"/>
            <w:right w:w="0" w:type="dxa"/>
          </w:tblCellMar>
        </w:tblPrEx>
        <w:trPr>
          <w:trHeight w:val="311" w:hRule="atLeast"/>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ascii="宋体" w:hAnsi="宋体" w:cs="宋体"/>
                <w:color w:val="000000"/>
                <w:szCs w:val="21"/>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-2021年12月</w:t>
            </w:r>
          </w:p>
        </w:tc>
      </w:tr>
      <w:tr>
        <w:tblPrEx>
          <w:tblCellMar>
            <w:top w:w="0" w:type="dxa"/>
            <w:left w:w="0" w:type="dxa"/>
            <w:bottom w:w="0" w:type="dxa"/>
            <w:right w:w="0" w:type="dxa"/>
          </w:tblCellMar>
        </w:tblPrEx>
        <w:trPr>
          <w:trHeight w:val="592" w:hRule="atLeast"/>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62.75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78.44%</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7.84</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62.75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78.44%</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ascii="宋体" w:hAnsi="宋体" w:cs="宋体"/>
                <w:color w:val="000000"/>
                <w:kern w:val="0"/>
                <w:szCs w:val="21"/>
              </w:rPr>
              <w:t>按需完成三县四区工作经费支付，保障县区工作顺利开展。</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完成三县四区工作经费支付，县区工作顺利开展。</w:t>
            </w:r>
          </w:p>
        </w:tc>
      </w:tr>
      <w:tr>
        <w:tblPrEx>
          <w:tblCellMar>
            <w:top w:w="0" w:type="dxa"/>
            <w:left w:w="0" w:type="dxa"/>
            <w:bottom w:w="0" w:type="dxa"/>
            <w:right w:w="0" w:type="dxa"/>
          </w:tblCellMar>
        </w:tblPrEx>
        <w:trPr>
          <w:trHeight w:val="311"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709"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36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ascii="宋体" w:hAnsi="宋体" w:cs="宋体"/>
                <w:color w:val="000000"/>
                <w:szCs w:val="21"/>
              </w:rPr>
            </w:pPr>
            <w:r>
              <w:rPr>
                <w:rFonts w:hint="eastAsia" w:ascii="宋体" w:hAnsi="宋体" w:cs="宋体"/>
                <w:color w:val="000000"/>
                <w:szCs w:val="21"/>
              </w:rPr>
              <w:t>完成环保宣传</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ascii="宋体" w:hAnsi="宋体" w:cs="宋体"/>
                <w:color w:val="000000"/>
                <w:szCs w:val="21"/>
              </w:rPr>
            </w:pPr>
            <w:r>
              <w:rPr>
                <w:rFonts w:hint="eastAsia" w:ascii="宋体" w:hAnsi="宋体" w:cs="宋体"/>
                <w:color w:val="000000"/>
                <w:szCs w:val="21"/>
              </w:rPr>
              <w:t>1次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持续改善县区环境质量</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持续改善</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持续改善</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上级主管部门满意度</w:t>
            </w: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Cs w:val="21"/>
              </w:rPr>
            </w:pPr>
            <w:r>
              <w:rPr>
                <w:rFonts w:hint="eastAsia" w:ascii="宋体" w:hAnsi="宋体" w:cs="宋体"/>
                <w:color w:val="000000"/>
                <w:szCs w:val="21"/>
              </w:rPr>
              <w:t>满意</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7.84</w:t>
            </w:r>
          </w:p>
        </w:tc>
      </w:tr>
      <w:tr>
        <w:tblPrEx>
          <w:tblCellMar>
            <w:top w:w="0" w:type="dxa"/>
            <w:left w:w="0" w:type="dxa"/>
            <w:bottom w:w="0" w:type="dxa"/>
            <w:right w:w="0" w:type="dxa"/>
          </w:tblCellMar>
        </w:tblPrEx>
        <w:trPr>
          <w:trHeight w:val="414" w:hRule="atLeast"/>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97.84</w:t>
            </w:r>
          </w:p>
        </w:tc>
      </w:tr>
    </w:tbl>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p>
      <w:pPr>
        <w:pStyle w:val="2"/>
        <w:rPr>
          <w:lang w:val="en-US" w:eastAsia="zh-CN"/>
        </w:rPr>
      </w:pPr>
    </w:p>
    <w:p>
      <w:pPr>
        <w:rPr>
          <w:lang w:val="en-US" w:eastAsia="zh-CN"/>
        </w:rPr>
      </w:pPr>
    </w:p>
    <w:p>
      <w:pPr>
        <w:pStyle w:val="2"/>
        <w:rPr>
          <w:lang w:val="en-US" w:eastAsia="zh-CN"/>
        </w:rPr>
      </w:pPr>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环保大楼运行费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2021年01月-2021年12月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56.36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56.36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49.82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88.40%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8.84</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56.36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56.36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49.82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88.40%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ascii="宋体" w:hAnsi="宋体" w:cs="宋体"/>
                <w:color w:val="000000"/>
                <w:kern w:val="0"/>
                <w:szCs w:val="21"/>
              </w:rPr>
              <w:t>按需完成环保大楼水费、电费、物业费、维修费支付</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全部完成</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按需按时完成环保大楼费用支付</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全部完成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确保环保大楼运行正常</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全部完成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局机关工作人员满意度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全部完成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8.84</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98.84</w:t>
            </w:r>
          </w:p>
        </w:tc>
      </w:tr>
    </w:tbl>
    <w:p>
      <w:pPr>
        <w:spacing w:line="584" w:lineRule="exact"/>
        <w:jc w:val="center"/>
        <w:rPr>
          <w:rFonts w:ascii="宋体" w:hAnsi="宋体" w:cs="宋体"/>
          <w:b/>
          <w:bCs/>
          <w:color w:val="000000"/>
          <w:sz w:val="44"/>
          <w:szCs w:val="44"/>
        </w:rPr>
      </w:pPr>
    </w:p>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447"/>
        <w:gridCol w:w="653"/>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ascii="宋体" w:hAnsi="宋体" w:cs="宋体"/>
                <w:color w:val="000000"/>
                <w:szCs w:val="21"/>
              </w:rPr>
              <w:t>大伙房水源保护区网络视频监控网络运行维护</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 年1月 - 2021年12月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3.10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3.10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3.10</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3.10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0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color w:val="000000"/>
              </w:rPr>
              <w:t xml:space="preserve"> 开展大伙房水源保护区网络视频监控网络运行维护</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省级大伙房水源保护区网络视频监控平台因保密和升级改造需要暂停使用，因此未开展工作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4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65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及时掌握一级保护区内的环境现状，有效保证了水源保护区内河、路、桥、涵等敏感区域生态环境的安防。</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省级监控平台暂停使用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实时监控和预警一级保护区内敏感区域，确保水源地环境安全。</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省级监控平台暂停使用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省级监控平台暂停使用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4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w:t>
            </w:r>
          </w:p>
        </w:tc>
      </w:tr>
    </w:tbl>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tbl>
      <w:tblPr>
        <w:tblStyle w:val="3"/>
        <w:tblW w:w="9276" w:type="dxa"/>
        <w:jc w:val="center"/>
        <w:tblLayout w:type="fixed"/>
        <w:tblCellMar>
          <w:top w:w="0" w:type="dxa"/>
          <w:left w:w="0" w:type="dxa"/>
          <w:bottom w:w="0" w:type="dxa"/>
          <w:right w:w="0" w:type="dxa"/>
        </w:tblCellMar>
      </w:tblPr>
      <w:tblGrid>
        <w:gridCol w:w="379"/>
        <w:gridCol w:w="400"/>
        <w:gridCol w:w="584"/>
        <w:gridCol w:w="398"/>
        <w:gridCol w:w="284"/>
        <w:gridCol w:w="1068"/>
        <w:gridCol w:w="433"/>
        <w:gridCol w:w="567"/>
        <w:gridCol w:w="450"/>
        <w:gridCol w:w="358"/>
        <w:gridCol w:w="358"/>
        <w:gridCol w:w="578"/>
        <w:gridCol w:w="14"/>
        <w:gridCol w:w="586"/>
        <w:gridCol w:w="175"/>
        <w:gridCol w:w="475"/>
        <w:gridCol w:w="242"/>
        <w:gridCol w:w="307"/>
        <w:gridCol w:w="496"/>
        <w:gridCol w:w="160"/>
        <w:gridCol w:w="678"/>
        <w:gridCol w:w="286"/>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环保专项业务经费2021</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ascii="宋体" w:hAnsi="宋体" w:cs="宋体"/>
                <w:color w:val="000000"/>
                <w:szCs w:val="21"/>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17.01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17.01</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13.38</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78.66%</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7.87</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17.01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17.01</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13.38</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ascii="宋体" w:hAnsi="宋体" w:cs="宋体"/>
                <w:color w:val="000000"/>
                <w:kern w:val="0"/>
                <w:szCs w:val="21"/>
              </w:rPr>
              <w:t>完成法律咨询、行政审批、辐射安全等全年生态环境专项工作。</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工作全部完成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39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78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711"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2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84"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1068"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83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完成辐射从业人员考试1次</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完成1次</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持续提高辐射从业人员专业能力</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考试1次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完成考试</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参加职称评审人员满意度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2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10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83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7.87</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97.87</w:t>
            </w:r>
          </w:p>
        </w:tc>
      </w:tr>
    </w:tbl>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860" w:type="dxa"/>
        <w:jc w:val="center"/>
        <w:tblLayout w:type="fixed"/>
        <w:tblCellMar>
          <w:top w:w="0" w:type="dxa"/>
          <w:left w:w="0" w:type="dxa"/>
          <w:bottom w:w="0" w:type="dxa"/>
          <w:right w:w="0" w:type="dxa"/>
        </w:tblCellMar>
      </w:tblPr>
      <w:tblGrid>
        <w:gridCol w:w="379"/>
        <w:gridCol w:w="400"/>
        <w:gridCol w:w="584"/>
        <w:gridCol w:w="650"/>
        <w:gridCol w:w="607"/>
        <w:gridCol w:w="493"/>
        <w:gridCol w:w="433"/>
        <w:gridCol w:w="567"/>
        <w:gridCol w:w="450"/>
        <w:gridCol w:w="358"/>
        <w:gridCol w:w="358"/>
        <w:gridCol w:w="578"/>
        <w:gridCol w:w="14"/>
        <w:gridCol w:w="586"/>
        <w:gridCol w:w="175"/>
        <w:gridCol w:w="475"/>
        <w:gridCol w:w="242"/>
        <w:gridCol w:w="307"/>
        <w:gridCol w:w="496"/>
        <w:gridCol w:w="160"/>
        <w:gridCol w:w="393"/>
        <w:gridCol w:w="571"/>
        <w:gridCol w:w="584"/>
      </w:tblGrid>
      <w:tr>
        <w:tblPrEx>
          <w:tblCellMar>
            <w:top w:w="0" w:type="dxa"/>
            <w:left w:w="0" w:type="dxa"/>
            <w:bottom w:w="0" w:type="dxa"/>
            <w:right w:w="0" w:type="dxa"/>
          </w:tblCellMar>
        </w:tblPrEx>
        <w:trPr>
          <w:gridAfter w:val="1"/>
          <w:wAfter w:w="584" w:type="dxa"/>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常规监测费2021　</w:t>
            </w:r>
          </w:p>
        </w:tc>
      </w:tr>
      <w:tr>
        <w:tblPrEx>
          <w:tblCellMar>
            <w:top w:w="0" w:type="dxa"/>
            <w:left w:w="0" w:type="dxa"/>
            <w:bottom w:w="0" w:type="dxa"/>
            <w:right w:w="0" w:type="dxa"/>
          </w:tblCellMar>
        </w:tblPrEx>
        <w:trPr>
          <w:gridAfter w:val="1"/>
          <w:wAfter w:w="584" w:type="dxa"/>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-2012年12月</w:t>
            </w:r>
          </w:p>
        </w:tc>
      </w:tr>
      <w:tr>
        <w:tblPrEx>
          <w:tblCellMar>
            <w:top w:w="0" w:type="dxa"/>
            <w:left w:w="0" w:type="dxa"/>
            <w:bottom w:w="0" w:type="dxa"/>
            <w:right w:w="0" w:type="dxa"/>
          </w:tblCellMar>
        </w:tblPrEx>
        <w:trPr>
          <w:gridAfter w:val="1"/>
          <w:wAfter w:w="584" w:type="dxa"/>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19.4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r>
              <w:rPr>
                <w:rFonts w:hint="eastAsia"/>
                <w:color w:val="000000"/>
              </w:rPr>
              <w:t>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48.5%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4.85</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19.4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48.5%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color w:val="000000"/>
              </w:rPr>
              <w:t>确保水和大气稳定达到考核要求。</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当年完成。　</w:t>
            </w:r>
          </w:p>
        </w:tc>
      </w:tr>
      <w:tr>
        <w:tblPrEx>
          <w:tblCellMar>
            <w:top w:w="0" w:type="dxa"/>
            <w:left w:w="0" w:type="dxa"/>
            <w:bottom w:w="0" w:type="dxa"/>
            <w:right w:w="0" w:type="dxa"/>
          </w:tblCellMar>
        </w:tblPrEx>
        <w:trPr>
          <w:gridAfter w:val="1"/>
          <w:wAfter w:w="584" w:type="dxa"/>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gridAfter w:val="1"/>
          <w:wAfter w:w="584" w:type="dxa"/>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gridAfter w:val="1"/>
          <w:wAfter w:w="584" w:type="dxa"/>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gridAfter w:val="1"/>
          <w:wAfter w:w="584" w:type="dxa"/>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0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49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gridAfter w:val="1"/>
          <w:wAfter w:w="584" w:type="dxa"/>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31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完成河流水质目标</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p>
        </w:tc>
        <w:tc>
          <w:tcPr>
            <w:tcW w:w="584" w:type="dxa"/>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584" w:type="dxa"/>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28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3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4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为改善环境提供基础数据</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288"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35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2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39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268"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市政府满意</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60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gridAfter w:val="1"/>
          <w:wAfter w:w="584" w:type="dxa"/>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4.85</w:t>
            </w:r>
          </w:p>
        </w:tc>
      </w:tr>
      <w:tr>
        <w:tblPrEx>
          <w:tblCellMar>
            <w:top w:w="0" w:type="dxa"/>
            <w:left w:w="0" w:type="dxa"/>
            <w:bottom w:w="0" w:type="dxa"/>
            <w:right w:w="0" w:type="dxa"/>
          </w:tblCellMar>
        </w:tblPrEx>
        <w:trPr>
          <w:gridAfter w:val="1"/>
          <w:wAfter w:w="584" w:type="dxa"/>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94.85</w:t>
            </w:r>
          </w:p>
        </w:tc>
      </w:tr>
    </w:tbl>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抚顺市重点流域水生态环境保护“十四五”规划编制2021</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color w:val="000000"/>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16</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r>
              <w:rPr>
                <w:rFonts w:hint="eastAsia"/>
                <w:color w:val="000000"/>
              </w:rPr>
              <w:t>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16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16</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16</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color w:val="000000"/>
              </w:rPr>
              <w:t>编制水生态环保十四五规划要点。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当年完成。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编制规划</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16</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为改善环境提供基础数据</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市政府满意</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r>
    </w:tbl>
    <w:p>
      <w:pPr>
        <w:rPr>
          <w:lang w:val="en-US" w:eastAsia="zh-CN"/>
        </w:rPr>
      </w:pPr>
    </w:p>
    <w:p>
      <w:pPr>
        <w:pStyle w:val="2"/>
        <w:rPr>
          <w:lang w:val="en-US" w:eastAsia="zh-CN"/>
        </w:rPr>
      </w:pPr>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457"/>
        <w:gridCol w:w="643"/>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常规监测费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抚顺市生态环境局水生态环境科</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 月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2.44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24.4%</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2.44</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2.44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24.4%</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1</w:t>
            </w:r>
            <w:r>
              <w:rPr>
                <w:rFonts w:hint="eastAsia"/>
                <w:color w:val="000000"/>
              </w:rPr>
              <w:t>确保水和大气稳定达到考核要求。</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当年完成。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w:t>
            </w:r>
            <w:r>
              <w:rPr>
                <w:color w:val="000000"/>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64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在线设备</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台</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hint="eastAsia" w:ascii="宋体" w:hAnsi="宋体" w:cs="宋体"/>
                <w:color w:val="000000"/>
                <w:szCs w:val="21"/>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流量计</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台</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color w:val="000000"/>
                <w:szCs w:val="21"/>
              </w:rPr>
            </w:pPr>
            <w:r>
              <w:rPr>
                <w:rFonts w:ascii="宋体" w:hAnsi="宋体" w:cs="宋体"/>
                <w:color w:val="000000"/>
                <w:szCs w:val="21"/>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确保河流水质达标</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9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市政府满意</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4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2.44</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92.44</w:t>
            </w:r>
          </w:p>
        </w:tc>
      </w:tr>
    </w:tbl>
    <w:p/>
    <w:p>
      <w:pPr>
        <w:rPr>
          <w:lang w:val="en-US" w:eastAsia="zh-CN"/>
        </w:rPr>
      </w:pPr>
    </w:p>
    <w:p>
      <w:pPr>
        <w:pStyle w:val="2"/>
        <w:rPr>
          <w:lang w:val="en-US" w:eastAsia="zh-CN"/>
        </w:rPr>
      </w:pPr>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排污许可证核发2021</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color w:val="000000"/>
              </w:rPr>
            </w:pPr>
            <w:r>
              <w:rPr>
                <w:rFonts w:hint="eastAsia" w:ascii="宋体" w:hAnsi="宋体" w:cs="宋体"/>
                <w:color w:val="000000"/>
                <w:szCs w:val="21"/>
              </w:rPr>
              <w:t>抚顺市生态环境局</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 月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12.12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12.12</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11</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0.9075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12.12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12.12</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11</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kern w:val="0"/>
                <w:szCs w:val="21"/>
              </w:rPr>
              <w:t>按照国家和省里的要求完成规定申报企业的排污许可核证核发。</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完成全部需要核发的排污许可证共计213个。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213</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家</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213</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 w:val="15"/>
                <w:szCs w:val="15"/>
              </w:rPr>
              <w:t>实现对固定污染源系统化、科学化、法治化、精细化、信息化的“一证式”管理。</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全部达成预期指标</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核发企业满意度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213</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99</w:t>
            </w:r>
          </w:p>
        </w:tc>
      </w:tr>
    </w:tbl>
    <w:p>
      <w:pPr>
        <w:rPr>
          <w:lang w:val="en-US" w:eastAsia="zh-CN"/>
        </w:rPr>
      </w:pPr>
    </w:p>
    <w:p>
      <w:pPr>
        <w:pStyle w:val="2"/>
        <w:rPr>
          <w:lang w:val="en-US" w:eastAsia="zh-CN"/>
        </w:rPr>
      </w:pPr>
    </w:p>
    <w:p>
      <w:pPr>
        <w:rPr>
          <w:lang w:val="en-US" w:eastAsia="zh-CN"/>
        </w:rPr>
      </w:pPr>
    </w:p>
    <w:p>
      <w:pPr>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3"/>
        <w:tblW w:w="9276" w:type="dxa"/>
        <w:jc w:val="center"/>
        <w:tblLayout w:type="fixed"/>
        <w:tblCellMar>
          <w:top w:w="0" w:type="dxa"/>
          <w:left w:w="0" w:type="dxa"/>
          <w:bottom w:w="0" w:type="dxa"/>
          <w:right w:w="0" w:type="dxa"/>
        </w:tblCellMar>
      </w:tblPr>
      <w:tblGrid>
        <w:gridCol w:w="379"/>
        <w:gridCol w:w="400"/>
        <w:gridCol w:w="584"/>
        <w:gridCol w:w="650"/>
        <w:gridCol w:w="700"/>
        <w:gridCol w:w="673"/>
        <w:gridCol w:w="315"/>
        <w:gridCol w:w="585"/>
        <w:gridCol w:w="277"/>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top w:val="nil"/>
              <w:left w:val="nil"/>
              <w:bottom w:val="single" w:color="auto" w:sz="4" w:space="0"/>
              <w:right w:val="nil"/>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市本级预算项目（政策）绩效目标自评表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（2021年度）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突发环境事件处置2021</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抚顺市生态环境局</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rPr>
                <w:color w:val="000000"/>
              </w:rPr>
            </w:pPr>
            <w:r>
              <w:rPr>
                <w:rFonts w:hint="eastAsia"/>
                <w:color w:val="000000"/>
              </w:rPr>
              <w:t>监测执法应急科</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kern w:val="0"/>
                <w:szCs w:val="21"/>
              </w:rPr>
              <w:t>2021年1月  -2021年12月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年初</w:t>
            </w:r>
          </w:p>
          <w:p>
            <w:pPr>
              <w:jc w:val="center"/>
            </w:pPr>
            <w:r>
              <w:rPr>
                <w:rFonts w:hint="eastAsia"/>
              </w:rPr>
              <w:t>预算数</w:t>
            </w: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全年预算数（</w:t>
            </w:r>
            <w:r>
              <w:t>A</w:t>
            </w:r>
            <w:r>
              <w:rPr>
                <w:rFonts w:hint="eastAsia"/>
              </w:rPr>
              <w:t>）</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w:t>
            </w:r>
            <w:r>
              <w:t>B</w:t>
            </w:r>
            <w:r>
              <w:rPr>
                <w:rFonts w:hint="eastAsia"/>
              </w:rPr>
              <w:t>）</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w:t>
            </w:r>
            <w:r>
              <w:t>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得分</w:t>
            </w:r>
          </w:p>
          <w:p>
            <w:pPr>
              <w:jc w:val="center"/>
            </w:pPr>
            <w:r>
              <w:rPr>
                <w:rFonts w:hint="eastAsia"/>
              </w:rPr>
              <w:t>（分值</w:t>
            </w:r>
            <w:r>
              <w:t>*B/A</w:t>
            </w:r>
            <w:r>
              <w:rPr>
                <w:rFonts w:hint="eastAsia"/>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2.24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11.2%</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1.12</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color w:val="000000"/>
              </w:rPr>
            </w:pPr>
            <w:r>
              <w:rPr>
                <w:rFonts w:hint="eastAsia" w:ascii="宋体" w:hAnsi="宋体" w:cs="宋体"/>
                <w:color w:val="000000"/>
                <w:kern w:val="0"/>
                <w:szCs w:val="21"/>
              </w:rPr>
              <w:t>其中：财政拨款收入</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　</w:t>
            </w: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2.24</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11.2%</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中央提前告知转移支付资金</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纳入预算管理的行政事业性收费等非税收入</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纳入政府性基金预算管理收入</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纳入专户管理的行政事业性收费等非税收入</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上年结转</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338"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pPr>
            <w:r>
              <w:rPr>
                <w:rFonts w:hint="eastAsia" w:ascii="宋体" w:hAnsi="宋体" w:cs="宋体"/>
                <w:kern w:val="0"/>
                <w:szCs w:val="21"/>
              </w:rPr>
              <w:t>其他收入</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9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kern w:val="0"/>
                <w:szCs w:val="21"/>
              </w:rPr>
              <w:t>目标1：完成信访等监测。</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ascii="宋体" w:hAnsi="宋体" w:cs="宋体"/>
                <w:color w:val="000000"/>
                <w:kern w:val="0"/>
                <w:szCs w:val="21"/>
              </w:rPr>
            </w:pPr>
            <w:r>
              <w:rPr>
                <w:rFonts w:hint="eastAsia" w:ascii="宋体" w:hAnsi="宋体" w:cs="宋体"/>
                <w:color w:val="000000"/>
                <w:szCs w:val="21"/>
              </w:rPr>
              <w:t>按局内相关部门申请开展生态环境领域信访监测</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kern w:val="0"/>
                <w:szCs w:val="21"/>
              </w:rPr>
              <w:t>目标2：完成应急物资储备。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ascii="宋体" w:hAnsi="宋体" w:cs="宋体"/>
                <w:color w:val="000000"/>
                <w:kern w:val="0"/>
                <w:szCs w:val="21"/>
              </w:rPr>
            </w:pPr>
            <w:r>
              <w:rPr>
                <w:rFonts w:hint="eastAsia" w:ascii="宋体" w:hAnsi="宋体" w:cs="宋体"/>
                <w:color w:val="000000"/>
                <w:kern w:val="0"/>
                <w:szCs w:val="21"/>
              </w:rPr>
              <w:t>未发生需要采购物资的</w:t>
            </w:r>
            <w:r>
              <w:rPr>
                <w:rFonts w:hint="eastAsia" w:ascii="宋体" w:hAnsi="宋体" w:cs="宋体"/>
                <w:color w:val="000000"/>
                <w:szCs w:val="21"/>
              </w:rPr>
              <w:t>生态环境领域</w:t>
            </w:r>
            <w:r>
              <w:rPr>
                <w:rFonts w:hint="eastAsia" w:ascii="宋体" w:hAnsi="宋体" w:cs="宋体"/>
                <w:color w:val="000000"/>
                <w:kern w:val="0"/>
                <w:szCs w:val="21"/>
              </w:rPr>
              <w:t>突发应急事件</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ascii="宋体" w:hAnsi="宋体" w:cs="宋体"/>
                <w:color w:val="000000"/>
                <w:kern w:val="0"/>
                <w:szCs w:val="21"/>
              </w:rPr>
              <w:t>目标3：完成环境事件调查评估处置。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ascii="宋体" w:hAnsi="宋体" w:cs="宋体"/>
                <w:color w:val="000000"/>
                <w:kern w:val="0"/>
                <w:szCs w:val="21"/>
              </w:rPr>
            </w:pPr>
            <w:r>
              <w:rPr>
                <w:rFonts w:hint="eastAsia" w:ascii="宋体" w:hAnsi="宋体" w:cs="宋体"/>
                <w:color w:val="000000"/>
                <w:kern w:val="0"/>
                <w:szCs w:val="21"/>
              </w:rPr>
              <w:t>未发生需要调查评估的</w:t>
            </w:r>
            <w:r>
              <w:rPr>
                <w:rFonts w:hint="eastAsia" w:ascii="宋体" w:hAnsi="宋体" w:cs="宋体"/>
                <w:color w:val="000000"/>
                <w:szCs w:val="21"/>
              </w:rPr>
              <w:t>生态环境领域</w:t>
            </w:r>
            <w:r>
              <w:rPr>
                <w:rFonts w:hint="eastAsia" w:ascii="宋体" w:hAnsi="宋体" w:cs="宋体"/>
                <w:color w:val="000000"/>
                <w:kern w:val="0"/>
                <w:szCs w:val="21"/>
              </w:rPr>
              <w:t>突发应急事件</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三级</w:t>
            </w:r>
          </w:p>
          <w:p>
            <w:pPr>
              <w:jc w:val="center"/>
              <w:rPr>
                <w:color w:val="000000"/>
              </w:rPr>
            </w:pPr>
            <w:r>
              <w:rPr>
                <w:rFonts w:hint="eastAsia"/>
                <w:color w:val="000000"/>
              </w:rPr>
              <w:t>指标</w:t>
            </w:r>
          </w:p>
        </w:tc>
        <w:tc>
          <w:tcPr>
            <w:tcW w:w="168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color w:val="000000"/>
              </w:rPr>
            </w:pPr>
            <w:r>
              <w:rPr>
                <w:rFonts w:hint="eastAsia"/>
                <w:color w:val="000000"/>
              </w:rPr>
              <w:t>目标值</w:t>
            </w:r>
          </w:p>
        </w:tc>
        <w:tc>
          <w:tcPr>
            <w:tcW w:w="58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w:t>
            </w:r>
          </w:p>
          <w:p>
            <w:pPr>
              <w:jc w:val="center"/>
              <w:rPr>
                <w:color w:val="000000"/>
              </w:rPr>
            </w:pPr>
            <w:r>
              <w:rPr>
                <w:rFonts w:hint="eastAsia"/>
                <w:color w:val="000000"/>
              </w:rPr>
              <w:t>完成值</w:t>
            </w:r>
          </w:p>
        </w:tc>
        <w:tc>
          <w:tcPr>
            <w:tcW w:w="27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改进</w:t>
            </w:r>
          </w:p>
          <w:p>
            <w:pPr>
              <w:jc w:val="center"/>
              <w:rPr>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运算</w:t>
            </w:r>
          </w:p>
          <w:p>
            <w:pPr>
              <w:jc w:val="center"/>
              <w:rPr>
                <w:color w:val="000000"/>
              </w:rPr>
            </w:pPr>
            <w:r>
              <w:rPr>
                <w:rFonts w:hint="eastAsia"/>
                <w:color w:val="000000"/>
              </w:rPr>
              <w:t>符号</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内容</w:t>
            </w: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度量单位</w:t>
            </w: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r>
              <w:rPr>
                <w:rFonts w:hint="eastAsia"/>
                <w:color w:val="000000"/>
              </w:rPr>
              <w:t>产出</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283"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及时将局内相关部门提出的监测计划发至监测机构，开展开展生态环境领域信访监测</w:t>
            </w: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及时</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及时发送计划</w:t>
            </w: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监测经费使用上一年度结余资金，导致本年度资金未全部使用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5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3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23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2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color w:val="000000"/>
              </w:rPr>
            </w:pPr>
            <w:r>
              <w:rPr>
                <w:rFonts w:hint="eastAsia"/>
                <w:color w:val="000000"/>
              </w:rPr>
              <w:t>指标</w:t>
            </w:r>
          </w:p>
          <w:p>
            <w:pPr>
              <w:jc w:val="cente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19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10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63"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监测机构及时出具监测报告，局内相关部门用以化解生态环境领域信访诉求。</w:t>
            </w: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及时</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局内相关部门用以化解生态环境领域信访诉求。</w:t>
            </w: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监测经费使用上一年度结余资金，导致本年度资金未全部使用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收到报告后第一时间发至局内相关部门</w:t>
            </w: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及时</w:t>
            </w: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ascii="宋体" w:hAnsi="宋体" w:cs="宋体"/>
                <w:color w:val="000000"/>
                <w:szCs w:val="21"/>
              </w:rPr>
              <w:t>局内相关部门满意</w:t>
            </w: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w:t>
            </w: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监测经费使用上一年度结余资金，导致本年度资金未全部使用</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color w:val="000000"/>
              </w:rPr>
            </w:pP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2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产出、效益、满意度指标自评得分小计</w:t>
            </w:r>
          </w:p>
          <w:p>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预算执行率得分</w:t>
            </w:r>
          </w:p>
          <w:p>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1.12</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91.12</w:t>
            </w:r>
          </w:p>
        </w:tc>
      </w:tr>
    </w:tbl>
    <w:p>
      <w:pPr>
        <w:spacing w:line="584" w:lineRule="exact"/>
        <w:jc w:val="center"/>
        <w:rPr>
          <w:rFonts w:ascii="宋体" w:hAnsi="宋体" w:cs="宋体"/>
          <w:b/>
          <w:bCs/>
          <w:color w:val="000000"/>
          <w:sz w:val="44"/>
          <w:szCs w:val="44"/>
        </w:rPr>
      </w:pPr>
    </w:p>
    <w:p>
      <w:pPr>
        <w:pStyle w:val="2"/>
        <w:rPr>
          <w:lang w:val="en-US" w:eastAsia="zh-CN"/>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jA0MjkwMGQwMzAwN2RiZWJjMmRhMmQ1NGNhOGUifQ=="/>
  </w:docVars>
  <w:rsids>
    <w:rsidRoot w:val="00000000"/>
    <w:rsid w:val="02F8585F"/>
    <w:rsid w:val="050D2A9B"/>
    <w:rsid w:val="10207B26"/>
    <w:rsid w:val="102477FF"/>
    <w:rsid w:val="133815F1"/>
    <w:rsid w:val="14DD2751"/>
    <w:rsid w:val="169F1079"/>
    <w:rsid w:val="23BB026B"/>
    <w:rsid w:val="27B04961"/>
    <w:rsid w:val="2E6E5AA9"/>
    <w:rsid w:val="34A73AC3"/>
    <w:rsid w:val="35CC5C10"/>
    <w:rsid w:val="39126BE2"/>
    <w:rsid w:val="3F7B2E16"/>
    <w:rsid w:val="4EA5521A"/>
    <w:rsid w:val="565B0081"/>
    <w:rsid w:val="5875460E"/>
    <w:rsid w:val="59232E69"/>
    <w:rsid w:val="61DF5169"/>
    <w:rsid w:val="631C2C21"/>
    <w:rsid w:val="63C94F54"/>
    <w:rsid w:val="65C07C91"/>
    <w:rsid w:val="6DD93FE6"/>
    <w:rsid w:val="6FBB32A8"/>
    <w:rsid w:val="739804D5"/>
    <w:rsid w:val="743469A4"/>
    <w:rsid w:val="782718FA"/>
    <w:rsid w:val="7A3B1E56"/>
    <w:rsid w:val="7E4A7106"/>
    <w:rsid w:val="7F5A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adjustRightInd w:val="0"/>
      <w:spacing w:line="360" w:lineRule="auto"/>
      <w:ind w:firstLine="420"/>
      <w:jc w:val="left"/>
    </w:pPr>
    <w:rPr>
      <w:rFonts w:ascii="宋体" w:hAnsi="宋体"/>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2022-08-18T04:14:26Z</dcterms:created>
  <dc:creator>Administrator</dc:creator>
  <cp:lastModifiedBy>Thorn °夏瑾</cp:lastModifiedBy>
  <dcterms:modified xsi:type="dcterms:W3CDTF">2022-08-18T04:20:18Z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2C0E551B4DE54F48923A058CC52D5414</vt:lpwstr>
  </property>
</Properties>
</file>