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14" w:type="dxa"/>
        <w:jc w:val="center"/>
        <w:tblInd w:w="0" w:type="dxa"/>
        <w:tblLayout w:type="fixed"/>
        <w:tblCellMar>
          <w:top w:w="0" w:type="dxa"/>
          <w:left w:w="0" w:type="dxa"/>
          <w:bottom w:w="0" w:type="dxa"/>
          <w:right w:w="0" w:type="dxa"/>
        </w:tblCellMar>
      </w:tblPr>
      <w:tblGrid>
        <w:gridCol w:w="708"/>
        <w:gridCol w:w="533"/>
        <w:gridCol w:w="688"/>
        <w:gridCol w:w="615"/>
        <w:gridCol w:w="473"/>
        <w:gridCol w:w="474"/>
        <w:gridCol w:w="477"/>
        <w:gridCol w:w="523"/>
        <w:gridCol w:w="350"/>
        <w:gridCol w:w="358"/>
        <w:gridCol w:w="144"/>
        <w:gridCol w:w="176"/>
        <w:gridCol w:w="325"/>
        <w:gridCol w:w="551"/>
        <w:gridCol w:w="502"/>
        <w:gridCol w:w="468"/>
        <w:gridCol w:w="264"/>
        <w:gridCol w:w="63"/>
        <w:gridCol w:w="168"/>
        <w:gridCol w:w="616"/>
        <w:gridCol w:w="323"/>
        <w:gridCol w:w="255"/>
        <w:gridCol w:w="660"/>
      </w:tblGrid>
      <w:tr>
        <w:tblPrEx>
          <w:tblLayout w:type="fixed"/>
          <w:tblCellMar>
            <w:top w:w="0" w:type="dxa"/>
            <w:left w:w="0" w:type="dxa"/>
            <w:bottom w:w="0" w:type="dxa"/>
            <w:right w:w="0" w:type="dxa"/>
          </w:tblCellMar>
        </w:tblPrEx>
        <w:trPr>
          <w:gridAfter w:val="1"/>
          <w:wAfter w:w="660" w:type="dxa"/>
          <w:trHeight w:val="402" w:hRule="atLeast"/>
          <w:jc w:val="center"/>
        </w:trPr>
        <w:tc>
          <w:tcPr>
            <w:tcW w:w="9054" w:type="dxa"/>
            <w:gridSpan w:val="22"/>
            <w:tcBorders>
              <w:top w:val="nil"/>
              <w:left w:val="nil"/>
              <w:bottom w:val="nil"/>
              <w:right w:val="nil"/>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b/>
                <w:bCs/>
                <w:color w:val="000000"/>
                <w:sz w:val="44"/>
                <w:szCs w:val="44"/>
                <w:lang w:val="en-US" w:eastAsia="zh-CN"/>
              </w:rPr>
              <w:t>2021年抚顺市住房公积金管理中心</w:t>
            </w:r>
            <w:r>
              <w:rPr>
                <w:rFonts w:hint="eastAsia"/>
                <w:b/>
                <w:bCs/>
                <w:color w:val="000000"/>
                <w:sz w:val="44"/>
                <w:szCs w:val="44"/>
              </w:rPr>
              <w:t>整体绩效自评表</w:t>
            </w:r>
          </w:p>
        </w:tc>
      </w:tr>
      <w:tr>
        <w:tblPrEx>
          <w:tblLayout w:type="fixed"/>
          <w:tblCellMar>
            <w:top w:w="0" w:type="dxa"/>
            <w:left w:w="0" w:type="dxa"/>
            <w:bottom w:w="0" w:type="dxa"/>
            <w:right w:w="0" w:type="dxa"/>
          </w:tblCellMar>
        </w:tblPrEx>
        <w:trPr>
          <w:gridAfter w:val="1"/>
          <w:wAfter w:w="660" w:type="dxa"/>
          <w:trHeight w:val="402" w:hRule="atLeast"/>
          <w:jc w:val="center"/>
        </w:trPr>
        <w:tc>
          <w:tcPr>
            <w:tcW w:w="9054" w:type="dxa"/>
            <w:gridSpan w:val="22"/>
            <w:tcBorders>
              <w:top w:val="nil"/>
              <w:left w:val="nil"/>
              <w:bottom w:val="single" w:color="auto" w:sz="4" w:space="0"/>
              <w:right w:val="nil"/>
            </w:tcBorders>
            <w:tcMar>
              <w:top w:w="15" w:type="dxa"/>
              <w:left w:w="15" w:type="dxa"/>
              <w:bottom w:w="0" w:type="dxa"/>
              <w:right w:w="15" w:type="dxa"/>
            </w:tcMar>
            <w:vAlign w:val="center"/>
          </w:tcPr>
          <w:p>
            <w:pPr>
              <w:spacing w:line="560" w:lineRule="exact"/>
              <w:jc w:val="left"/>
              <w:rPr>
                <w:rFonts w:hint="eastAsia" w:ascii="宋体" w:hAnsi="宋体" w:cs="宋体"/>
                <w:color w:val="000000"/>
                <w:kern w:val="0"/>
                <w:sz w:val="22"/>
                <w:szCs w:val="22"/>
              </w:rPr>
            </w:pPr>
          </w:p>
        </w:tc>
      </w:tr>
      <w:tr>
        <w:tblPrEx>
          <w:tblLayout w:type="fixed"/>
          <w:tblCellMar>
            <w:top w:w="0" w:type="dxa"/>
            <w:left w:w="0" w:type="dxa"/>
            <w:bottom w:w="0" w:type="dxa"/>
            <w:right w:w="0" w:type="dxa"/>
          </w:tblCellMar>
        </w:tblPrEx>
        <w:trPr>
          <w:gridAfter w:val="1"/>
          <w:wAfter w:w="660" w:type="dxa"/>
          <w:trHeight w:val="402" w:hRule="atLeast"/>
          <w:jc w:val="center"/>
        </w:trPr>
        <w:tc>
          <w:tcPr>
            <w:tcW w:w="192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color w:val="000000"/>
                <w:sz w:val="22"/>
                <w:szCs w:val="22"/>
              </w:rPr>
            </w:pPr>
            <w:r>
              <w:rPr>
                <w:rFonts w:hint="eastAsia" w:ascii="宋体" w:hAnsi="宋体" w:cs="宋体"/>
                <w:color w:val="000000"/>
                <w:kern w:val="0"/>
                <w:szCs w:val="21"/>
              </w:rPr>
              <w:t>部门（单位）名称</w:t>
            </w:r>
          </w:p>
        </w:tc>
        <w:tc>
          <w:tcPr>
            <w:tcW w:w="7125"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sz w:val="22"/>
                <w:szCs w:val="22"/>
              </w:rPr>
            </w:pPr>
            <w:r>
              <w:rPr>
                <w:rFonts w:hint="eastAsia" w:ascii="宋体" w:hAnsi="宋体" w:cs="宋体"/>
                <w:color w:val="000000"/>
                <w:kern w:val="0"/>
                <w:szCs w:val="21"/>
              </w:rPr>
              <w:t>　</w:t>
            </w:r>
          </w:p>
          <w:p>
            <w:pPr>
              <w:widowControl/>
              <w:jc w:val="center"/>
              <w:rPr>
                <w:rFonts w:hint="eastAsia"/>
                <w:color w:val="000000"/>
                <w:sz w:val="22"/>
                <w:szCs w:val="22"/>
              </w:rPr>
            </w:pPr>
            <w:r>
              <w:rPr>
                <w:rFonts w:hint="eastAsia" w:ascii="宋体" w:hAnsi="宋体" w:cs="宋体"/>
                <w:color w:val="000000"/>
                <w:kern w:val="0"/>
                <w:szCs w:val="21"/>
                <w:lang w:eastAsia="zh-CN"/>
              </w:rPr>
              <w:t>抚顺市住房公积金管理中心</w:t>
            </w:r>
            <w:r>
              <w:rPr>
                <w:rFonts w:hint="eastAsia" w:ascii="宋体" w:hAnsi="宋体" w:cs="宋体"/>
                <w:color w:val="000000"/>
                <w:kern w:val="0"/>
                <w:szCs w:val="21"/>
              </w:rPr>
              <w:t>　</w:t>
            </w:r>
          </w:p>
        </w:tc>
      </w:tr>
      <w:tr>
        <w:tblPrEx>
          <w:tblLayout w:type="fixed"/>
          <w:tblCellMar>
            <w:top w:w="0" w:type="dxa"/>
            <w:left w:w="0" w:type="dxa"/>
            <w:bottom w:w="0" w:type="dxa"/>
            <w:right w:w="0" w:type="dxa"/>
          </w:tblCellMar>
        </w:tblPrEx>
        <w:trPr>
          <w:gridAfter w:val="1"/>
          <w:wAfter w:w="660" w:type="dxa"/>
          <w:trHeight w:val="402" w:hRule="atLeast"/>
          <w:jc w:val="center"/>
        </w:trPr>
        <w:tc>
          <w:tcPr>
            <w:tcW w:w="192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部门（单位）</w:t>
            </w:r>
          </w:p>
          <w:p>
            <w:pPr>
              <w:widowControl/>
              <w:jc w:val="center"/>
              <w:rPr>
                <w:rFonts w:hint="eastAsia"/>
                <w:color w:val="000000"/>
                <w:sz w:val="22"/>
                <w:szCs w:val="22"/>
              </w:rPr>
            </w:pPr>
            <w:r>
              <w:rPr>
                <w:rFonts w:hint="eastAsia" w:ascii="宋体" w:hAnsi="宋体" w:cs="宋体"/>
                <w:color w:val="000000"/>
                <w:kern w:val="0"/>
                <w:szCs w:val="21"/>
              </w:rPr>
              <w:t>财政供养人员数量</w:t>
            </w:r>
          </w:p>
        </w:tc>
        <w:tc>
          <w:tcPr>
            <w:tcW w:w="4466"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sz w:val="22"/>
                <w:szCs w:val="22"/>
              </w:rPr>
            </w:pPr>
            <w:r>
              <w:rPr>
                <w:rFonts w:hint="eastAsia" w:ascii="宋体" w:hAnsi="宋体" w:cs="宋体"/>
                <w:color w:val="000000"/>
                <w:kern w:val="0"/>
                <w:szCs w:val="21"/>
                <w:lang w:val="en-US" w:eastAsia="zh-CN"/>
              </w:rPr>
              <w:t>44</w:t>
            </w:r>
            <w:r>
              <w:rPr>
                <w:rFonts w:hint="eastAsia" w:ascii="宋体" w:hAnsi="宋体" w:cs="宋体"/>
                <w:color w:val="000000"/>
                <w:kern w:val="0"/>
                <w:szCs w:val="21"/>
              </w:rPr>
              <w:t>　</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所属单位数量（仅部门填列）</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color w:val="000000"/>
                <w:sz w:val="22"/>
                <w:szCs w:val="22"/>
              </w:rPr>
            </w:pPr>
            <w:r>
              <w:rPr>
                <w:rFonts w:hint="eastAsia" w:ascii="宋体" w:hAnsi="宋体" w:cs="宋体"/>
                <w:color w:val="000000"/>
                <w:kern w:val="0"/>
                <w:szCs w:val="21"/>
              </w:rPr>
              <w:t>　</w:t>
            </w:r>
            <w:r>
              <w:rPr>
                <w:rFonts w:hint="eastAsia" w:ascii="宋体" w:hAnsi="宋体" w:cs="宋体"/>
                <w:color w:val="000000"/>
                <w:kern w:val="0"/>
                <w:szCs w:val="21"/>
                <w:lang w:val="en-US" w:eastAsia="zh-CN"/>
              </w:rPr>
              <w:t>1</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r>
              <w:rPr>
                <w:rFonts w:hint="eastAsia" w:ascii="宋体" w:hAnsi="宋体" w:cs="宋体"/>
                <w:color w:val="000000"/>
                <w:kern w:val="0"/>
                <w:szCs w:val="21"/>
              </w:rPr>
              <w:t>年度部门（单位）整体收支情况               （万元）</w:t>
            </w: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宋体" w:hAnsi="宋体" w:cs="宋体"/>
                <w:color w:val="000000"/>
                <w:szCs w:val="21"/>
              </w:rPr>
              <w:t>名 称</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年初</w:t>
            </w:r>
          </w:p>
          <w:p>
            <w:pPr>
              <w:jc w:val="center"/>
              <w:rPr>
                <w:rFonts w:hint="eastAsia"/>
                <w:color w:val="000000"/>
                <w:sz w:val="22"/>
                <w:szCs w:val="22"/>
              </w:rPr>
            </w:pPr>
            <w:r>
              <w:rPr>
                <w:rFonts w:hint="eastAsia"/>
                <w:sz w:val="22"/>
                <w:szCs w:val="22"/>
              </w:rPr>
              <w:t>预算数</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全年</w:t>
            </w:r>
          </w:p>
          <w:p>
            <w:pPr>
              <w:jc w:val="center"/>
              <w:rPr>
                <w:rFonts w:hint="eastAsia"/>
                <w:color w:val="000000"/>
                <w:sz w:val="22"/>
                <w:szCs w:val="22"/>
              </w:rPr>
            </w:pPr>
            <w:r>
              <w:rPr>
                <w:rFonts w:hint="eastAsia"/>
                <w:sz w:val="22"/>
                <w:szCs w:val="22"/>
              </w:rPr>
              <w:t>预算数</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全年</w:t>
            </w:r>
          </w:p>
          <w:p>
            <w:pPr>
              <w:jc w:val="center"/>
              <w:rPr>
                <w:rFonts w:hint="eastAsia"/>
                <w:color w:val="000000"/>
                <w:sz w:val="22"/>
                <w:szCs w:val="22"/>
              </w:rPr>
            </w:pPr>
            <w:r>
              <w:rPr>
                <w:rFonts w:hint="eastAsia"/>
                <w:color w:val="000000"/>
                <w:sz w:val="22"/>
                <w:szCs w:val="22"/>
              </w:rPr>
              <w:t>执行数</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执行率</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hint="eastAsia" w:ascii="宋体" w:hAnsi="宋体" w:cs="宋体"/>
                <w:color w:val="000000"/>
                <w:szCs w:val="21"/>
              </w:rPr>
            </w:pPr>
            <w:r>
              <w:rPr>
                <w:rFonts w:hint="eastAsia" w:ascii="宋体" w:hAnsi="宋体" w:cs="宋体"/>
                <w:kern w:val="0"/>
                <w:szCs w:val="21"/>
              </w:rPr>
              <w:t>年度部门预算收入小计（1至7项）</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 xml:space="preserve">  1860.69</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1860.69</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1730.70</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93.01%</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1.财政拨款收入</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1663.87</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1663.87</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lang w:val="en-US" w:eastAsia="zh-CN"/>
              </w:rPr>
            </w:pPr>
            <w:r>
              <w:rPr>
                <w:rFonts w:hint="eastAsia"/>
                <w:color w:val="000000"/>
                <w:sz w:val="22"/>
                <w:szCs w:val="22"/>
                <w:lang w:val="en-US" w:eastAsia="zh-CN"/>
              </w:rPr>
              <w:t>1545.50</w:t>
            </w:r>
          </w:p>
          <w:p>
            <w:pPr>
              <w:jc w:val="center"/>
              <w:rPr>
                <w:rFonts w:hint="eastAsia"/>
                <w:color w:val="000000"/>
                <w:sz w:val="22"/>
                <w:szCs w:val="22"/>
                <w:lang w:val="en-US" w:eastAsia="zh-CN"/>
              </w:rPr>
            </w:pP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92.89%</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2.中央提前告知转移支付资金</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3.纳入预算管理的行政事业性收费等非税收入</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4.纳入政府性基金预算管理收入</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spacing w:val="-8"/>
                <w:kern w:val="0"/>
                <w:szCs w:val="21"/>
              </w:rPr>
              <w:t>5.纳入专户管理的行政事业性收费等非税收入</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6.上年结转</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196.21</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196.21</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185.20</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94.39%</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color w:val="000000"/>
                <w:szCs w:val="21"/>
              </w:rPr>
            </w:pPr>
            <w:r>
              <w:rPr>
                <w:rFonts w:hint="eastAsia" w:ascii="宋体" w:hAnsi="宋体" w:cs="宋体"/>
                <w:kern w:val="0"/>
                <w:szCs w:val="21"/>
              </w:rPr>
              <w:t>7.其他收入</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0.61</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0.61</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0</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0</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宋体" w:hAnsi="宋体" w:cs="宋体"/>
                <w:kern w:val="0"/>
                <w:szCs w:val="21"/>
              </w:rPr>
            </w:pPr>
            <w:r>
              <w:rPr>
                <w:rFonts w:hint="eastAsia" w:ascii="宋体" w:hAnsi="宋体" w:cs="宋体"/>
                <w:kern w:val="0"/>
                <w:szCs w:val="21"/>
              </w:rPr>
              <w:t>年度部门预算支出小计（一+二）</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1860.69</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1860.69</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1730.70</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93.01%</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一、基本支出（第1至4项小计）</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1039.32</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1039.32</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1048.10</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100.1%</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1.工资福利支出</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 xml:space="preserve"> 571.79</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571.79</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577.95</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101.07%</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2.商品和服务支出</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480.53</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480.53</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463.64</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96.48%</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3.对个人和家庭的补助</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6.39</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6.39</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6.51</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100.02%</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4.资本性支出</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二、项目支出（第1至2项小计）</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lang w:val="en-US" w:eastAsia="zh-CN"/>
              </w:rPr>
            </w:pPr>
            <w:r>
              <w:rPr>
                <w:rFonts w:hint="eastAsia"/>
                <w:color w:val="000000"/>
                <w:sz w:val="22"/>
                <w:szCs w:val="22"/>
                <w:lang w:val="en-US" w:eastAsia="zh-CN"/>
              </w:rPr>
              <w:t>821.37</w:t>
            </w:r>
          </w:p>
          <w:p>
            <w:pPr>
              <w:jc w:val="center"/>
              <w:rPr>
                <w:rFonts w:hint="eastAsia"/>
                <w:color w:val="000000"/>
                <w:sz w:val="22"/>
                <w:szCs w:val="22"/>
                <w:lang w:val="en-US" w:eastAsia="zh-CN"/>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821.37</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682.60</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83.10%</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1.履职保障类（部门经费类）项目支出</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669.03</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668.03</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558.33</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83.58%</w:t>
            </w:r>
          </w:p>
        </w:tc>
      </w:tr>
      <w:tr>
        <w:tblPrEx>
          <w:tblLayout w:type="fixed"/>
          <w:tblCellMar>
            <w:top w:w="0" w:type="dxa"/>
            <w:left w:w="0" w:type="dxa"/>
            <w:bottom w:w="0" w:type="dxa"/>
            <w:right w:w="0" w:type="dxa"/>
          </w:tblCellMar>
        </w:tblPrEx>
        <w:trPr>
          <w:gridAfter w:val="1"/>
          <w:wAfter w:w="660" w:type="dxa"/>
          <w:trHeight w:val="651"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413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22"/>
                <w:szCs w:val="22"/>
              </w:rPr>
            </w:pPr>
            <w:r>
              <w:rPr>
                <w:rFonts w:hint="eastAsia" w:ascii="宋体" w:hAnsi="宋体" w:cs="宋体"/>
                <w:kern w:val="0"/>
                <w:szCs w:val="21"/>
              </w:rPr>
              <w:t>2.事业发展类（专项资金类）项目支出</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153.34</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lang w:val="en-US" w:eastAsia="zh-CN"/>
              </w:rPr>
              <w:t>153.34</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124.27</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81.04%</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Cs w:val="21"/>
              </w:rPr>
              <w:t>年度主要任务</w:t>
            </w: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ascii="宋体" w:hAnsi="宋体" w:cs="宋体"/>
                <w:color w:val="000000"/>
                <w:kern w:val="0"/>
                <w:szCs w:val="21"/>
              </w:rPr>
              <w:t>工作名称</w:t>
            </w:r>
          </w:p>
        </w:tc>
        <w:tc>
          <w:tcPr>
            <w:tcW w:w="2297"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ascii="宋体" w:hAnsi="宋体" w:cs="宋体"/>
                <w:color w:val="000000"/>
                <w:kern w:val="0"/>
                <w:szCs w:val="21"/>
              </w:rPr>
              <w:t>对应项目</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年初</w:t>
            </w:r>
          </w:p>
          <w:p>
            <w:pPr>
              <w:jc w:val="center"/>
              <w:rPr>
                <w:rFonts w:hint="eastAsia"/>
                <w:sz w:val="22"/>
                <w:szCs w:val="22"/>
              </w:rPr>
            </w:pPr>
            <w:r>
              <w:rPr>
                <w:rFonts w:hint="eastAsia"/>
                <w:sz w:val="22"/>
                <w:szCs w:val="22"/>
              </w:rPr>
              <w:t>预算数</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全年</w:t>
            </w:r>
          </w:p>
          <w:p>
            <w:pPr>
              <w:jc w:val="center"/>
              <w:rPr>
                <w:rFonts w:hint="eastAsia"/>
                <w:sz w:val="22"/>
                <w:szCs w:val="22"/>
              </w:rPr>
            </w:pPr>
            <w:r>
              <w:rPr>
                <w:rFonts w:hint="eastAsia"/>
                <w:sz w:val="22"/>
                <w:szCs w:val="22"/>
              </w:rPr>
              <w:t>预算数</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sz w:val="22"/>
                <w:szCs w:val="22"/>
              </w:rPr>
            </w:pPr>
            <w:r>
              <w:rPr>
                <w:rFonts w:hint="eastAsia"/>
                <w:sz w:val="22"/>
                <w:szCs w:val="22"/>
              </w:rPr>
              <w:t>全年</w:t>
            </w:r>
          </w:p>
          <w:p>
            <w:pPr>
              <w:jc w:val="center"/>
              <w:rPr>
                <w:rFonts w:hint="eastAsia"/>
                <w:sz w:val="22"/>
                <w:szCs w:val="22"/>
              </w:rPr>
            </w:pPr>
            <w:r>
              <w:rPr>
                <w:rFonts w:hint="eastAsia"/>
                <w:sz w:val="22"/>
                <w:szCs w:val="22"/>
              </w:rPr>
              <w:t>执行数</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执行率</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kern w:val="0"/>
                <w:szCs w:val="21"/>
              </w:rPr>
            </w:pPr>
            <w:r>
              <w:rPr>
                <w:rFonts w:hint="eastAsia" w:ascii="宋体" w:hAnsi="宋体" w:cs="宋体"/>
                <w:color w:val="000000"/>
                <w:kern w:val="0"/>
                <w:szCs w:val="21"/>
              </w:rPr>
              <w:t>重点工作一</w:t>
            </w:r>
          </w:p>
        </w:tc>
        <w:tc>
          <w:tcPr>
            <w:tcW w:w="2297"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ascii="宋体" w:hAnsi="宋体" w:cs="宋体"/>
                <w:color w:val="000000"/>
                <w:szCs w:val="21"/>
                <w:lang w:val="en-US" w:eastAsia="zh-CN"/>
              </w:rPr>
              <w:t>科技信息费</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290</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462.03</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375.10</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81.19%</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kern w:val="0"/>
                <w:szCs w:val="21"/>
              </w:rPr>
            </w:pPr>
            <w:r>
              <w:rPr>
                <w:rFonts w:hint="eastAsia" w:ascii="宋体" w:hAnsi="宋体" w:cs="宋体"/>
                <w:color w:val="000000"/>
                <w:kern w:val="0"/>
                <w:szCs w:val="21"/>
              </w:rPr>
              <w:t>重点工作二</w:t>
            </w:r>
          </w:p>
        </w:tc>
        <w:tc>
          <w:tcPr>
            <w:tcW w:w="2297"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ascii="宋体" w:hAnsi="宋体" w:cs="宋体"/>
                <w:color w:val="000000"/>
                <w:szCs w:val="21"/>
                <w:lang w:eastAsia="zh-CN"/>
              </w:rPr>
              <w:t>公积金专项业务费</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128</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145.1</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121.86</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84.00%</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kern w:val="0"/>
                <w:szCs w:val="21"/>
              </w:rPr>
            </w:pPr>
            <w:r>
              <w:rPr>
                <w:rFonts w:hint="eastAsia" w:ascii="宋体" w:hAnsi="宋体" w:cs="宋体"/>
                <w:color w:val="000000"/>
                <w:kern w:val="0"/>
                <w:szCs w:val="21"/>
              </w:rPr>
              <w:t>重点工作</w:t>
            </w:r>
            <w:r>
              <w:rPr>
                <w:rFonts w:hint="eastAsia" w:ascii="宋体" w:hAnsi="宋体" w:cs="宋体"/>
                <w:color w:val="000000"/>
                <w:kern w:val="0"/>
                <w:szCs w:val="21"/>
                <w:lang w:eastAsia="zh-CN"/>
              </w:rPr>
              <w:t>三</w:t>
            </w:r>
          </w:p>
        </w:tc>
        <w:tc>
          <w:tcPr>
            <w:tcW w:w="2297"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ascii="宋体" w:hAnsi="宋体" w:cs="宋体"/>
                <w:color w:val="000000"/>
                <w:szCs w:val="21"/>
                <w:lang w:eastAsia="zh-CN"/>
              </w:rPr>
              <w:t>抵贷资产相关费用</w:t>
            </w: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7</w:t>
            </w: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8.19</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2.41</w:t>
            </w: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29.43%</w:t>
            </w: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r>
              <w:rPr>
                <w:rFonts w:hint="eastAsia"/>
                <w:color w:val="000000"/>
                <w:sz w:val="22"/>
                <w:szCs w:val="22"/>
              </w:rPr>
              <w:t>合计</w:t>
            </w:r>
          </w:p>
        </w:tc>
        <w:tc>
          <w:tcPr>
            <w:tcW w:w="2297"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kern w:val="0"/>
                <w:szCs w:val="21"/>
              </w:rPr>
            </w:pPr>
          </w:p>
        </w:tc>
        <w:tc>
          <w:tcPr>
            <w:tcW w:w="6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8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4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r>
      <w:tr>
        <w:tblPrEx>
          <w:tblLayout w:type="fixed"/>
          <w:tblCellMar>
            <w:top w:w="0" w:type="dxa"/>
            <w:left w:w="0" w:type="dxa"/>
            <w:bottom w:w="0" w:type="dxa"/>
            <w:right w:w="0" w:type="dxa"/>
          </w:tblCellMar>
        </w:tblPrEx>
        <w:trPr>
          <w:gridAfter w:val="1"/>
          <w:wAfter w:w="660"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年度绩效目标　</w:t>
            </w: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年初设定</w:t>
            </w:r>
          </w:p>
          <w:p>
            <w:pPr>
              <w:jc w:val="center"/>
              <w:rPr>
                <w:rFonts w:hint="eastAsia"/>
                <w:color w:val="000000"/>
                <w:sz w:val="22"/>
                <w:szCs w:val="22"/>
              </w:rPr>
            </w:pPr>
            <w:r>
              <w:rPr>
                <w:rFonts w:hint="eastAsia"/>
                <w:color w:val="000000"/>
                <w:sz w:val="22"/>
                <w:szCs w:val="22"/>
              </w:rPr>
              <w:t>目标</w:t>
            </w:r>
          </w:p>
        </w:tc>
        <w:tc>
          <w:tcPr>
            <w:tcW w:w="6510"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全年完成情况</w:t>
            </w:r>
          </w:p>
        </w:tc>
      </w:tr>
      <w:tr>
        <w:tblPrEx>
          <w:tblLayout w:type="fixed"/>
          <w:tblCellMar>
            <w:top w:w="0" w:type="dxa"/>
            <w:left w:w="0" w:type="dxa"/>
            <w:bottom w:w="0" w:type="dxa"/>
            <w:right w:w="0" w:type="dxa"/>
          </w:tblCellMar>
        </w:tblPrEx>
        <w:trPr>
          <w:gridAfter w:val="1"/>
          <w:wAfter w:w="660" w:type="dxa"/>
          <w:trHeight w:val="43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color w:val="000000"/>
                <w:sz w:val="22"/>
                <w:szCs w:val="22"/>
              </w:rPr>
            </w:pPr>
            <w:r>
              <w:rPr>
                <w:rFonts w:hint="eastAsia" w:ascii="宋体" w:hAnsi="宋体" w:cs="宋体"/>
                <w:color w:val="000000"/>
                <w:kern w:val="0"/>
                <w:sz w:val="13"/>
                <w:szCs w:val="13"/>
              </w:rPr>
              <w:t>目标1：202</w:t>
            </w:r>
            <w:r>
              <w:rPr>
                <w:rFonts w:hint="eastAsia" w:ascii="宋体" w:hAnsi="宋体" w:cs="宋体"/>
                <w:color w:val="000000"/>
                <w:kern w:val="0"/>
                <w:sz w:val="13"/>
                <w:szCs w:val="13"/>
                <w:lang w:val="en-US" w:eastAsia="zh-CN"/>
              </w:rPr>
              <w:t>1</w:t>
            </w:r>
            <w:r>
              <w:rPr>
                <w:rFonts w:hint="eastAsia" w:ascii="宋体" w:hAnsi="宋体" w:cs="宋体"/>
                <w:color w:val="000000"/>
                <w:kern w:val="0"/>
                <w:sz w:val="13"/>
                <w:szCs w:val="13"/>
              </w:rPr>
              <w:t>年在预算资金控制内保证公积金中心正常运转，贯彻执行有关住房公积金的管理的法律和政策，继续高质量完成我市职工住房公积金的归集、提取等工作。</w:t>
            </w:r>
          </w:p>
        </w:tc>
        <w:tc>
          <w:tcPr>
            <w:tcW w:w="6510"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color w:val="000000"/>
                <w:sz w:val="22"/>
                <w:szCs w:val="22"/>
              </w:rPr>
            </w:pPr>
            <w:r>
              <w:rPr>
                <w:rFonts w:hint="eastAsia" w:ascii="宋体" w:hAnsi="宋体" w:cs="宋体"/>
                <w:color w:val="000000"/>
                <w:szCs w:val="21"/>
                <w:lang w:eastAsia="zh-CN"/>
              </w:rPr>
              <w:t>我单位</w:t>
            </w:r>
            <w:r>
              <w:rPr>
                <w:rFonts w:hint="eastAsia" w:ascii="宋体" w:hAnsi="宋体" w:cs="宋体"/>
                <w:color w:val="000000"/>
                <w:szCs w:val="21"/>
                <w:lang w:val="en-US" w:eastAsia="zh-CN"/>
              </w:rPr>
              <w:t>2021年在预算资金控制内有条不紊的进行本市职工公积金提取和贷款工作，深入</w:t>
            </w:r>
            <w:r>
              <w:rPr>
                <w:rFonts w:hint="eastAsia" w:ascii="宋体" w:hAnsi="宋体" w:cs="宋体"/>
                <w:color w:val="000000"/>
                <w:kern w:val="0"/>
                <w:szCs w:val="21"/>
              </w:rPr>
              <w:t>贯彻执行有关住房公积金的管理的法律和政策</w:t>
            </w:r>
            <w:r>
              <w:rPr>
                <w:rFonts w:hint="eastAsia" w:ascii="宋体" w:hAnsi="宋体" w:cs="宋体"/>
                <w:color w:val="000000"/>
                <w:kern w:val="0"/>
                <w:szCs w:val="21"/>
                <w:lang w:eastAsia="zh-CN"/>
              </w:rPr>
              <w:t>，不断推动公积金使用效率；进一步优化营商环境，提升服务质效。</w:t>
            </w:r>
          </w:p>
        </w:tc>
      </w:tr>
      <w:tr>
        <w:tblPrEx>
          <w:tblLayout w:type="fixed"/>
          <w:tblCellMar>
            <w:top w:w="0" w:type="dxa"/>
            <w:left w:w="0" w:type="dxa"/>
            <w:bottom w:w="0" w:type="dxa"/>
            <w:right w:w="0" w:type="dxa"/>
          </w:tblCellMar>
        </w:tblPrEx>
        <w:trPr>
          <w:gridAfter w:val="1"/>
          <w:wAfter w:w="660" w:type="dxa"/>
          <w:trHeight w:val="43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color w:val="000000"/>
                <w:sz w:val="22"/>
                <w:szCs w:val="22"/>
              </w:rPr>
            </w:pPr>
            <w:r>
              <w:rPr>
                <w:rFonts w:hint="eastAsia" w:ascii="宋体" w:hAnsi="宋体" w:cs="宋体"/>
                <w:color w:val="000000"/>
                <w:kern w:val="0"/>
                <w:sz w:val="15"/>
                <w:szCs w:val="15"/>
              </w:rPr>
              <w:t>目标2：对政务服务一体化平台不断完善，响应国家便民服务，不断提高我市居民对我单位服务的满意度。</w:t>
            </w:r>
          </w:p>
        </w:tc>
        <w:tc>
          <w:tcPr>
            <w:tcW w:w="6510"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宋体" w:hAnsi="宋体" w:cs="宋体"/>
                <w:color w:val="000000"/>
                <w:szCs w:val="21"/>
                <w:lang w:eastAsia="zh-CN"/>
              </w:rPr>
              <w:t>我单位</w:t>
            </w:r>
            <w:r>
              <w:rPr>
                <w:rFonts w:hint="eastAsia" w:ascii="宋体" w:hAnsi="宋体" w:cs="宋体"/>
                <w:color w:val="000000"/>
                <w:szCs w:val="21"/>
                <w:lang w:val="en-US" w:eastAsia="zh-CN"/>
              </w:rPr>
              <w:t>2021年不断完善一网通办项目建设，于年底开通跨省通办业务，仿版异地群众办理业务。对公积金信息管理系统进一步升级改造，持续响应国家便民服务，让群众少跑腿，数据多跑腿。</w:t>
            </w:r>
          </w:p>
        </w:tc>
      </w:tr>
      <w:tr>
        <w:tblPrEx>
          <w:tblLayout w:type="fixed"/>
          <w:tblCellMar>
            <w:top w:w="0" w:type="dxa"/>
            <w:left w:w="0" w:type="dxa"/>
            <w:bottom w:w="0" w:type="dxa"/>
            <w:right w:w="0" w:type="dxa"/>
          </w:tblCellMar>
        </w:tblPrEx>
        <w:trPr>
          <w:gridAfter w:val="1"/>
          <w:wAfter w:w="660" w:type="dxa"/>
          <w:trHeight w:val="43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p>
        </w:tc>
        <w:tc>
          <w:tcPr>
            <w:tcW w:w="183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color w:val="000000"/>
                <w:sz w:val="22"/>
                <w:szCs w:val="22"/>
              </w:rPr>
            </w:pPr>
            <w:r>
              <w:rPr>
                <w:rFonts w:hint="eastAsia" w:ascii="宋体" w:hAnsi="宋体" w:cs="宋体"/>
                <w:color w:val="000000"/>
                <w:kern w:val="0"/>
                <w:szCs w:val="21"/>
              </w:rPr>
              <w:t xml:space="preserve"> ……</w:t>
            </w:r>
          </w:p>
        </w:tc>
        <w:tc>
          <w:tcPr>
            <w:tcW w:w="6510"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gridAfter w:val="1"/>
          <w:wAfter w:w="660" w:type="dxa"/>
          <w:trHeight w:val="402" w:hRule="atLeast"/>
          <w:jc w:val="center"/>
        </w:trPr>
        <w:tc>
          <w:tcPr>
            <w:tcW w:w="9054" w:type="dxa"/>
            <w:gridSpan w:val="2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分解目标评价</w:t>
            </w:r>
          </w:p>
        </w:tc>
      </w:tr>
      <w:tr>
        <w:tblPrEx>
          <w:tblLayout w:type="fixed"/>
          <w:tblCellMar>
            <w:top w:w="0" w:type="dxa"/>
            <w:left w:w="0" w:type="dxa"/>
            <w:bottom w:w="0" w:type="dxa"/>
            <w:right w:w="0" w:type="dxa"/>
          </w:tblCellMar>
        </w:tblPrEx>
        <w:trPr>
          <w:gridAfter w:val="1"/>
          <w:wAfter w:w="660" w:type="dxa"/>
          <w:trHeight w:val="809"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一级</w:t>
            </w:r>
          </w:p>
          <w:p>
            <w:pPr>
              <w:jc w:val="center"/>
              <w:rPr>
                <w:rFonts w:hint="eastAsia" w:ascii="宋体" w:hAnsi="宋体" w:cs="宋体"/>
                <w:color w:val="000000"/>
                <w:sz w:val="22"/>
                <w:szCs w:val="22"/>
              </w:rPr>
            </w:pPr>
            <w:r>
              <w:rPr>
                <w:rFonts w:hint="eastAsia"/>
                <w:color w:val="000000"/>
                <w:sz w:val="22"/>
                <w:szCs w:val="22"/>
              </w:rPr>
              <w:t>指标</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二级</w:t>
            </w:r>
          </w:p>
          <w:p>
            <w:pPr>
              <w:jc w:val="center"/>
              <w:rPr>
                <w:rFonts w:ascii="宋体" w:hAnsi="宋体" w:cs="宋体"/>
                <w:color w:val="000000"/>
                <w:sz w:val="22"/>
                <w:szCs w:val="22"/>
              </w:rPr>
            </w:pPr>
            <w:r>
              <w:rPr>
                <w:rFonts w:hint="eastAsia"/>
                <w:color w:val="000000"/>
                <w:sz w:val="22"/>
                <w:szCs w:val="22"/>
              </w:rPr>
              <w:t>指标</w:t>
            </w:r>
          </w:p>
        </w:tc>
        <w:tc>
          <w:tcPr>
            <w:tcW w:w="68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三级</w:t>
            </w:r>
          </w:p>
          <w:p>
            <w:pPr>
              <w:jc w:val="center"/>
              <w:rPr>
                <w:rFonts w:hint="eastAsia"/>
                <w:color w:val="000000"/>
                <w:sz w:val="22"/>
                <w:szCs w:val="22"/>
              </w:rPr>
            </w:pPr>
            <w:r>
              <w:rPr>
                <w:rFonts w:hint="eastAsia"/>
                <w:color w:val="000000"/>
                <w:sz w:val="22"/>
                <w:szCs w:val="22"/>
              </w:rPr>
              <w:t>指标</w:t>
            </w:r>
          </w:p>
        </w:tc>
        <w:tc>
          <w:tcPr>
            <w:tcW w:w="1562"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年度</w:t>
            </w:r>
          </w:p>
          <w:p>
            <w:pPr>
              <w:jc w:val="center"/>
              <w:rPr>
                <w:rFonts w:hint="eastAsia"/>
                <w:color w:val="000000"/>
                <w:sz w:val="22"/>
                <w:szCs w:val="22"/>
              </w:rPr>
            </w:pPr>
            <w:r>
              <w:rPr>
                <w:rFonts w:hint="eastAsia"/>
                <w:color w:val="000000"/>
                <w:sz w:val="22"/>
                <w:szCs w:val="22"/>
              </w:rPr>
              <w:t>指标值</w:t>
            </w:r>
          </w:p>
        </w:tc>
        <w:tc>
          <w:tcPr>
            <w:tcW w:w="47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全年完成值</w:t>
            </w:r>
          </w:p>
        </w:tc>
        <w:tc>
          <w:tcPr>
            <w:tcW w:w="52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完成</w:t>
            </w:r>
          </w:p>
          <w:p>
            <w:pPr>
              <w:jc w:val="center"/>
              <w:rPr>
                <w:rFonts w:hint="eastAsia"/>
                <w:color w:val="000000"/>
                <w:sz w:val="22"/>
                <w:szCs w:val="22"/>
              </w:rPr>
            </w:pPr>
            <w:r>
              <w:rPr>
                <w:rFonts w:hint="eastAsia"/>
                <w:color w:val="000000"/>
                <w:sz w:val="22"/>
                <w:szCs w:val="22"/>
              </w:rPr>
              <w:t>程度</w:t>
            </w:r>
          </w:p>
        </w:tc>
        <w:tc>
          <w:tcPr>
            <w:tcW w:w="3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sz w:val="22"/>
                <w:szCs w:val="22"/>
              </w:rPr>
            </w:pPr>
            <w:r>
              <w:rPr>
                <w:rFonts w:hint="eastAsia" w:ascii="宋体" w:hAnsi="宋体" w:cs="宋体"/>
                <w:color w:val="000000"/>
                <w:sz w:val="22"/>
                <w:szCs w:val="22"/>
              </w:rPr>
              <w:t>得分</w:t>
            </w:r>
          </w:p>
        </w:tc>
        <w:tc>
          <w:tcPr>
            <w:tcW w:w="3277"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未完成原因</w:t>
            </w:r>
          </w:p>
          <w:p>
            <w:pPr>
              <w:jc w:val="center"/>
              <w:rPr>
                <w:rFonts w:hint="eastAsia" w:ascii="宋体" w:hAnsi="宋体" w:cs="宋体"/>
                <w:color w:val="000000"/>
                <w:kern w:val="0"/>
                <w:sz w:val="20"/>
                <w:szCs w:val="20"/>
              </w:rPr>
            </w:pPr>
            <w:r>
              <w:rPr>
                <w:rFonts w:hint="eastAsia" w:ascii="宋体" w:hAnsi="宋体" w:cs="宋体"/>
                <w:color w:val="000000"/>
                <w:kern w:val="0"/>
                <w:szCs w:val="21"/>
              </w:rPr>
              <w:t>（请在相应选项下划“√”并在原因说明中分项阐述）</w:t>
            </w:r>
          </w:p>
        </w:tc>
        <w:tc>
          <w:tcPr>
            <w:tcW w:w="578"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改进措施</w:t>
            </w:r>
          </w:p>
        </w:tc>
      </w:tr>
      <w:tr>
        <w:tblPrEx>
          <w:tblLayout w:type="fixed"/>
          <w:tblCellMar>
            <w:top w:w="0" w:type="dxa"/>
            <w:left w:w="0" w:type="dxa"/>
            <w:bottom w:w="0" w:type="dxa"/>
            <w:right w:w="0" w:type="dxa"/>
          </w:tblCellMar>
        </w:tblPrEx>
        <w:trPr>
          <w:gridAfter w:val="1"/>
          <w:wAfter w:w="660" w:type="dxa"/>
          <w:trHeight w:val="809"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8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运算符号</w:t>
            </w: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内容</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color w:val="000000"/>
                <w:sz w:val="22"/>
                <w:szCs w:val="22"/>
              </w:rPr>
              <w:t>度量单位</w:t>
            </w:r>
          </w:p>
        </w:tc>
        <w:tc>
          <w:tcPr>
            <w:tcW w:w="47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sz w:val="22"/>
                <w:szCs w:val="22"/>
              </w:rPr>
            </w:pPr>
          </w:p>
        </w:tc>
        <w:tc>
          <w:tcPr>
            <w:tcW w:w="35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sz w:val="22"/>
                <w:szCs w:val="22"/>
              </w:rPr>
            </w:pPr>
          </w:p>
        </w:tc>
        <w:tc>
          <w:tcPr>
            <w:tcW w:w="64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硬件条件保障</w:t>
            </w:r>
          </w:p>
        </w:tc>
        <w:tc>
          <w:tcPr>
            <w:tcW w:w="49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其他</w:t>
            </w:r>
          </w:p>
        </w:tc>
        <w:tc>
          <w:tcPr>
            <w:tcW w:w="6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8"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605"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履职</w:t>
            </w:r>
          </w:p>
          <w:p>
            <w:pPr>
              <w:widowControl/>
              <w:jc w:val="center"/>
              <w:rPr>
                <w:rFonts w:hint="eastAsia" w:ascii="宋体" w:hAnsi="宋体" w:cs="宋体"/>
                <w:color w:val="000000"/>
                <w:kern w:val="0"/>
                <w:szCs w:val="21"/>
              </w:rPr>
            </w:pPr>
            <w:r>
              <w:rPr>
                <w:rFonts w:hint="eastAsia" w:ascii="宋体" w:hAnsi="宋体" w:cs="宋体"/>
                <w:color w:val="000000"/>
                <w:kern w:val="0"/>
                <w:szCs w:val="21"/>
              </w:rPr>
              <w:t>效能</w:t>
            </w:r>
          </w:p>
          <w:p>
            <w:pPr>
              <w:widowControl/>
              <w:jc w:val="center"/>
              <w:rPr>
                <w:rFonts w:hint="eastAsia"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r>
              <w:rPr>
                <w:rFonts w:hint="eastAsia" w:ascii="宋体" w:hAnsi="宋体" w:cs="宋体"/>
                <w:color w:val="000000"/>
                <w:kern w:val="0"/>
                <w:szCs w:val="21"/>
              </w:rPr>
              <w:t>重点工作履行情况</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重点工作办结率</w:t>
            </w:r>
          </w:p>
        </w:tc>
        <w:tc>
          <w:tcPr>
            <w:tcW w:w="61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r>
              <w:rPr>
                <w:rFonts w:hint="eastAsia"/>
                <w:color w:val="000000"/>
                <w:sz w:val="22"/>
                <w:szCs w:val="22"/>
                <w:lang w:val="en-US" w:eastAsia="zh-CN"/>
              </w:rPr>
              <w:t>6</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6</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299"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296"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80"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r>
              <w:rPr>
                <w:rFonts w:hint="eastAsia" w:ascii="宋体" w:hAnsi="宋体" w:cs="宋体"/>
                <w:color w:val="000000"/>
                <w:sz w:val="22"/>
                <w:szCs w:val="22"/>
              </w:rPr>
              <w:t>整体工作完成情况</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sz w:val="22"/>
                <w:szCs w:val="22"/>
                <w:lang w:eastAsia="zh-CN"/>
              </w:rPr>
            </w:pPr>
            <w:r>
              <w:rPr>
                <w:rFonts w:hint="eastAsia" w:ascii="宋体" w:hAnsi="宋体" w:cs="宋体"/>
                <w:color w:val="000000"/>
                <w:szCs w:val="21"/>
                <w:lang w:eastAsia="zh-CN"/>
              </w:rPr>
              <w:t>工作完成及时率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7</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7</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3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sz w:val="22"/>
                <w:szCs w:val="22"/>
                <w:lang w:eastAsia="zh-CN"/>
              </w:rPr>
            </w:pPr>
            <w:r>
              <w:rPr>
                <w:rFonts w:hint="eastAsia" w:ascii="宋体" w:hAnsi="宋体" w:cs="宋体"/>
                <w:color w:val="000000"/>
                <w:szCs w:val="21"/>
                <w:lang w:eastAsia="zh-CN"/>
              </w:rPr>
              <w:t>工作质量达标率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7</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7</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348"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sz w:val="22"/>
                <w:szCs w:val="22"/>
                <w:lang w:eastAsia="zh-CN"/>
              </w:rPr>
            </w:pPr>
            <w:r>
              <w:rPr>
                <w:rFonts w:hint="eastAsia" w:ascii="宋体" w:hAnsi="宋体" w:cs="宋体"/>
                <w:color w:val="000000"/>
                <w:kern w:val="0"/>
                <w:szCs w:val="21"/>
                <w:lang w:eastAsia="zh-CN"/>
              </w:rPr>
              <w:t>总体工作完成率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7</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7</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8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基础管理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依法行政能力</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管理规范</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lang w:eastAsia="zh-CN"/>
              </w:rPr>
              <w:t>管理规范</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仿宋_GB2312" w:hAnsi="宋体" w:eastAsia="仿宋_GB2312"/>
                <w:sz w:val="15"/>
                <w:szCs w:val="15"/>
              </w:rPr>
              <w:t>全部或基本达成预期指</w:t>
            </w:r>
            <w:r>
              <w:rPr>
                <w:rFonts w:hint="eastAsia" w:ascii="仿宋_GB2312" w:hAnsi="宋体" w:eastAsia="仿宋_GB2312"/>
                <w:sz w:val="15"/>
                <w:szCs w:val="15"/>
                <w:lang w:eastAsia="zh-CN"/>
              </w:rPr>
              <w:t>标</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7</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7</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32"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综合管理水平</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lang w:eastAsia="zh-CN"/>
              </w:rPr>
              <w:t>管理规范</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lang w:eastAsia="zh-CN"/>
              </w:rPr>
              <w:t>管理规范</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b/>
                <w:bCs/>
                <w:color w:val="000000"/>
                <w:sz w:val="22"/>
                <w:szCs w:val="22"/>
              </w:rPr>
            </w:pPr>
            <w:r>
              <w:rPr>
                <w:rFonts w:hint="eastAsia" w:ascii="仿宋_GB2312" w:hAnsi="宋体" w:eastAsia="仿宋_GB2312"/>
                <w:sz w:val="15"/>
                <w:szCs w:val="15"/>
              </w:rPr>
              <w:t>全部或基本达成预期指</w:t>
            </w:r>
            <w:r>
              <w:rPr>
                <w:rFonts w:hint="eastAsia" w:ascii="仿宋_GB2312" w:hAnsi="宋体" w:eastAsia="仿宋_GB2312"/>
                <w:sz w:val="15"/>
                <w:szCs w:val="15"/>
                <w:lang w:eastAsia="zh-CN"/>
              </w:rPr>
              <w:t>标</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6</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6</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15"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395"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hint="eastAsia" w:ascii="宋体" w:hAnsi="宋体" w:cs="宋体"/>
                <w:color w:val="000000"/>
                <w:kern w:val="0"/>
                <w:szCs w:val="21"/>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5"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预算</w:t>
            </w:r>
          </w:p>
          <w:p>
            <w:pPr>
              <w:widowControl/>
              <w:jc w:val="center"/>
              <w:textAlignment w:val="center"/>
              <w:rPr>
                <w:rFonts w:ascii="宋体" w:hAnsi="宋体" w:cs="宋体"/>
                <w:color w:val="000000"/>
                <w:sz w:val="22"/>
                <w:szCs w:val="22"/>
              </w:rPr>
            </w:pPr>
            <w:r>
              <w:rPr>
                <w:rFonts w:hint="eastAsia" w:ascii="宋体" w:hAnsi="宋体" w:cs="宋体"/>
                <w:color w:val="000000"/>
                <w:kern w:val="0"/>
                <w:szCs w:val="21"/>
              </w:rPr>
              <w:t>执行</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预算执行效率</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结转结余变动率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3</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3</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345"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预算执行率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93</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93</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4</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3.72</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default" w:ascii="Arial" w:hAnsi="Arial" w:cs="Arial"/>
                <w:color w:val="000000"/>
                <w:sz w:val="22"/>
                <w:szCs w:val="22"/>
              </w:rPr>
              <w:t>√</w:t>
            </w: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 w:val="13"/>
                <w:szCs w:val="13"/>
                <w:lang w:eastAsia="zh-CN"/>
              </w:rPr>
            </w:pPr>
            <w:r>
              <w:rPr>
                <w:rFonts w:hint="eastAsia" w:ascii="宋体" w:hAnsi="宋体" w:cs="宋体"/>
                <w:color w:val="000000"/>
                <w:sz w:val="13"/>
                <w:szCs w:val="13"/>
                <w:lang w:eastAsia="zh-CN"/>
              </w:rPr>
              <w:t>我单位</w:t>
            </w:r>
            <w:r>
              <w:rPr>
                <w:rFonts w:hint="eastAsia" w:ascii="宋体" w:hAnsi="宋体" w:cs="宋体"/>
                <w:color w:val="000000"/>
                <w:sz w:val="13"/>
                <w:szCs w:val="13"/>
                <w:lang w:val="en-US" w:eastAsia="zh-CN"/>
              </w:rPr>
              <w:t>2021年结转资金中包含系统建设质保金，于明年年初支付，另人员经费有十三薪以及及未休假不甜未支付</w:t>
            </w: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13"/>
                <w:szCs w:val="13"/>
                <w:lang w:eastAsia="zh-CN"/>
              </w:rPr>
            </w:pPr>
            <w:r>
              <w:rPr>
                <w:rFonts w:hint="eastAsia" w:ascii="宋体" w:hAnsi="宋体" w:cs="宋体"/>
                <w:color w:val="000000"/>
                <w:sz w:val="13"/>
                <w:szCs w:val="13"/>
                <w:lang w:val="en-US" w:eastAsia="zh-CN"/>
              </w:rPr>
              <w:t>年初预算编制要更为详尽，说明哪些为当年支出，哪些需来年支出，对每一笔预算支出都要详尽掌握</w:t>
            </w:r>
          </w:p>
        </w:tc>
      </w:tr>
      <w:tr>
        <w:tblPrEx>
          <w:tblLayout w:type="fixed"/>
          <w:tblCellMar>
            <w:top w:w="0" w:type="dxa"/>
            <w:left w:w="0" w:type="dxa"/>
            <w:bottom w:w="0" w:type="dxa"/>
            <w:right w:w="0"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sz w:val="22"/>
                <w:szCs w:val="22"/>
                <w:lang w:eastAsia="zh-CN"/>
              </w:rPr>
            </w:pPr>
            <w:r>
              <w:rPr>
                <w:rFonts w:hint="eastAsia" w:ascii="宋体" w:hAnsi="宋体" w:cs="宋体"/>
                <w:color w:val="000000"/>
                <w:kern w:val="0"/>
                <w:szCs w:val="21"/>
                <w:lang w:eastAsia="zh-CN"/>
              </w:rPr>
              <w:t>预算调整率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5</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7.62</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52.4</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lang w:val="en-US" w:eastAsia="zh-CN"/>
              </w:rPr>
              <w:t>3</w:t>
            </w:r>
            <w:r>
              <w:rPr>
                <w:rFonts w:hint="eastAsia"/>
                <w:color w:val="000000"/>
                <w:sz w:val="22"/>
                <w:szCs w:val="22"/>
              </w:rPr>
              <w:t>　</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1.52</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default" w:ascii="Arial" w:hAnsi="Arial" w:cs="Arial"/>
                <w:color w:val="000000"/>
                <w:sz w:val="22"/>
                <w:szCs w:val="22"/>
              </w:rPr>
              <w:t>√</w:t>
            </w: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sz w:val="13"/>
                <w:szCs w:val="13"/>
              </w:rPr>
            </w:pPr>
            <w:r>
              <w:rPr>
                <w:rFonts w:hint="eastAsia" w:ascii="宋体" w:hAnsi="宋体" w:cs="宋体"/>
                <w:color w:val="000000"/>
                <w:sz w:val="13"/>
                <w:szCs w:val="13"/>
                <w:lang w:eastAsia="zh-CN"/>
              </w:rPr>
              <w:t>科技信息费中有</w:t>
            </w:r>
            <w:r>
              <w:rPr>
                <w:rFonts w:hint="eastAsia" w:ascii="宋体" w:hAnsi="宋体" w:cs="宋体"/>
                <w:color w:val="000000"/>
                <w:sz w:val="13"/>
                <w:szCs w:val="13"/>
                <w:lang w:val="en-US" w:eastAsia="zh-CN"/>
              </w:rPr>
              <w:t>80余万元质保金于2022年初支付、2021年十三薪与未休假补贴未发放导致预算未在2021年执行</w:t>
            </w: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center"/>
              <w:textAlignment w:val="auto"/>
              <w:outlineLvl w:val="9"/>
              <w:rPr>
                <w:rFonts w:hint="eastAsia" w:eastAsia="宋体"/>
                <w:color w:val="000000"/>
                <w:sz w:val="13"/>
                <w:szCs w:val="13"/>
                <w:lang w:eastAsia="zh-CN"/>
              </w:rPr>
            </w:pPr>
            <w:r>
              <w:rPr>
                <w:rFonts w:hint="eastAsia" w:ascii="宋体" w:hAnsi="宋体" w:cs="宋体"/>
                <w:color w:val="000000"/>
                <w:sz w:val="13"/>
                <w:szCs w:val="13"/>
                <w:lang w:eastAsia="zh-CN"/>
              </w:rPr>
              <w:t>下一年预算编制时，各部门严格执行预算编制工作，不断细分细化，必要时上报预算支出时间表格，以降低预算调整率</w:t>
            </w:r>
          </w:p>
        </w:tc>
      </w:tr>
      <w:tr>
        <w:tblPrEx>
          <w:tblLayout w:type="fixed"/>
          <w:tblCellMar>
            <w:top w:w="0" w:type="dxa"/>
            <w:left w:w="0" w:type="dxa"/>
            <w:bottom w:w="0" w:type="dxa"/>
            <w:right w:w="0" w:type="dxa"/>
          </w:tblCellMar>
        </w:tblPrEx>
        <w:trPr>
          <w:trHeight w:val="345"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both"/>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管理</w:t>
            </w:r>
          </w:p>
          <w:p>
            <w:pPr>
              <w:jc w:val="center"/>
              <w:rPr>
                <w:rFonts w:ascii="宋体" w:hAnsi="宋体" w:cs="宋体"/>
                <w:color w:val="000000"/>
                <w:sz w:val="22"/>
                <w:szCs w:val="22"/>
              </w:rPr>
            </w:pPr>
            <w:r>
              <w:rPr>
                <w:rFonts w:hint="eastAsia" w:ascii="宋体" w:hAnsi="宋体" w:cs="宋体"/>
                <w:color w:val="000000"/>
                <w:kern w:val="0"/>
                <w:szCs w:val="21"/>
              </w:rPr>
              <w:t>效率</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预算编制管理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预算绩效目标覆盖率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lang w:val="en-US" w:eastAsia="zh-CN"/>
              </w:rPr>
              <w:t>2</w:t>
            </w:r>
            <w:r>
              <w:rPr>
                <w:rFonts w:hint="eastAsia"/>
                <w:color w:val="000000"/>
                <w:sz w:val="22"/>
                <w:szCs w:val="22"/>
              </w:rPr>
              <w:t>　</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预算监督管理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szCs w:val="21"/>
                <w:lang w:eastAsia="zh-CN"/>
              </w:rPr>
              <w:t>预决算公开情况</w:t>
            </w:r>
            <w:r>
              <w:rPr>
                <w:rFonts w:hint="eastAsia" w:ascii="宋体" w:hAnsi="宋体" w:cs="宋体"/>
                <w:color w:val="000000"/>
                <w:szCs w:val="21"/>
              </w:rPr>
              <w:t>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全部公开</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lang w:eastAsia="zh-CN"/>
              </w:rPr>
              <w:t>全部公开</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eastAsia="zh-CN"/>
              </w:rPr>
            </w:pPr>
            <w:r>
              <w:rPr>
                <w:rFonts w:hint="eastAsia" w:ascii="仿宋_GB2312" w:hAnsi="宋体" w:eastAsia="仿宋_GB2312"/>
                <w:sz w:val="15"/>
                <w:szCs w:val="15"/>
              </w:rPr>
              <w:t>全部或基本达成预期指</w:t>
            </w:r>
            <w:r>
              <w:rPr>
                <w:rFonts w:hint="eastAsia" w:ascii="仿宋_GB2312" w:hAnsi="宋体" w:eastAsia="仿宋_GB2312"/>
                <w:sz w:val="15"/>
                <w:szCs w:val="15"/>
                <w:lang w:eastAsia="zh-CN"/>
              </w:rPr>
              <w:t>标</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预算收支</w:t>
            </w:r>
          </w:p>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预算支出管理规范性</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管理规范</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宋体" w:hAnsi="宋体" w:cs="宋体"/>
                <w:color w:val="000000"/>
                <w:sz w:val="22"/>
                <w:szCs w:val="22"/>
                <w:lang w:eastAsia="zh-CN"/>
              </w:rPr>
              <w:t>管理规范</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仿宋_GB2312" w:hAnsi="宋体" w:eastAsia="仿宋_GB2312"/>
                <w:sz w:val="15"/>
                <w:szCs w:val="15"/>
              </w:rPr>
              <w:t>全部或基本达成预期指</w:t>
            </w:r>
            <w:r>
              <w:rPr>
                <w:rFonts w:hint="eastAsia" w:ascii="仿宋_GB2312" w:hAnsi="宋体" w:eastAsia="仿宋_GB2312"/>
                <w:sz w:val="15"/>
                <w:szCs w:val="15"/>
                <w:lang w:eastAsia="zh-CN"/>
              </w:rPr>
              <w:t>标</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szCs w:val="21"/>
                <w:lang w:eastAsia="zh-CN"/>
              </w:rPr>
              <w:t>预算收入管理规范性</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lang w:eastAsia="zh-CN"/>
              </w:rPr>
              <w:t>管理规范</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宋体" w:hAnsi="宋体" w:cs="宋体"/>
                <w:color w:val="000000"/>
                <w:sz w:val="22"/>
                <w:szCs w:val="22"/>
                <w:lang w:eastAsia="zh-CN"/>
              </w:rPr>
              <w:t>管理规范</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仿宋_GB2312" w:hAnsi="宋体" w:eastAsia="仿宋_GB2312"/>
                <w:sz w:val="15"/>
                <w:szCs w:val="15"/>
              </w:rPr>
              <w:t>全部或基本达成预期指</w:t>
            </w:r>
            <w:r>
              <w:rPr>
                <w:rFonts w:hint="eastAsia" w:ascii="仿宋_GB2312" w:hAnsi="宋体" w:eastAsia="仿宋_GB2312"/>
                <w:sz w:val="15"/>
                <w:szCs w:val="15"/>
                <w:lang w:eastAsia="zh-CN"/>
              </w:rPr>
              <w:t>标</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财务管理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内控制度有效性</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制度有效</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宋体" w:hAnsi="宋体" w:cs="宋体"/>
                <w:color w:val="000000"/>
                <w:sz w:val="22"/>
                <w:szCs w:val="22"/>
                <w:lang w:eastAsia="zh-CN"/>
              </w:rPr>
              <w:t>制度有效</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eastAsia" w:ascii="仿宋_GB2312" w:hAnsi="宋体" w:eastAsia="仿宋_GB2312"/>
                <w:sz w:val="15"/>
                <w:szCs w:val="15"/>
              </w:rPr>
              <w:t>全部或基本达成预期指</w:t>
            </w:r>
            <w:r>
              <w:rPr>
                <w:rFonts w:hint="eastAsia" w:ascii="仿宋_GB2312" w:hAnsi="宋体" w:eastAsia="仿宋_GB2312"/>
                <w:sz w:val="15"/>
                <w:szCs w:val="15"/>
                <w:lang w:eastAsia="zh-CN"/>
              </w:rPr>
              <w:t>标</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资产管理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szCs w:val="21"/>
                <w:lang w:eastAsia="zh-CN"/>
              </w:rPr>
            </w:pPr>
            <w:r>
              <w:rPr>
                <w:rFonts w:hint="eastAsia" w:ascii="宋体" w:hAnsi="宋体" w:cs="宋体"/>
                <w:color w:val="000000"/>
                <w:szCs w:val="21"/>
                <w:lang w:eastAsia="zh-CN"/>
              </w:rPr>
              <w:t>固定资产利用率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color w:val="000000"/>
                <w:sz w:val="22"/>
                <w:szCs w:val="22"/>
                <w:lang w:val="en-US" w:eastAsia="zh-CN"/>
              </w:rPr>
              <w:t>100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100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kern w:val="0"/>
                <w:szCs w:val="21"/>
              </w:rPr>
              <w:t>业务</w:t>
            </w:r>
            <w:r>
              <w:rPr>
                <w:rFonts w:hint="eastAsia" w:ascii="宋体" w:hAnsi="宋体" w:cs="宋体"/>
                <w:szCs w:val="21"/>
              </w:rPr>
              <w:t>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政府采购管理违法违规行为发生次数</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次</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eastAsia="宋体" w:cs="宋体"/>
                <w:color w:val="000000"/>
                <w:sz w:val="22"/>
                <w:szCs w:val="22"/>
                <w:lang w:val="en-US" w:eastAsia="zh-CN"/>
              </w:rPr>
            </w:pPr>
            <w:r>
              <w:rPr>
                <w:rFonts w:hint="eastAsia"/>
                <w:color w:val="000000"/>
                <w:sz w:val="22"/>
                <w:szCs w:val="22"/>
              </w:rPr>
              <w:t>　</w:t>
            </w:r>
            <w:r>
              <w:rPr>
                <w:rFonts w:hint="eastAsia"/>
                <w:color w:val="000000"/>
                <w:sz w:val="22"/>
                <w:szCs w:val="22"/>
                <w:lang w:val="en-US" w:eastAsia="zh-CN"/>
              </w:rPr>
              <w:t>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szCs w:val="21"/>
              </w:rPr>
              <w:t>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524"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运行</w:t>
            </w:r>
          </w:p>
          <w:p>
            <w:pPr>
              <w:jc w:val="center"/>
              <w:rPr>
                <w:rFonts w:hint="eastAsia" w:ascii="宋体" w:hAnsi="宋体" w:cs="宋体"/>
                <w:color w:val="000000"/>
                <w:sz w:val="22"/>
                <w:szCs w:val="22"/>
              </w:rPr>
            </w:pPr>
            <w:r>
              <w:rPr>
                <w:rFonts w:hint="eastAsia" w:ascii="宋体" w:hAnsi="宋体" w:cs="宋体"/>
                <w:color w:val="000000"/>
                <w:sz w:val="22"/>
                <w:szCs w:val="22"/>
              </w:rPr>
              <w:t>成本</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成本控制成效</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三公经费变动率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次</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0</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0</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6</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6</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52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szCs w:val="21"/>
                <w:lang w:eastAsia="zh-CN"/>
              </w:rPr>
              <w:t>在职人员控制率</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100</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67.69</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67.69</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4</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2.72</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r>
              <w:rPr>
                <w:rFonts w:hint="default" w:ascii="Arial" w:hAnsi="Arial" w:cs="Arial"/>
                <w:color w:val="000000"/>
                <w:sz w:val="22"/>
                <w:szCs w:val="22"/>
              </w:rPr>
              <w:t>√</w:t>
            </w: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eastAsia="zh-CN"/>
              </w:rPr>
            </w:pPr>
            <w:r>
              <w:rPr>
                <w:rFonts w:hint="eastAsia" w:ascii="宋体" w:hAnsi="宋体" w:cs="宋体"/>
                <w:color w:val="000000"/>
                <w:sz w:val="13"/>
                <w:szCs w:val="13"/>
                <w:lang w:val="en-US" w:eastAsia="zh-CN"/>
              </w:rPr>
              <w:t>我单位现有在职44人，2021年</w:t>
            </w:r>
            <w:r>
              <w:rPr>
                <w:rFonts w:hint="eastAsia" w:ascii="宋体" w:hAnsi="宋体" w:cs="宋体"/>
                <w:color w:val="000000"/>
                <w:sz w:val="13"/>
                <w:szCs w:val="13"/>
                <w:lang w:val="en-US" w:eastAsia="zh-CN"/>
              </w:rPr>
              <w:t>有两名辞职，3名人员退休，导致在职人员控制率较低</w:t>
            </w: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eastAsia="zh-CN"/>
              </w:rPr>
            </w:pPr>
            <w:r>
              <w:rPr>
                <w:rFonts w:hint="eastAsia" w:ascii="宋体" w:hAnsi="宋体" w:cs="宋体"/>
                <w:color w:val="000000"/>
                <w:sz w:val="13"/>
                <w:szCs w:val="13"/>
                <w:lang w:val="en-US" w:eastAsia="zh-CN"/>
              </w:rPr>
              <w:t>我单位已于2021年底新招录11名事业编人员，2022年初办理入职</w:t>
            </w:r>
            <w:r>
              <w:rPr>
                <w:rFonts w:hint="eastAsia" w:ascii="宋体" w:hAnsi="宋体" w:cs="宋体"/>
                <w:color w:val="000000"/>
                <w:sz w:val="11"/>
                <w:szCs w:val="11"/>
                <w:lang w:val="en-US" w:eastAsia="zh-CN"/>
              </w:rPr>
              <w:t>。</w:t>
            </w: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67"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社会</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效应</w:t>
            </w: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社会</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效应</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szCs w:val="21"/>
              </w:rPr>
              <w:t>政治效益</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51"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8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社会效益</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500"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8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szCs w:val="21"/>
              </w:rPr>
              <w:t>经济效益</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r>
              <w:rPr>
                <w:rFonts w:hint="eastAsia" w:ascii="宋体" w:hAnsi="宋体" w:cs="宋体"/>
                <w:szCs w:val="21"/>
              </w:rPr>
              <w:t>生态效益</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服务对象满意度</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szCs w:val="21"/>
                <w:lang w:eastAsia="zh-CN"/>
              </w:rPr>
            </w:pPr>
            <w:r>
              <w:rPr>
                <w:rFonts w:hint="eastAsia" w:ascii="宋体" w:hAnsi="宋体" w:cs="宋体"/>
                <w:color w:val="000000"/>
                <w:szCs w:val="21"/>
                <w:lang w:eastAsia="zh-CN"/>
              </w:rPr>
              <w:t>企业、群众满意度</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97</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lang w:val="en-US" w:eastAsia="zh-CN"/>
              </w:rPr>
              <w:t>99</w:t>
            </w: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99</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r>
              <w:rPr>
                <w:rFonts w:hint="eastAsia"/>
                <w:color w:val="000000"/>
                <w:sz w:val="22"/>
                <w:szCs w:val="22"/>
                <w:lang w:val="en-US" w:eastAsia="zh-CN"/>
              </w:rPr>
              <w:t>10</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当地群众总体满意度</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97</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99</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99</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10</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szCs w:val="22"/>
              </w:rPr>
            </w:pPr>
            <w:r>
              <w:rPr>
                <w:rFonts w:hint="eastAsia" w:ascii="宋体" w:hAnsi="宋体" w:cs="宋体"/>
                <w:color w:val="000000"/>
                <w:sz w:val="22"/>
                <w:szCs w:val="22"/>
              </w:rPr>
              <w:t>可持</w:t>
            </w:r>
          </w:p>
          <w:p>
            <w:pPr>
              <w:jc w:val="center"/>
              <w:rPr>
                <w:rFonts w:hint="eastAsia" w:ascii="宋体" w:hAnsi="宋体" w:cs="宋体"/>
                <w:color w:val="000000"/>
                <w:sz w:val="22"/>
                <w:szCs w:val="22"/>
              </w:rPr>
            </w:pPr>
            <w:r>
              <w:rPr>
                <w:rFonts w:hint="eastAsia" w:ascii="宋体" w:hAnsi="宋体" w:cs="宋体"/>
                <w:color w:val="000000"/>
                <w:sz w:val="22"/>
                <w:szCs w:val="22"/>
              </w:rPr>
              <w:t>续性</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体制机制改革</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eastAsia="宋体" w:cs="宋体"/>
                <w:szCs w:val="21"/>
                <w:lang w:eastAsia="zh-CN"/>
              </w:rPr>
            </w:pPr>
            <w:r>
              <w:rPr>
                <w:rFonts w:hint="eastAsia" w:ascii="宋体" w:hAnsi="宋体" w:cs="宋体"/>
                <w:color w:val="000000"/>
                <w:szCs w:val="21"/>
                <w:lang w:eastAsia="zh-CN"/>
              </w:rPr>
              <w:t>建立预算绩效管理机制</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是否建立</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lang w:eastAsia="zh-CN"/>
              </w:rPr>
              <w:t>是</w:t>
            </w: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eastAsia="zh-CN"/>
              </w:rPr>
            </w:pPr>
            <w:r>
              <w:rPr>
                <w:rFonts w:hint="eastAsia" w:ascii="仿宋_GB2312" w:hAnsi="宋体" w:eastAsia="仿宋_GB2312"/>
                <w:sz w:val="15"/>
                <w:szCs w:val="15"/>
              </w:rPr>
              <w:t>全部或基本达成预期指</w:t>
            </w:r>
            <w:r>
              <w:rPr>
                <w:rFonts w:hint="eastAsia" w:ascii="仿宋_GB2312" w:hAnsi="宋体" w:eastAsia="仿宋_GB2312"/>
                <w:sz w:val="15"/>
                <w:szCs w:val="15"/>
                <w:lang w:eastAsia="zh-CN"/>
              </w:rPr>
              <w:t>标</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r>
              <w:rPr>
                <w:rFonts w:hint="eastAsia"/>
                <w:color w:val="000000"/>
                <w:sz w:val="22"/>
                <w:szCs w:val="22"/>
                <w:lang w:val="en-US" w:eastAsia="zh-CN"/>
              </w:rPr>
              <w:t>10</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sz w:val="22"/>
                <w:szCs w:val="22"/>
                <w:lang w:val="en-US" w:eastAsia="zh-CN"/>
              </w:rPr>
            </w:pPr>
            <w:r>
              <w:rPr>
                <w:rFonts w:hint="eastAsia"/>
                <w:color w:val="000000"/>
                <w:sz w:val="22"/>
                <w:szCs w:val="22"/>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sz w:val="22"/>
                <w:szCs w:val="22"/>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sz w:val="22"/>
                <w:szCs w:val="22"/>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ascii="宋体" w:hAnsi="宋体" w:cs="宋体"/>
                <w:color w:val="000000"/>
                <w:kern w:val="0"/>
                <w:szCs w:val="21"/>
              </w:rPr>
            </w:pP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sz w:val="22"/>
                <w:szCs w:val="22"/>
              </w:rPr>
            </w:pPr>
          </w:p>
        </w:tc>
        <w:tc>
          <w:tcPr>
            <w:tcW w:w="50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32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110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c>
          <w:tcPr>
            <w:tcW w:w="9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sz w:val="22"/>
                <w:szCs w:val="22"/>
              </w:rPr>
            </w:pPr>
          </w:p>
        </w:tc>
      </w:tr>
      <w:tr>
        <w:tblPrEx>
          <w:tblLayout w:type="fixed"/>
          <w:tblCellMar>
            <w:top w:w="0" w:type="dxa"/>
            <w:left w:w="0" w:type="dxa"/>
            <w:bottom w:w="0" w:type="dxa"/>
            <w:right w:w="0" w:type="dxa"/>
          </w:tblCellMar>
        </w:tblPrEx>
        <w:trPr>
          <w:trHeight w:val="402" w:hRule="atLeast"/>
          <w:jc w:val="center"/>
        </w:trPr>
        <w:tc>
          <w:tcPr>
            <w:tcW w:w="449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sz w:val="22"/>
                <w:szCs w:val="22"/>
              </w:rPr>
            </w:pPr>
            <w:r>
              <w:rPr>
                <w:rFonts w:hint="eastAsia"/>
                <w:color w:val="000000"/>
                <w:sz w:val="22"/>
                <w:szCs w:val="22"/>
              </w:rPr>
              <w:t>总评价得分</w:t>
            </w:r>
          </w:p>
        </w:tc>
        <w:tc>
          <w:tcPr>
            <w:tcW w:w="5223" w:type="dxa"/>
            <w:gridSpan w:val="1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96.96</w:t>
            </w:r>
          </w:p>
        </w:tc>
      </w:tr>
    </w:tbl>
    <w:p/>
    <w:p/>
    <w:p/>
    <w:p/>
    <w:p/>
    <w:p/>
    <w:p/>
    <w:p/>
    <w:p/>
    <w:p/>
    <w:p/>
    <w:p/>
    <w:p/>
    <w:tbl>
      <w:tblPr>
        <w:tblStyle w:val="3"/>
        <w:tblW w:w="9276" w:type="dxa"/>
        <w:jc w:val="center"/>
        <w:tblInd w:w="0" w:type="dxa"/>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Layout w:type="fixed"/>
          <w:tblCellMar>
            <w:top w:w="0" w:type="dxa"/>
            <w:left w:w="0" w:type="dxa"/>
            <w:bottom w:w="0" w:type="dxa"/>
            <w:right w:w="0" w:type="dxa"/>
          </w:tblCellMar>
        </w:tblPrEx>
        <w:trPr>
          <w:trHeight w:val="968" w:hRule="atLeast"/>
          <w:jc w:val="center"/>
        </w:trPr>
        <w:tc>
          <w:tcPr>
            <w:tcW w:w="9276" w:type="dxa"/>
            <w:gridSpan w:val="22"/>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lang w:val="en-US" w:eastAsia="zh-CN"/>
              </w:rPr>
              <w:t>2021年度</w:t>
            </w:r>
            <w:r>
              <w:rPr>
                <w:rFonts w:hint="eastAsia" w:ascii="宋体" w:hAnsi="宋体" w:cs="宋体"/>
                <w:b/>
                <w:bCs/>
                <w:sz w:val="44"/>
                <w:szCs w:val="44"/>
                <w:lang w:eastAsia="zh-CN"/>
              </w:rPr>
              <w:t>抚顺市住房公积金管理中心</w:t>
            </w: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公积金专项业务费</w:t>
            </w:r>
            <w:r>
              <w:rPr>
                <w:rFonts w:hint="eastAsia"/>
                <w:color w:val="000000"/>
              </w:rPr>
              <w:t>　</w:t>
            </w:r>
          </w:p>
        </w:tc>
      </w:tr>
      <w:tr>
        <w:tblPrEx>
          <w:tblLayout w:type="fixed"/>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综合科</w:t>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抚顺市住房公积金管理中心</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Cs w:val="21"/>
              </w:rPr>
              <w:t xml:space="preserve"> </w:t>
            </w: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xml:space="preserve"> 月  - </w:t>
            </w: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 年</w:t>
            </w:r>
            <w:r>
              <w:rPr>
                <w:rFonts w:hint="eastAsia" w:ascii="宋体" w:hAnsi="宋体" w:cs="宋体"/>
                <w:color w:val="000000"/>
                <w:kern w:val="0"/>
                <w:sz w:val="18"/>
                <w:szCs w:val="18"/>
                <w:lang w:val="en-US" w:eastAsia="zh-CN"/>
              </w:rPr>
              <w:t xml:space="preserve"> 12</w:t>
            </w:r>
            <w:r>
              <w:rPr>
                <w:rFonts w:hint="eastAsia" w:ascii="宋体" w:hAnsi="宋体" w:cs="宋体"/>
                <w:color w:val="000000"/>
                <w:kern w:val="0"/>
                <w:sz w:val="18"/>
                <w:szCs w:val="18"/>
              </w:rPr>
              <w:t xml:space="preserve"> 月</w:t>
            </w:r>
          </w:p>
        </w:tc>
      </w:tr>
      <w:tr>
        <w:tblPrEx>
          <w:tblLayout w:type="fixed"/>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145.14</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145.14</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r>
              <w:rPr>
                <w:rFonts w:hint="eastAsia"/>
                <w:color w:val="000000"/>
                <w:lang w:val="en-US" w:eastAsia="zh-CN"/>
              </w:rPr>
              <w:t>121.86</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83.96</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8.39</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128</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128</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r>
              <w:rPr>
                <w:rFonts w:hint="eastAsia"/>
                <w:color w:val="000000"/>
                <w:lang w:val="en-US" w:eastAsia="zh-CN"/>
              </w:rPr>
              <w:t>109.49</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86.68</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17.14</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17.14</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12.36</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72.07</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目标1</w:t>
            </w:r>
            <w:r>
              <w:rPr>
                <w:rFonts w:hint="eastAsia"/>
                <w:color w:val="000000"/>
                <w:lang w:eastAsia="zh-CN"/>
              </w:rPr>
              <w:t>：在申请的专项资金额度内顺利完成2021年度全市职工公积金缴纳以及职工贷款工作。规范公积金缴存工作，控高保低；</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我单位</w:t>
            </w:r>
            <w:r>
              <w:rPr>
                <w:rFonts w:hint="eastAsia"/>
                <w:color w:val="000000"/>
                <w:lang w:val="en-US" w:eastAsia="zh-CN"/>
              </w:rPr>
              <w:t>2021年在预算控制资金内圆满完成全年我市职工公积金归集及提取工作，不断规范公积金缴存等工作，实行特事特办，提高群众满意度。</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目标2</w:t>
            </w:r>
            <w:r>
              <w:rPr>
                <w:rFonts w:hint="eastAsia"/>
                <w:color w:val="000000"/>
                <w:lang w:eastAsia="zh-CN"/>
              </w:rPr>
              <w:t>：准确把握国家经济政策及及部委关于公积金政策走向，提高公积金资金使用率，加快信息化步伐，持续推动网上服务大厅的建设，方便职工办理业务；服务提质提效，缩短业务办理时限，服务质量稳步上升，提高群众满意度。</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lang w:val="en-US" w:eastAsia="zh-CN"/>
              </w:rPr>
            </w:pPr>
            <w:r>
              <w:rPr>
                <w:rFonts w:hint="eastAsia"/>
                <w:color w:val="000000"/>
                <w:lang w:eastAsia="zh-CN"/>
              </w:rPr>
              <w:t>我单位</w:t>
            </w:r>
            <w:r>
              <w:rPr>
                <w:rFonts w:hint="eastAsia"/>
                <w:color w:val="000000"/>
                <w:lang w:val="en-US" w:eastAsia="zh-CN"/>
              </w:rPr>
              <w:t>2021年严格贯彻国家公积金相关政策，年底上线跨省通办业务，极大地方便了异地群众办理公积金事宜。落实群众最多跑一次制度，提升服务质量，缩短服务时间，助力我市不断优化营商环境。</w:t>
            </w:r>
          </w:p>
          <w:p>
            <w:pPr>
              <w:jc w:val="center"/>
              <w:rPr>
                <w:color w:val="000000"/>
              </w:rPr>
            </w:pPr>
            <w:r>
              <w:rPr>
                <w:rFonts w:hint="eastAsia"/>
                <w:color w:val="000000"/>
              </w:rPr>
              <w:t>　</w:t>
            </w:r>
          </w:p>
        </w:tc>
      </w:tr>
      <w:tr>
        <w:tblPrEx>
          <w:tblLayout w:type="fixed"/>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Layout w:type="fixed"/>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Layout w:type="fixed"/>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Layout w:type="fixed"/>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故障修复完成率</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98</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ascii="宋体" w:hAnsi="宋体" w:cs="宋体"/>
                <w:color w:val="000000"/>
                <w:szCs w:val="21"/>
                <w:lang w:eastAsia="zh-CN"/>
              </w:rPr>
              <w:t>信息系统运维验收合格率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98</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故障应急响应及时率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预算成本控制</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128</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万元</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121.85</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系统正常运行率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98</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系统重大故障发生次数</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次</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使用用户满意度</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98</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99</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color w:val="000000"/>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color w:val="000000"/>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8.39</w:t>
            </w:r>
          </w:p>
        </w:tc>
      </w:tr>
      <w:tr>
        <w:tblPrEx>
          <w:tblLayout w:type="fixed"/>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98.39</w:t>
            </w:r>
          </w:p>
        </w:tc>
      </w:tr>
    </w:tbl>
    <w:p/>
    <w:p/>
    <w:p/>
    <w:p/>
    <w:p/>
    <w:p/>
    <w:p/>
    <w:p/>
    <w:p/>
    <w:p/>
    <w:p/>
    <w:p/>
    <w:p/>
    <w:p/>
    <w:p/>
    <w:p/>
    <w:p/>
    <w:p/>
    <w:p/>
    <w:p/>
    <w:p/>
    <w:p/>
    <w:p/>
    <w:p/>
    <w:p/>
    <w:p/>
    <w:p/>
    <w:p/>
    <w:p/>
    <w:p/>
    <w:tbl>
      <w:tblPr>
        <w:tblStyle w:val="3"/>
        <w:tblW w:w="9276" w:type="dxa"/>
        <w:jc w:val="center"/>
        <w:tblInd w:w="0" w:type="dxa"/>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Layout w:type="fixed"/>
          <w:tblCellMar>
            <w:top w:w="0" w:type="dxa"/>
            <w:left w:w="0" w:type="dxa"/>
            <w:bottom w:w="0" w:type="dxa"/>
            <w:right w:w="0" w:type="dxa"/>
          </w:tblCellMar>
        </w:tblPrEx>
        <w:trPr>
          <w:trHeight w:val="968" w:hRule="atLeast"/>
          <w:jc w:val="center"/>
        </w:trPr>
        <w:tc>
          <w:tcPr>
            <w:tcW w:w="9276" w:type="dxa"/>
            <w:gridSpan w:val="22"/>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lang w:val="en-US" w:eastAsia="zh-CN"/>
              </w:rPr>
              <w:t>2021年</w:t>
            </w:r>
            <w:r>
              <w:rPr>
                <w:rFonts w:hint="eastAsia" w:ascii="宋体" w:hAnsi="宋体" w:cs="宋体"/>
                <w:b/>
                <w:bCs/>
                <w:sz w:val="44"/>
                <w:szCs w:val="44"/>
                <w:lang w:eastAsia="zh-CN"/>
              </w:rPr>
              <w:t>抚顺市住房公积金管理中心</w:t>
            </w: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办公楼运行费</w:t>
            </w:r>
          </w:p>
        </w:tc>
      </w:tr>
      <w:tr>
        <w:tblPrEx>
          <w:tblLayout w:type="fixed"/>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综合科</w:t>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抚顺市住房公积金管理中心</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xml:space="preserve">月 - </w:t>
            </w: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月</w:t>
            </w:r>
          </w:p>
        </w:tc>
      </w:tr>
      <w:tr>
        <w:tblPrEx>
          <w:tblLayout w:type="fixed"/>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Layout w:type="fixed"/>
          <w:tblCellMar>
            <w:top w:w="0" w:type="dxa"/>
            <w:left w:w="0" w:type="dxa"/>
            <w:bottom w:w="0" w:type="dxa"/>
            <w:right w:w="0" w:type="dxa"/>
          </w:tblCellMar>
        </w:tblPrEx>
        <w:trPr>
          <w:trHeight w:val="605"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r>
              <w:rPr>
                <w:rFonts w:hint="eastAsia"/>
                <w:color w:val="000000"/>
                <w:lang w:val="en-US" w:eastAsia="zh-CN"/>
              </w:rPr>
              <w:t>92.47</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92.47</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r>
              <w:rPr>
                <w:rFonts w:hint="eastAsia"/>
                <w:color w:val="000000"/>
                <w:lang w:val="en-US" w:eastAsia="zh-CN"/>
              </w:rPr>
              <w:t>80.57</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87.13</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8.71</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92.2</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92.2</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80.32</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87.11</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0.27</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0.27</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0.25</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5.26</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目标1</w:t>
            </w:r>
            <w:r>
              <w:rPr>
                <w:rFonts w:hint="eastAsia"/>
                <w:color w:val="000000"/>
                <w:lang w:eastAsia="zh-CN"/>
              </w:rPr>
              <w:t>：</w:t>
            </w:r>
            <w:r>
              <w:rPr>
                <w:rFonts w:hint="eastAsia" w:ascii="宋体" w:hAnsi="宋体" w:cs="宋体"/>
                <w:kern w:val="0"/>
                <w:szCs w:val="21"/>
                <w:lang w:val="en-US" w:eastAsia="zh-CN"/>
              </w:rPr>
              <w:t>在项目指标额度内，通过申请办公楼运行费，缓解办公经费不足,确保公积金业务正常运转从而更好地为全市百姓服务</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
              <w:rPr>
                <w:rFonts w:hint="eastAsia"/>
                <w:lang w:eastAsia="zh-CN"/>
              </w:rPr>
              <w:t>我单位全年在预算资金控制内保障公积金中心的正常运转，为全市职工提供更好公积金归集和贷款服务，不断提升服务质效，助力于优化当地营商环境。</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eastAsia="zh-CN"/>
              </w:rPr>
            </w:pPr>
            <w:r>
              <w:rPr>
                <w:rFonts w:hint="eastAsia"/>
                <w:color w:val="000000"/>
                <w:lang w:eastAsia="zh-CN"/>
              </w:rPr>
              <w:t>目标</w:t>
            </w:r>
            <w:r>
              <w:rPr>
                <w:rFonts w:hint="eastAsia"/>
                <w:color w:val="000000"/>
                <w:lang w:val="en-US" w:eastAsia="zh-CN"/>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Layout w:type="fixed"/>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Layout w:type="fixed"/>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Layout w:type="fixed"/>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Layout w:type="fixed"/>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ascii="宋体" w:hAnsi="宋体" w:cs="宋体"/>
                <w:color w:val="000000"/>
                <w:szCs w:val="21"/>
                <w:lang w:eastAsia="zh-CN"/>
              </w:rPr>
              <w:t>项目完工率</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95</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经费支出规范性</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95</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项目年度完成率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95</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预算成本控制</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92.20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万元</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80.57</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系统正常运行率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91</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政策可持续性</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sz w:val="15"/>
                <w:szCs w:val="15"/>
                <w:lang w:eastAsia="zh-CN"/>
              </w:rPr>
              <w:t>是否持续</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是</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服务对象满意度</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99</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color w:val="000000"/>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color w:val="000000"/>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8.71</w:t>
            </w:r>
          </w:p>
        </w:tc>
      </w:tr>
      <w:tr>
        <w:tblPrEx>
          <w:tblLayout w:type="fixed"/>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98.71</w:t>
            </w:r>
          </w:p>
        </w:tc>
      </w:tr>
    </w:tbl>
    <w:p/>
    <w:p/>
    <w:p/>
    <w:p/>
    <w:p/>
    <w:p/>
    <w:p/>
    <w:p/>
    <w:p/>
    <w:p/>
    <w:p/>
    <w:p/>
    <w:p/>
    <w:p/>
    <w:p/>
    <w:p/>
    <w:p/>
    <w:p/>
    <w:p/>
    <w:p/>
    <w:p/>
    <w:p/>
    <w:p/>
    <w:p/>
    <w:p/>
    <w:p/>
    <w:p/>
    <w:p/>
    <w:p/>
    <w:p/>
    <w:p/>
    <w:p/>
    <w:p/>
    <w:p/>
    <w:p/>
    <w:p/>
    <w:p/>
    <w:p/>
    <w:tbl>
      <w:tblPr>
        <w:tblStyle w:val="3"/>
        <w:tblW w:w="9276" w:type="dxa"/>
        <w:jc w:val="center"/>
        <w:tblInd w:w="0" w:type="dxa"/>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Layout w:type="fixed"/>
          <w:tblCellMar>
            <w:top w:w="0" w:type="dxa"/>
            <w:left w:w="0" w:type="dxa"/>
            <w:bottom w:w="0" w:type="dxa"/>
            <w:right w:w="0" w:type="dxa"/>
          </w:tblCellMar>
        </w:tblPrEx>
        <w:trPr>
          <w:trHeight w:val="968" w:hRule="atLeast"/>
          <w:jc w:val="center"/>
        </w:trPr>
        <w:tc>
          <w:tcPr>
            <w:tcW w:w="9276" w:type="dxa"/>
            <w:gridSpan w:val="22"/>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lang w:val="en-US" w:eastAsia="zh-CN"/>
              </w:rPr>
              <w:t>2021年抚顺市住房公积金管理中心</w:t>
            </w: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抵贷资产相关费用</w:t>
            </w:r>
            <w:r>
              <w:rPr>
                <w:rFonts w:hint="eastAsia"/>
                <w:color w:val="000000"/>
              </w:rPr>
              <w:t>　</w:t>
            </w:r>
          </w:p>
        </w:tc>
      </w:tr>
      <w:tr>
        <w:tblPrEx>
          <w:tblLayout w:type="fixed"/>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综合科</w:t>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抚顺市住房公积金管理中心</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xml:space="preserve">月 - </w:t>
            </w: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月</w:t>
            </w:r>
          </w:p>
        </w:tc>
      </w:tr>
      <w:tr>
        <w:tblPrEx>
          <w:tblLayout w:type="fixed"/>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r>
              <w:rPr>
                <w:rFonts w:hint="eastAsia"/>
                <w:color w:val="000000"/>
                <w:lang w:val="en-US" w:eastAsia="zh-CN"/>
              </w:rPr>
              <w:t>8.19</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8.19</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r>
              <w:rPr>
                <w:rFonts w:hint="eastAsia"/>
                <w:color w:val="000000"/>
                <w:lang w:val="en-US" w:eastAsia="zh-CN"/>
              </w:rPr>
              <w:t>2.41</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29.43</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2.94</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r>
              <w:rPr>
                <w:rFonts w:hint="eastAsia"/>
                <w:color w:val="000000"/>
                <w:lang w:val="en-US" w:eastAsia="zh-CN"/>
              </w:rPr>
              <w:t>7</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7</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r>
              <w:rPr>
                <w:rFonts w:hint="eastAsia"/>
                <w:color w:val="000000"/>
                <w:lang w:val="en-US" w:eastAsia="zh-CN"/>
              </w:rPr>
              <w:t>2.05</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29.29</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1.19</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1.19</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0.36</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30.25</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目标1</w:t>
            </w:r>
            <w:r>
              <w:rPr>
                <w:rFonts w:hint="eastAsia"/>
                <w:color w:val="000000"/>
                <w:lang w:eastAsia="zh-CN"/>
              </w:rPr>
              <w:t>：在项目指标额度内，顺利完成2022年的抵贷资产维护修理工作；压缩成本，回笼资金降低我中心资金风险以及相关贷款风险，解决逾期贷款纠纷问题，研究一批解决一批</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我单位全年对资产抵贷进行了基本维护，及时修缮，年底交纳一批维修维修费以及物业管理费用于维护抵贷资产。</w:t>
            </w:r>
            <w:r>
              <w:rPr>
                <w:rFonts w:hint="eastAsia"/>
                <w:color w:val="000000"/>
              </w:rPr>
              <w:t>　</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eastAsia="zh-CN"/>
              </w:rPr>
            </w:pPr>
            <w:r>
              <w:rPr>
                <w:rFonts w:hint="eastAsia"/>
                <w:color w:val="000000"/>
                <w:lang w:eastAsia="zh-CN"/>
              </w:rPr>
              <w:t>目标</w:t>
            </w:r>
            <w:r>
              <w:rPr>
                <w:rFonts w:hint="eastAsia"/>
                <w:color w:val="000000"/>
                <w:lang w:val="en-US" w:eastAsia="zh-CN"/>
              </w:rPr>
              <w:t>2：因抵贷资产大多为陈年旧账，出售房产具有一定困难性，但我单位也会尽努力</w:t>
            </w:r>
            <w:r>
              <w:rPr>
                <w:rFonts w:hint="eastAsia"/>
                <w:color w:val="000000"/>
                <w:lang w:eastAsia="zh-CN"/>
              </w:rPr>
              <w:t>解决抵贷资产房屋产权问题，降低我中心资金及资产相关风险。</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因抵贷资产的特殊性，抵贷资产清理有一定困难，但我单位也在积极努力清理相关资产。本年抵贷资产清理工作虽有困难，但我单位最大限度的压缩抵贷资产管理成本，降低不必要支出。</w:t>
            </w:r>
            <w:r>
              <w:rPr>
                <w:rFonts w:hint="eastAsia"/>
                <w:color w:val="000000"/>
              </w:rPr>
              <w:t>　</w:t>
            </w:r>
          </w:p>
        </w:tc>
      </w:tr>
      <w:tr>
        <w:tblPrEx>
          <w:tblLayout w:type="fixed"/>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Layout w:type="fixed"/>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Layout w:type="fixed"/>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Layout w:type="fixed"/>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ascii="宋体" w:hAnsi="宋体" w:cs="宋体"/>
                <w:color w:val="000000"/>
                <w:szCs w:val="21"/>
                <w:lang w:eastAsia="zh-CN"/>
              </w:rPr>
              <w:t>项目完工率</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项目支出规范性</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95</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项目年度完成率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预算成本控制</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7</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万元</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2.72</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系统正常运行率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91</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政策可持续性</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sz w:val="15"/>
                <w:szCs w:val="15"/>
                <w:lang w:eastAsia="zh-CN"/>
              </w:rPr>
              <w:t>是否持续</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是</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服务对象满意度</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99</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color w:val="000000"/>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color w:val="000000"/>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2.94</w:t>
            </w:r>
          </w:p>
        </w:tc>
      </w:tr>
      <w:tr>
        <w:tblPrEx>
          <w:tblLayout w:type="fixed"/>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92.94</w:t>
            </w:r>
          </w:p>
        </w:tc>
      </w:tr>
    </w:tbl>
    <w:p/>
    <w:p/>
    <w:p/>
    <w:p/>
    <w:p/>
    <w:p/>
    <w:p/>
    <w:p/>
    <w:p/>
    <w:p/>
    <w:p/>
    <w:p/>
    <w:p/>
    <w:p/>
    <w:p/>
    <w:p/>
    <w:p/>
    <w:p/>
    <w:p/>
    <w:p/>
    <w:p/>
    <w:p/>
    <w:p/>
    <w:p/>
    <w:p/>
    <w:p/>
    <w:p/>
    <w:p/>
    <w:p/>
    <w:p/>
    <w:p/>
    <w:p/>
    <w:p/>
    <w:p/>
    <w:tbl>
      <w:tblPr>
        <w:tblStyle w:val="3"/>
        <w:tblW w:w="9276" w:type="dxa"/>
        <w:jc w:val="center"/>
        <w:tblInd w:w="0" w:type="dxa"/>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Layout w:type="fixed"/>
          <w:tblCellMar>
            <w:top w:w="0" w:type="dxa"/>
            <w:left w:w="0" w:type="dxa"/>
            <w:bottom w:w="0" w:type="dxa"/>
            <w:right w:w="0" w:type="dxa"/>
          </w:tblCellMar>
        </w:tblPrEx>
        <w:trPr>
          <w:trHeight w:val="968" w:hRule="atLeast"/>
          <w:jc w:val="center"/>
        </w:trPr>
        <w:tc>
          <w:tcPr>
            <w:tcW w:w="9276" w:type="dxa"/>
            <w:gridSpan w:val="22"/>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lang w:val="en-US" w:eastAsia="zh-CN"/>
              </w:rPr>
              <w:t>2021年抚顺市住房公积金管理中心</w:t>
            </w: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科技信息费</w:t>
            </w:r>
          </w:p>
        </w:tc>
      </w:tr>
      <w:tr>
        <w:tblPrEx>
          <w:tblLayout w:type="fixed"/>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综合科</w:t>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抚顺市住房公积金管理中心</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xml:space="preserve">月 - </w:t>
            </w: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月</w:t>
            </w:r>
          </w:p>
        </w:tc>
      </w:tr>
      <w:tr>
        <w:tblPrEx>
          <w:tblLayout w:type="fixed"/>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r>
              <w:rPr>
                <w:rFonts w:hint="eastAsia"/>
                <w:color w:val="000000"/>
                <w:lang w:val="en-US" w:eastAsia="zh-CN"/>
              </w:rPr>
              <w:t>462.03</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462.03</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r>
              <w:rPr>
                <w:rFonts w:hint="eastAsia"/>
                <w:color w:val="000000"/>
                <w:lang w:val="en-US" w:eastAsia="zh-CN"/>
              </w:rPr>
              <w:t>375.10</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81.18</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8.11</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290</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290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204.05</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70.36</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172.03</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174.74</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171.05</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97.89</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目标1</w:t>
            </w:r>
            <w:r>
              <w:rPr>
                <w:rFonts w:hint="eastAsia"/>
                <w:color w:val="000000"/>
                <w:lang w:eastAsia="zh-CN"/>
              </w:rPr>
              <w:t>：对中心的设备进行了核心存储升级，保证了中心核心业务的安全和稳定。加强中心系统的各项风险防范措施，杜绝危险萌芽。</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本年度我单位对中心系统进行了维护，供其正常运转，也进行了信息系统等级保护三级测评，保障我单位中心系统高效的为群众办理业务。</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eastAsia="zh-CN"/>
              </w:rPr>
            </w:pPr>
            <w:r>
              <w:rPr>
                <w:rFonts w:hint="eastAsia"/>
                <w:color w:val="000000"/>
                <w:lang w:eastAsia="zh-CN"/>
              </w:rPr>
              <w:t>目标</w:t>
            </w:r>
            <w:r>
              <w:rPr>
                <w:rFonts w:hint="eastAsia"/>
                <w:color w:val="000000"/>
                <w:lang w:val="en-US" w:eastAsia="zh-CN"/>
              </w:rPr>
              <w:t>2：本年继续推进一体化系统建设，尤其是跨省通办业务。</w:t>
            </w:r>
            <w:r>
              <w:rPr>
                <w:rFonts w:hint="eastAsia"/>
                <w:color w:val="000000"/>
                <w:lang w:eastAsia="zh-CN"/>
              </w:rPr>
              <w:t>进一步便利缴存职工办理各项业务，提升中心服务水平，方便于民。完成国家对公积金管理中心的政策要求和检查的要求。</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本年度在预算控制内，我单位持续推进一体化建设，于本年年底上线跨省通办业务，不断提升了我单位的服务质效。</w:t>
            </w:r>
            <w:r>
              <w:rPr>
                <w:rFonts w:hint="eastAsia"/>
                <w:color w:val="000000"/>
              </w:rPr>
              <w:t>　</w:t>
            </w:r>
          </w:p>
        </w:tc>
      </w:tr>
      <w:tr>
        <w:tblPrEx>
          <w:tblLayout w:type="fixed"/>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Layout w:type="fixed"/>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Layout w:type="fixed"/>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Layout w:type="fixed"/>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ascii="宋体" w:hAnsi="宋体" w:cs="宋体"/>
                <w:color w:val="000000"/>
                <w:szCs w:val="21"/>
                <w:lang w:eastAsia="zh-CN"/>
              </w:rPr>
              <w:t>故障修复完成率</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95</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信息系统运维验收合格率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95</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故障应急响应及时率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95</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预算成本控制</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464.74</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万元</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376.08</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系统正常运行率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98</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系统重大故障发生次数</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次</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服务对象满意度</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98</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99</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color w:val="000000"/>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color w:val="000000"/>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8.11</w:t>
            </w:r>
          </w:p>
        </w:tc>
      </w:tr>
      <w:tr>
        <w:tblPrEx>
          <w:tblLayout w:type="fixed"/>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98.11</w:t>
            </w:r>
          </w:p>
        </w:tc>
      </w:tr>
    </w:tbl>
    <w:p/>
    <w:p/>
    <w:p/>
    <w:p/>
    <w:p/>
    <w:p/>
    <w:p/>
    <w:p/>
    <w:p/>
    <w:p/>
    <w:p/>
    <w:p/>
    <w:p/>
    <w:p/>
    <w:p/>
    <w:p/>
    <w:p/>
    <w:p/>
    <w:p/>
    <w:p/>
    <w:p/>
    <w:p/>
    <w:p/>
    <w:p/>
    <w:p/>
    <w:p/>
    <w:p/>
    <w:p/>
    <w:tbl>
      <w:tblPr>
        <w:tblStyle w:val="3"/>
        <w:tblW w:w="9276" w:type="dxa"/>
        <w:jc w:val="center"/>
        <w:tblInd w:w="0" w:type="dxa"/>
        <w:tblLayout w:type="fixed"/>
        <w:tblCellMar>
          <w:top w:w="0" w:type="dxa"/>
          <w:left w:w="0" w:type="dxa"/>
          <w:bottom w:w="0" w:type="dxa"/>
          <w:right w:w="0" w:type="dxa"/>
        </w:tblCellMar>
      </w:tblPr>
      <w:tblGrid>
        <w:gridCol w:w="379"/>
        <w:gridCol w:w="400"/>
        <w:gridCol w:w="584"/>
        <w:gridCol w:w="650"/>
        <w:gridCol w:w="700"/>
        <w:gridCol w:w="400"/>
        <w:gridCol w:w="433"/>
        <w:gridCol w:w="510"/>
        <w:gridCol w:w="57"/>
        <w:gridCol w:w="450"/>
        <w:gridCol w:w="358"/>
        <w:gridCol w:w="358"/>
        <w:gridCol w:w="578"/>
        <w:gridCol w:w="14"/>
        <w:gridCol w:w="586"/>
        <w:gridCol w:w="175"/>
        <w:gridCol w:w="475"/>
        <w:gridCol w:w="242"/>
        <w:gridCol w:w="307"/>
        <w:gridCol w:w="496"/>
        <w:gridCol w:w="160"/>
        <w:gridCol w:w="393"/>
        <w:gridCol w:w="571"/>
      </w:tblGrid>
      <w:tr>
        <w:tblPrEx>
          <w:tblLayout w:type="fixed"/>
          <w:tblCellMar>
            <w:top w:w="0" w:type="dxa"/>
            <w:left w:w="0" w:type="dxa"/>
            <w:bottom w:w="0" w:type="dxa"/>
            <w:right w:w="0" w:type="dxa"/>
          </w:tblCellMar>
        </w:tblPrEx>
        <w:trPr>
          <w:trHeight w:val="968" w:hRule="atLeast"/>
          <w:jc w:val="center"/>
        </w:trPr>
        <w:tc>
          <w:tcPr>
            <w:tcW w:w="9276" w:type="dxa"/>
            <w:gridSpan w:val="23"/>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lang w:val="en-US" w:eastAsia="zh-CN"/>
              </w:rPr>
              <w:t>2021年</w:t>
            </w:r>
            <w:r>
              <w:rPr>
                <w:rFonts w:hint="eastAsia" w:ascii="宋体" w:hAnsi="宋体" w:cs="宋体"/>
                <w:b/>
                <w:bCs/>
                <w:sz w:val="44"/>
                <w:szCs w:val="44"/>
                <w:lang w:eastAsia="zh-CN"/>
              </w:rPr>
              <w:t>抚顺市住房公积金管理中心</w:t>
            </w: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合同制员工相关费用</w:t>
            </w:r>
          </w:p>
        </w:tc>
      </w:tr>
      <w:tr>
        <w:tblPrEx>
          <w:tblLayout w:type="fixed"/>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综合科</w:t>
            </w:r>
          </w:p>
        </w:tc>
      </w:tr>
      <w:tr>
        <w:tblPrEx>
          <w:tblLayout w:type="fixed"/>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抚顺市住房公积金管理中心</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xml:space="preserve">月 - </w:t>
            </w:r>
            <w:r>
              <w:rPr>
                <w:rFonts w:hint="eastAsia" w:ascii="宋体" w:hAnsi="宋体" w:cs="宋体"/>
                <w:color w:val="000000"/>
                <w:kern w:val="0"/>
                <w:sz w:val="18"/>
                <w:szCs w:val="18"/>
                <w:lang w:val="en-US" w:eastAsia="zh-CN"/>
              </w:rPr>
              <w:t>2021</w:t>
            </w:r>
            <w:r>
              <w:rPr>
                <w:rFonts w:hint="eastAsia" w:ascii="宋体" w:hAnsi="宋体" w:cs="宋体"/>
                <w:color w:val="000000"/>
                <w:kern w:val="0"/>
                <w:sz w:val="18"/>
                <w:szCs w:val="18"/>
              </w:rPr>
              <w:t xml:space="preserve">年 </w:t>
            </w: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月</w:t>
            </w:r>
          </w:p>
        </w:tc>
      </w:tr>
      <w:tr>
        <w:tblPrEx>
          <w:tblLayout w:type="fixed"/>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r>
              <w:rPr>
                <w:rFonts w:hint="eastAsia"/>
                <w:color w:val="000000"/>
                <w:lang w:val="en-US" w:eastAsia="zh-CN"/>
              </w:rPr>
              <w:t>113.53</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113.53</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101.90</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89.76</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8.97</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109.8</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109.8</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101.90</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92.80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3.73</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3.73</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val="en-US" w:eastAsia="zh-CN"/>
              </w:rPr>
            </w:pPr>
            <w:r>
              <w:rPr>
                <w:rFonts w:hint="eastAsia"/>
                <w:color w:val="000000"/>
                <w:lang w:val="en-US" w:eastAsia="zh-CN"/>
              </w:rPr>
              <w:t>0</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目标1</w:t>
            </w:r>
            <w:r>
              <w:rPr>
                <w:rFonts w:hint="eastAsia"/>
                <w:color w:val="000000"/>
                <w:lang w:eastAsia="zh-CN"/>
              </w:rPr>
              <w:t>：保障我单位按照《劳动合同法》规定合同制员工超过10年以上的工资标准、劳动报酬、工作时间、休息休假、劳动安全卫生、保险福利等均与在职职工享受同等待遇。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color w:val="000000"/>
              </w:rPr>
            </w:pPr>
            <w:r>
              <w:rPr>
                <w:rFonts w:hint="eastAsia"/>
                <w:color w:val="000000"/>
                <w:lang w:eastAsia="zh-CN"/>
              </w:rPr>
              <w:t>我单位全年及时发放合同制员工工资以及其他福利，尤其超十年合同工保障他们拥有与在职职工相同的待遇</w:t>
            </w:r>
            <w:r>
              <w:rPr>
                <w:rFonts w:hint="eastAsia"/>
                <w:color w:val="000000"/>
              </w:rPr>
              <w:t>　</w:t>
            </w:r>
          </w:p>
        </w:tc>
      </w:tr>
      <w:tr>
        <w:tblPrEx>
          <w:tblLayout w:type="fixed"/>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eastAsia="zh-CN"/>
              </w:rPr>
            </w:pPr>
            <w:r>
              <w:rPr>
                <w:rFonts w:hint="eastAsia"/>
                <w:color w:val="000000"/>
                <w:lang w:eastAsia="zh-CN"/>
              </w:rPr>
              <w:t>目标</w:t>
            </w:r>
            <w:r>
              <w:rPr>
                <w:rFonts w:hint="eastAsia"/>
                <w:color w:val="000000"/>
                <w:lang w:val="en-US" w:eastAsia="zh-CN"/>
              </w:rPr>
              <w:t>2：在预算控制内保障合同工人员相关福利，为我市职工提供更好的归集和贷款服务，提升我单位服务质效。</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color w:val="000000"/>
              </w:rPr>
            </w:pPr>
            <w:r>
              <w:rPr>
                <w:rFonts w:hint="eastAsia"/>
                <w:color w:val="000000"/>
                <w:lang w:eastAsia="zh-CN"/>
              </w:rPr>
              <w:t>我单位合同制员工作为主要的面向群众的服务人员，能到做微笑服务、礼貌用语，为职工带来良好的业务办理体验同时也在不断深化加强营商环境建设。</w:t>
            </w:r>
          </w:p>
        </w:tc>
      </w:tr>
      <w:tr>
        <w:tblPrEx>
          <w:tblLayout w:type="fixed"/>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Layout w:type="fixed"/>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1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50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Layout w:type="fixed"/>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1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07" w:type="dxa"/>
            <w:gridSpan w:val="2"/>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Layout w:type="fixed"/>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ascii="宋体" w:hAnsi="宋体" w:cs="宋体"/>
                <w:color w:val="000000"/>
                <w:szCs w:val="21"/>
                <w:lang w:eastAsia="zh-CN"/>
              </w:rPr>
              <w:t>项目完工率</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98</w:t>
            </w: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经费支出规范性</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95</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项目年度完成率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98</w:t>
            </w: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预算成本控制</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175</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万元</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124.72</w:t>
            </w: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系统正常运行率</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91</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政策可持续性</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sz w:val="15"/>
                <w:szCs w:val="15"/>
                <w:lang w:eastAsia="zh-CN"/>
              </w:rPr>
              <w:t>是否持续</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是</w:t>
            </w: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eastAsia="宋体"/>
                <w:color w:val="000000"/>
                <w:lang w:eastAsia="zh-CN"/>
              </w:rPr>
            </w:pPr>
            <w:r>
              <w:rPr>
                <w:rFonts w:hint="eastAsia"/>
                <w:color w:val="000000"/>
                <w:lang w:eastAsia="zh-CN"/>
              </w:rPr>
              <w:t>服务对象满意度</w:t>
            </w:r>
            <w:bookmarkStart w:id="0" w:name="_GoBack"/>
            <w:bookmarkEnd w:id="0"/>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90</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99</w:t>
            </w: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0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Layout w:type="fixed"/>
          <w:tblCellMar>
            <w:top w:w="0" w:type="dxa"/>
            <w:left w:w="0" w:type="dxa"/>
            <w:bottom w:w="0" w:type="dxa"/>
            <w:right w:w="0" w:type="dxa"/>
          </w:tblCellMar>
        </w:tblPrEx>
        <w:trPr>
          <w:trHeight w:val="489" w:hRule="atLeast"/>
          <w:jc w:val="center"/>
        </w:trPr>
        <w:tc>
          <w:tcPr>
            <w:tcW w:w="4563"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color w:val="000000"/>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color w:val="000000"/>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8.97</w:t>
            </w:r>
          </w:p>
        </w:tc>
      </w:tr>
      <w:tr>
        <w:tblPrEx>
          <w:tblLayout w:type="fixed"/>
          <w:tblCellMar>
            <w:top w:w="0" w:type="dxa"/>
            <w:left w:w="0" w:type="dxa"/>
            <w:bottom w:w="0" w:type="dxa"/>
            <w:right w:w="0" w:type="dxa"/>
          </w:tblCellMar>
        </w:tblPrEx>
        <w:trPr>
          <w:trHeight w:val="414" w:hRule="atLeast"/>
          <w:jc w:val="center"/>
        </w:trPr>
        <w:tc>
          <w:tcPr>
            <w:tcW w:w="4563"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98.97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34215"/>
    <w:rsid w:val="068A7A84"/>
    <w:rsid w:val="0971222D"/>
    <w:rsid w:val="0A8A7AF2"/>
    <w:rsid w:val="0D56343B"/>
    <w:rsid w:val="11982BD1"/>
    <w:rsid w:val="11AA7664"/>
    <w:rsid w:val="11BF4127"/>
    <w:rsid w:val="13DD32B2"/>
    <w:rsid w:val="1A184984"/>
    <w:rsid w:val="1B205087"/>
    <w:rsid w:val="20085B3E"/>
    <w:rsid w:val="25F02965"/>
    <w:rsid w:val="27F3787C"/>
    <w:rsid w:val="28834128"/>
    <w:rsid w:val="2A543189"/>
    <w:rsid w:val="338C0002"/>
    <w:rsid w:val="3B0041AA"/>
    <w:rsid w:val="3B4C0C87"/>
    <w:rsid w:val="3C334215"/>
    <w:rsid w:val="465B6236"/>
    <w:rsid w:val="46A04CC2"/>
    <w:rsid w:val="4B55479B"/>
    <w:rsid w:val="51341BC8"/>
    <w:rsid w:val="535A4ECF"/>
    <w:rsid w:val="56A16BD6"/>
    <w:rsid w:val="57330121"/>
    <w:rsid w:val="596B7E44"/>
    <w:rsid w:val="5D0906F5"/>
    <w:rsid w:val="5E1C5A4C"/>
    <w:rsid w:val="61813596"/>
    <w:rsid w:val="64F759B8"/>
    <w:rsid w:val="665E599C"/>
    <w:rsid w:val="68433469"/>
    <w:rsid w:val="68F70B14"/>
    <w:rsid w:val="6A7B0957"/>
    <w:rsid w:val="6E6E0968"/>
    <w:rsid w:val="6F0979DA"/>
    <w:rsid w:val="7C233639"/>
    <w:rsid w:val="7C75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2022-08-05T05:25:00Z</dcterms:created>
  <dc:creator>Administrator</dc:creator>
  <cp:lastModifiedBy>Administrator</cp:lastModifiedBy>
  <dcterms:modified xsi:type="dcterms:W3CDTF">2022-08-05T06:57:53Z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