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9276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79"/>
        <w:gridCol w:w="400"/>
        <w:gridCol w:w="584"/>
        <w:gridCol w:w="650"/>
        <w:gridCol w:w="700"/>
        <w:gridCol w:w="400"/>
        <w:gridCol w:w="433"/>
        <w:gridCol w:w="567"/>
        <w:gridCol w:w="568"/>
        <w:gridCol w:w="240"/>
        <w:gridCol w:w="358"/>
        <w:gridCol w:w="578"/>
        <w:gridCol w:w="14"/>
        <w:gridCol w:w="586"/>
        <w:gridCol w:w="175"/>
        <w:gridCol w:w="475"/>
        <w:gridCol w:w="242"/>
        <w:gridCol w:w="307"/>
        <w:gridCol w:w="496"/>
        <w:gridCol w:w="160"/>
        <w:gridCol w:w="393"/>
        <w:gridCol w:w="57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8" w:hRule="atLeast"/>
          <w:jc w:val="center"/>
        </w:trPr>
        <w:tc>
          <w:tcPr>
            <w:tcW w:w="9276" w:type="dxa"/>
            <w:gridSpan w:val="22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 w:ascii="宋体" w:hAnsi="宋体" w:cs="宋体"/>
                <w:b/>
                <w:bCs/>
                <w:sz w:val="44"/>
                <w:szCs w:val="44"/>
              </w:rPr>
              <w:t>市</w:t>
            </w:r>
            <w:r>
              <w:rPr>
                <w:rFonts w:hint="eastAsia" w:ascii="宋体" w:hAnsi="宋体" w:cs="宋体"/>
                <w:b/>
                <w:bCs/>
                <w:sz w:val="44"/>
                <w:szCs w:val="44"/>
                <w:lang w:val="en-US" w:eastAsia="zh-CN"/>
              </w:rPr>
              <w:t>2021年抚顺市社会福利保障中心</w:t>
            </w:r>
            <w:r>
              <w:rPr>
                <w:rFonts w:hint="eastAsia" w:ascii="宋体" w:hAnsi="宋体" w:cs="宋体"/>
                <w:b/>
                <w:bCs/>
                <w:sz w:val="44"/>
                <w:szCs w:val="44"/>
              </w:rPr>
              <w:t>预算项目（政策）绩效目标自评表</w:t>
            </w:r>
            <w:r>
              <w:rPr>
                <w:rFonts w:ascii="宋体" w:hAnsi="宋体" w:cs="宋体"/>
                <w:sz w:val="44"/>
                <w:szCs w:val="44"/>
              </w:rPr>
              <w:t xml:space="preserve"> </w:t>
            </w:r>
            <w:r>
              <w:rPr>
                <w:rFonts w:ascii="宋体" w:hAnsi="宋体" w:cs="宋体"/>
                <w:sz w:val="44"/>
                <w:szCs w:val="44"/>
              </w:rPr>
              <w:br w:type="textWrapping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3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项目（政策）</w:t>
            </w:r>
          </w:p>
          <w:p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7913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lang w:eastAsia="zh-CN"/>
              </w:rPr>
            </w:pPr>
            <w:r>
              <w:rPr>
                <w:rFonts w:hint="eastAsia"/>
                <w:color w:val="000000"/>
                <w:lang w:eastAsia="zh-CN"/>
              </w:rPr>
              <w:t>抚顺市福利彩票中心市场宣传推广费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  <w:jc w:val="center"/>
        </w:trPr>
        <w:tc>
          <w:tcPr>
            <w:tcW w:w="13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</w:rPr>
              <w:t>主管部门</w:t>
            </w:r>
          </w:p>
        </w:tc>
        <w:tc>
          <w:tcPr>
            <w:tcW w:w="7913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抚顺市社会福利保障中心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3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实施单位</w:t>
            </w:r>
          </w:p>
        </w:tc>
        <w:tc>
          <w:tcPr>
            <w:tcW w:w="39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hint="default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eastAsia="zh-CN"/>
              </w:rPr>
              <w:t>抚顺市福利彩票中心</w:t>
            </w:r>
          </w:p>
        </w:tc>
        <w:tc>
          <w:tcPr>
            <w:tcW w:w="13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实施期</w:t>
            </w:r>
          </w:p>
        </w:tc>
        <w:tc>
          <w:tcPr>
            <w:tcW w:w="264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2021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-2021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12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  <w:jc w:val="center"/>
        </w:trPr>
        <w:tc>
          <w:tcPr>
            <w:tcW w:w="136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项目预算资金</w:t>
            </w:r>
          </w:p>
        </w:tc>
        <w:tc>
          <w:tcPr>
            <w:tcW w:w="21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年初</w:t>
            </w:r>
          </w:p>
          <w:p>
            <w:pPr>
              <w:jc w:val="center"/>
            </w:pPr>
            <w:r>
              <w:rPr>
                <w:rFonts w:hint="eastAsia"/>
              </w:rPr>
              <w:t>预算数</w:t>
            </w:r>
          </w:p>
        </w:tc>
        <w:tc>
          <w:tcPr>
            <w:tcW w:w="1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全年预算数（</w:t>
            </w:r>
            <w:r>
              <w:t>A</w:t>
            </w:r>
            <w:r>
              <w:rPr>
                <w:rFonts w:hint="eastAsia"/>
              </w:rPr>
              <w:t>）</w:t>
            </w:r>
          </w:p>
        </w:tc>
        <w:tc>
          <w:tcPr>
            <w:tcW w:w="13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全年执行数（</w:t>
            </w:r>
            <w:r>
              <w:t>B</w:t>
            </w:r>
            <w:r>
              <w:rPr>
                <w:rFonts w:hint="eastAsia"/>
              </w:rPr>
              <w:t>）</w:t>
            </w:r>
          </w:p>
        </w:tc>
        <w:tc>
          <w:tcPr>
            <w:tcW w:w="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分值</w:t>
            </w:r>
          </w:p>
        </w:tc>
        <w:tc>
          <w:tcPr>
            <w:tcW w:w="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执行率（</w:t>
            </w:r>
            <w:r>
              <w:t>B/A)</w:t>
            </w:r>
          </w:p>
        </w:tc>
        <w:tc>
          <w:tcPr>
            <w:tcW w:w="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得分</w:t>
            </w:r>
          </w:p>
          <w:p>
            <w:pPr>
              <w:jc w:val="center"/>
            </w:pPr>
            <w:r>
              <w:rPr>
                <w:rFonts w:hint="eastAsia"/>
              </w:rPr>
              <w:t>（分值</w:t>
            </w:r>
            <w:r>
              <w:t>*B/A</w:t>
            </w:r>
            <w:r>
              <w:rPr>
                <w:rFonts w:hint="eastAsia"/>
              </w:rPr>
              <w:t>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36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21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年度预算资金总额：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46.9</w:t>
            </w: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1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46.9</w:t>
            </w:r>
          </w:p>
        </w:tc>
        <w:tc>
          <w:tcPr>
            <w:tcW w:w="13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lang w:val="en-US" w:eastAsia="zh-CN"/>
              </w:rPr>
            </w:pPr>
            <w:r>
              <w:rPr>
                <w:color w:val="000000"/>
              </w:rPr>
              <w:t>17.</w:t>
            </w:r>
            <w:r>
              <w:rPr>
                <w:rFonts w:hint="eastAsia"/>
                <w:color w:val="000000"/>
                <w:lang w:val="en-US" w:eastAsia="zh-CN"/>
              </w:rPr>
              <w:t>59</w:t>
            </w:r>
          </w:p>
        </w:tc>
        <w:tc>
          <w:tcPr>
            <w:tcW w:w="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37.5%</w:t>
            </w:r>
          </w:p>
        </w:tc>
        <w:tc>
          <w:tcPr>
            <w:tcW w:w="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36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21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其中：财政拨款收入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1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3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——</w:t>
            </w:r>
          </w:p>
        </w:tc>
        <w:tc>
          <w:tcPr>
            <w:tcW w:w="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——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36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21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 w:ascii="宋体" w:hAnsi="宋体" w:cs="宋体"/>
                <w:kern w:val="0"/>
                <w:szCs w:val="21"/>
              </w:rPr>
              <w:t>中央提前告知转移支付资金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3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——</w:t>
            </w:r>
          </w:p>
        </w:tc>
        <w:tc>
          <w:tcPr>
            <w:tcW w:w="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——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36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21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 w:ascii="宋体" w:hAnsi="宋体" w:cs="宋体"/>
                <w:kern w:val="0"/>
                <w:szCs w:val="21"/>
              </w:rPr>
              <w:t>纳入预算管理的行政事业性收费等非税收入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3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——</w:t>
            </w:r>
          </w:p>
        </w:tc>
        <w:tc>
          <w:tcPr>
            <w:tcW w:w="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——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  <w:jc w:val="center"/>
        </w:trPr>
        <w:tc>
          <w:tcPr>
            <w:tcW w:w="136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21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 w:ascii="宋体" w:hAnsi="宋体" w:cs="宋体"/>
                <w:kern w:val="0"/>
                <w:szCs w:val="21"/>
              </w:rPr>
              <w:t>纳入政府性基金预算管理收入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46.9</w:t>
            </w:r>
          </w:p>
        </w:tc>
        <w:tc>
          <w:tcPr>
            <w:tcW w:w="1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46.90</w:t>
            </w:r>
          </w:p>
        </w:tc>
        <w:tc>
          <w:tcPr>
            <w:tcW w:w="13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lang w:val="en-US" w:eastAsia="zh-CN"/>
              </w:rPr>
            </w:pPr>
            <w:r>
              <w:rPr>
                <w:color w:val="000000"/>
              </w:rPr>
              <w:t>17</w:t>
            </w:r>
            <w:r>
              <w:rPr>
                <w:rFonts w:hint="eastAsia"/>
                <w:color w:val="000000"/>
                <w:lang w:val="en-US" w:eastAsia="zh-CN"/>
              </w:rPr>
              <w:t>.59</w:t>
            </w:r>
          </w:p>
        </w:tc>
        <w:tc>
          <w:tcPr>
            <w:tcW w:w="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——</w:t>
            </w:r>
          </w:p>
        </w:tc>
        <w:tc>
          <w:tcPr>
            <w:tcW w:w="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37.5%</w:t>
            </w:r>
          </w:p>
        </w:tc>
        <w:tc>
          <w:tcPr>
            <w:tcW w:w="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——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36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21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 w:ascii="宋体" w:hAnsi="宋体" w:cs="宋体"/>
                <w:kern w:val="0"/>
                <w:szCs w:val="21"/>
              </w:rPr>
              <w:t>纳入专户管理的行政事业性收费等非税收入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3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——</w:t>
            </w:r>
          </w:p>
        </w:tc>
        <w:tc>
          <w:tcPr>
            <w:tcW w:w="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——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36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21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 w:ascii="宋体" w:hAnsi="宋体" w:cs="宋体"/>
                <w:kern w:val="0"/>
                <w:szCs w:val="21"/>
              </w:rPr>
              <w:t>上年结转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3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——</w:t>
            </w:r>
          </w:p>
        </w:tc>
        <w:tc>
          <w:tcPr>
            <w:tcW w:w="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——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36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21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 w:ascii="宋体" w:hAnsi="宋体" w:cs="宋体"/>
                <w:kern w:val="0"/>
                <w:szCs w:val="21"/>
              </w:rPr>
              <w:t>其他收入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3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——</w:t>
            </w:r>
          </w:p>
        </w:tc>
        <w:tc>
          <w:tcPr>
            <w:tcW w:w="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——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36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年度总体目标</w:t>
            </w:r>
          </w:p>
        </w:tc>
        <w:tc>
          <w:tcPr>
            <w:tcW w:w="39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年初设定目标</w:t>
            </w:r>
          </w:p>
        </w:tc>
        <w:tc>
          <w:tcPr>
            <w:tcW w:w="399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全年实际完成情况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36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39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目标</w:t>
            </w:r>
            <w:r>
              <w:rPr>
                <w:color w:val="000000"/>
              </w:rPr>
              <w:t>1</w:t>
            </w:r>
            <w:r>
              <w:rPr>
                <w:rFonts w:hint="eastAsia"/>
                <w:color w:val="000000"/>
              </w:rPr>
              <w:t>：</w:t>
            </w:r>
            <w:r>
              <w:rPr>
                <w:rFonts w:hint="eastAsia"/>
                <w:color w:val="000000"/>
                <w:lang w:eastAsia="zh-CN"/>
              </w:rPr>
              <w:t>确保福彩宣传工作正常运行</w:t>
            </w:r>
          </w:p>
        </w:tc>
        <w:tc>
          <w:tcPr>
            <w:tcW w:w="399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eastAsia="zh-CN"/>
              </w:rPr>
              <w:t>按照实际发生完成支付</w:t>
            </w:r>
            <w:r>
              <w:rPr>
                <w:rFonts w:hint="eastAsia"/>
                <w:color w:val="00000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 w:hRule="atLeast"/>
          <w:jc w:val="center"/>
        </w:trPr>
        <w:tc>
          <w:tcPr>
            <w:tcW w:w="136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39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目标</w:t>
            </w:r>
            <w:r>
              <w:rPr>
                <w:color w:val="000000"/>
              </w:rPr>
              <w:t>2</w:t>
            </w:r>
          </w:p>
        </w:tc>
        <w:tc>
          <w:tcPr>
            <w:tcW w:w="399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 w:hRule="atLeast"/>
          <w:jc w:val="center"/>
        </w:trPr>
        <w:tc>
          <w:tcPr>
            <w:tcW w:w="136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39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……</w:t>
            </w:r>
          </w:p>
        </w:tc>
        <w:tc>
          <w:tcPr>
            <w:tcW w:w="399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1" w:hRule="atLeast"/>
          <w:jc w:val="center"/>
        </w:trPr>
        <w:tc>
          <w:tcPr>
            <w:tcW w:w="3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绩效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绩效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  <w:p>
            <w:pPr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一级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</w:tc>
        <w:tc>
          <w:tcPr>
            <w:tcW w:w="5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二级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</w:tc>
        <w:tc>
          <w:tcPr>
            <w:tcW w:w="6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三级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</w:tc>
        <w:tc>
          <w:tcPr>
            <w:tcW w:w="15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年度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目标值</w:t>
            </w:r>
          </w:p>
        </w:tc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全年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完成值</w:t>
            </w:r>
          </w:p>
        </w:tc>
        <w:tc>
          <w:tcPr>
            <w:tcW w:w="5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完成程度</w:t>
            </w:r>
          </w:p>
        </w:tc>
        <w:tc>
          <w:tcPr>
            <w:tcW w:w="2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分值</w:t>
            </w:r>
          </w:p>
        </w:tc>
        <w:tc>
          <w:tcPr>
            <w:tcW w:w="3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得分</w:t>
            </w:r>
          </w:p>
        </w:tc>
        <w:tc>
          <w:tcPr>
            <w:tcW w:w="342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未完成原因分析</w:t>
            </w:r>
          </w:p>
          <w:p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（请在相应选项下划“√”并在原因说明中分项阐述）</w:t>
            </w:r>
          </w:p>
        </w:tc>
        <w:tc>
          <w:tcPr>
            <w:tcW w:w="5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改进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措施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6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运算</w:t>
            </w:r>
          </w:p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符号</w:t>
            </w: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内容</w:t>
            </w: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度量单位</w:t>
            </w:r>
          </w:p>
        </w:tc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经费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保障</w:t>
            </w:r>
          </w:p>
        </w:tc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制度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保障</w:t>
            </w: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人员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保障</w:t>
            </w: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硬件条件保障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原因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说明</w:t>
            </w:r>
          </w:p>
        </w:tc>
        <w:tc>
          <w:tcPr>
            <w:tcW w:w="5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产出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产出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</w:tc>
        <w:tc>
          <w:tcPr>
            <w:tcW w:w="5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数量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指标</w:t>
            </w:r>
            <w:r>
              <w:rPr>
                <w:rFonts w:ascii="宋体" w:hAnsi="宋体" w:cs="宋体"/>
                <w:color w:val="000000"/>
                <w:szCs w:val="21"/>
              </w:rPr>
              <w:t>1</w:t>
            </w:r>
          </w:p>
        </w:tc>
        <w:tc>
          <w:tcPr>
            <w:tcW w:w="7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“</w:t>
            </w:r>
            <w:r>
              <w:rPr>
                <w:rFonts w:ascii="仿宋_GB2312" w:hAnsi="仿宋_GB2312" w:eastAsia="仿宋_GB2312" w:cs="仿宋_GB2312"/>
                <w:szCs w:val="21"/>
              </w:rPr>
              <w:t>=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”“≤”“≥”“＜”“＞”</w:t>
            </w:r>
          </w:p>
          <w:p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tabs>
                <w:tab w:val="left" w:pos="545"/>
              </w:tabs>
              <w:jc w:val="left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15"/>
                <w:szCs w:val="15"/>
                <w:lang w:eastAsia="zh-CN"/>
              </w:rPr>
              <w:t>宣传覆盖</w:t>
            </w:r>
            <w:r>
              <w:rPr>
                <w:rFonts w:hint="eastAsia" w:ascii="宋体" w:hAnsi="宋体" w:cs="宋体"/>
                <w:color w:val="000000"/>
                <w:sz w:val="15"/>
                <w:szCs w:val="15"/>
              </w:rPr>
              <w:t>率</w:t>
            </w: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tabs>
                <w:tab w:val="left" w:pos="545"/>
              </w:tabs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%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100%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100%</w:t>
            </w:r>
          </w:p>
        </w:tc>
        <w:tc>
          <w:tcPr>
            <w:tcW w:w="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12</w:t>
            </w: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12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指标</w:t>
            </w:r>
            <w:r>
              <w:rPr>
                <w:rFonts w:ascii="宋体" w:hAnsi="宋体" w:cs="宋体"/>
                <w:color w:val="000000"/>
                <w:szCs w:val="21"/>
              </w:rPr>
              <w:t>2</w:t>
            </w: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质量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指标</w:t>
            </w:r>
            <w:r>
              <w:rPr>
                <w:rFonts w:ascii="宋体" w:hAnsi="宋体" w:cs="宋体"/>
                <w:color w:val="000000"/>
                <w:szCs w:val="21"/>
              </w:rPr>
              <w:t>1</w:t>
            </w: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15"/>
                <w:szCs w:val="15"/>
              </w:rPr>
              <w:t>正常运转率</w:t>
            </w: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%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100%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100%</w:t>
            </w:r>
          </w:p>
        </w:tc>
        <w:tc>
          <w:tcPr>
            <w:tcW w:w="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12</w:t>
            </w: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12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指标</w:t>
            </w:r>
            <w:r>
              <w:rPr>
                <w:rFonts w:ascii="宋体" w:hAnsi="宋体" w:cs="宋体"/>
                <w:color w:val="000000"/>
                <w:szCs w:val="21"/>
              </w:rPr>
              <w:t>2</w:t>
            </w: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时效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指标</w:t>
            </w:r>
            <w:r>
              <w:rPr>
                <w:rFonts w:ascii="宋体" w:hAnsi="宋体" w:cs="宋体"/>
                <w:color w:val="000000"/>
                <w:szCs w:val="21"/>
              </w:rPr>
              <w:t>1</w:t>
            </w: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15"/>
                <w:szCs w:val="15"/>
              </w:rPr>
              <w:t>保障及时率</w:t>
            </w: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%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100%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100%</w:t>
            </w:r>
          </w:p>
        </w:tc>
        <w:tc>
          <w:tcPr>
            <w:tcW w:w="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13</w:t>
            </w: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13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指标</w:t>
            </w:r>
            <w:r>
              <w:rPr>
                <w:rFonts w:ascii="宋体" w:hAnsi="宋体" w:cs="宋体"/>
                <w:color w:val="000000"/>
                <w:szCs w:val="21"/>
              </w:rPr>
              <w:t>2</w:t>
            </w: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成本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指标</w:t>
            </w:r>
            <w:r>
              <w:rPr>
                <w:rFonts w:ascii="宋体" w:hAnsi="宋体" w:cs="宋体"/>
                <w:color w:val="000000"/>
                <w:szCs w:val="21"/>
              </w:rPr>
              <w:t>1</w:t>
            </w: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  <w:szCs w:val="15"/>
              </w:rPr>
              <w:t>按标准保障率</w:t>
            </w: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 w:val="15"/>
                <w:szCs w:val="15"/>
              </w:rPr>
              <w:t>%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100%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100%</w:t>
            </w:r>
          </w:p>
        </w:tc>
        <w:tc>
          <w:tcPr>
            <w:tcW w:w="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13</w:t>
            </w: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13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指标</w:t>
            </w:r>
            <w:r>
              <w:rPr>
                <w:rFonts w:ascii="宋体" w:hAnsi="宋体" w:cs="宋体"/>
                <w:color w:val="000000"/>
                <w:szCs w:val="21"/>
              </w:rPr>
              <w:t>2</w:t>
            </w: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效益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  <w:p>
            <w:pPr>
              <w:jc w:val="center"/>
              <w:rPr>
                <w:color w:val="000000"/>
              </w:rPr>
            </w:pPr>
          </w:p>
        </w:tc>
        <w:tc>
          <w:tcPr>
            <w:tcW w:w="5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经济效益指标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指标</w:t>
            </w:r>
            <w:r>
              <w:rPr>
                <w:rFonts w:ascii="宋体" w:hAnsi="宋体" w:cs="宋体"/>
                <w:color w:val="000000"/>
                <w:szCs w:val="21"/>
              </w:rPr>
              <w:t>1</w:t>
            </w: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指标</w:t>
            </w:r>
            <w:r>
              <w:rPr>
                <w:rFonts w:ascii="宋体" w:hAnsi="宋体" w:cs="宋体"/>
                <w:color w:val="000000"/>
                <w:szCs w:val="21"/>
              </w:rPr>
              <w:t>2</w:t>
            </w: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社会效益指标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指标</w:t>
            </w:r>
            <w:r>
              <w:rPr>
                <w:rFonts w:ascii="宋体" w:hAnsi="宋体" w:cs="宋体"/>
                <w:color w:val="000000"/>
                <w:szCs w:val="21"/>
              </w:rPr>
              <w:t>1</w:t>
            </w: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15"/>
                <w:szCs w:val="15"/>
              </w:rPr>
              <w:t>确保机关事业单位平稳运行</w:t>
            </w: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%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100%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100%</w:t>
            </w:r>
          </w:p>
        </w:tc>
        <w:tc>
          <w:tcPr>
            <w:tcW w:w="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20</w:t>
            </w: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20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指标</w:t>
            </w:r>
            <w:r>
              <w:rPr>
                <w:rFonts w:ascii="宋体" w:hAnsi="宋体" w:cs="宋体"/>
                <w:color w:val="000000"/>
                <w:szCs w:val="21"/>
              </w:rPr>
              <w:t>2</w:t>
            </w: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生态效益指标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指标</w:t>
            </w:r>
            <w:r>
              <w:rPr>
                <w:rFonts w:ascii="宋体" w:hAnsi="宋体" w:cs="宋体"/>
                <w:color w:val="000000"/>
                <w:szCs w:val="21"/>
              </w:rPr>
              <w:t>1</w:t>
            </w: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指标</w:t>
            </w:r>
            <w:r>
              <w:rPr>
                <w:rFonts w:ascii="宋体" w:hAnsi="宋体" w:cs="宋体"/>
                <w:color w:val="000000"/>
                <w:szCs w:val="21"/>
              </w:rPr>
              <w:t>2</w:t>
            </w: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可持续影响指标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指标</w:t>
            </w:r>
            <w:r>
              <w:rPr>
                <w:rFonts w:ascii="宋体" w:hAnsi="宋体" w:cs="宋体"/>
                <w:color w:val="000000"/>
                <w:szCs w:val="21"/>
              </w:rPr>
              <w:t>1</w:t>
            </w: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13"/>
                <w:szCs w:val="13"/>
              </w:rPr>
              <w:t>保障水平</w:t>
            </w: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%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100%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100%</w:t>
            </w:r>
          </w:p>
        </w:tc>
        <w:tc>
          <w:tcPr>
            <w:tcW w:w="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指标</w:t>
            </w:r>
            <w:r>
              <w:rPr>
                <w:rFonts w:ascii="宋体" w:hAnsi="宋体" w:cs="宋体"/>
                <w:color w:val="000000"/>
                <w:szCs w:val="21"/>
              </w:rPr>
              <w:t>2</w:t>
            </w: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满意度指标</w:t>
            </w:r>
          </w:p>
        </w:tc>
        <w:tc>
          <w:tcPr>
            <w:tcW w:w="5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服务对象满意度指标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指标</w:t>
            </w:r>
            <w:r>
              <w:rPr>
                <w:rFonts w:ascii="宋体" w:hAnsi="宋体" w:cs="宋体"/>
                <w:color w:val="000000"/>
                <w:szCs w:val="21"/>
              </w:rPr>
              <w:t>1</w:t>
            </w: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15"/>
                <w:szCs w:val="15"/>
                <w:lang w:eastAsia="zh-CN"/>
              </w:rPr>
              <w:t>投注站及彩民</w:t>
            </w:r>
            <w:r>
              <w:rPr>
                <w:rFonts w:hint="eastAsia" w:ascii="宋体" w:hAnsi="宋体" w:cs="宋体"/>
                <w:color w:val="000000"/>
                <w:sz w:val="15"/>
                <w:szCs w:val="15"/>
              </w:rPr>
              <w:t>满意度</w:t>
            </w: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%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100%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100%</w:t>
            </w:r>
          </w:p>
        </w:tc>
        <w:tc>
          <w:tcPr>
            <w:tcW w:w="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10</w:t>
            </w: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10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指标</w:t>
            </w:r>
            <w:r>
              <w:rPr>
                <w:rFonts w:ascii="宋体" w:hAnsi="宋体" w:cs="宋体"/>
                <w:color w:val="000000"/>
                <w:szCs w:val="21"/>
              </w:rPr>
              <w:t>2</w:t>
            </w: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  <w:jc w:val="center"/>
        </w:trPr>
        <w:tc>
          <w:tcPr>
            <w:tcW w:w="468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产出、效益、满意度指标自评得分小计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（</w:t>
            </w:r>
            <w:r>
              <w:rPr>
                <w:color w:val="000000"/>
              </w:rPr>
              <w:t>C</w:t>
            </w:r>
            <w:r>
              <w:rPr>
                <w:rFonts w:hint="eastAsia"/>
                <w:color w:val="000000"/>
              </w:rPr>
              <w:t>）</w:t>
            </w:r>
          </w:p>
        </w:tc>
        <w:tc>
          <w:tcPr>
            <w:tcW w:w="5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237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预算执行率得分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（</w:t>
            </w:r>
            <w:r>
              <w:rPr>
                <w:color w:val="000000"/>
              </w:rPr>
              <w:t>D</w:t>
            </w:r>
            <w:r>
              <w:rPr>
                <w:rFonts w:hint="eastAsia"/>
                <w:color w:val="000000"/>
              </w:rPr>
              <w:t>）</w:t>
            </w: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468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绩效自评总得分（</w:t>
            </w:r>
            <w:r>
              <w:rPr>
                <w:color w:val="000000"/>
              </w:rPr>
              <w:t>C+D</w:t>
            </w:r>
            <w:r>
              <w:rPr>
                <w:rFonts w:hint="eastAsia"/>
                <w:color w:val="000000"/>
              </w:rPr>
              <w:t>）</w:t>
            </w:r>
          </w:p>
        </w:tc>
        <w:tc>
          <w:tcPr>
            <w:tcW w:w="459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jliZGQzOTM2M2I2YWVmMzY4NjNhZWI4ZDU2OWU4ZDUifQ=="/>
  </w:docVars>
  <w:rsids>
    <w:rsidRoot w:val="006A5A68"/>
    <w:rsid w:val="000B40F6"/>
    <w:rsid w:val="00273AFB"/>
    <w:rsid w:val="002F2533"/>
    <w:rsid w:val="00352DDB"/>
    <w:rsid w:val="003C5963"/>
    <w:rsid w:val="004724F7"/>
    <w:rsid w:val="004A1011"/>
    <w:rsid w:val="00545081"/>
    <w:rsid w:val="00551765"/>
    <w:rsid w:val="00562EDD"/>
    <w:rsid w:val="006513BC"/>
    <w:rsid w:val="006A5A68"/>
    <w:rsid w:val="007A6C2A"/>
    <w:rsid w:val="00804DD4"/>
    <w:rsid w:val="00825219"/>
    <w:rsid w:val="00893FD5"/>
    <w:rsid w:val="00944A71"/>
    <w:rsid w:val="00B91B83"/>
    <w:rsid w:val="00D00EFA"/>
    <w:rsid w:val="00D638B2"/>
    <w:rsid w:val="00E70CB9"/>
    <w:rsid w:val="00F02DFE"/>
    <w:rsid w:val="00F044D0"/>
    <w:rsid w:val="0BFC9042"/>
    <w:rsid w:val="2F5A4F27"/>
    <w:rsid w:val="34F219C9"/>
    <w:rsid w:val="357D5718"/>
    <w:rsid w:val="57E7BBA3"/>
    <w:rsid w:val="600A754C"/>
    <w:rsid w:val="76DF5587"/>
    <w:rsid w:val="7A7C7E90"/>
    <w:rsid w:val="BEF9A491"/>
    <w:rsid w:val="D5FD1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qFormat="1" w:unhideWhenUsed="0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9"/>
    <w:pPr>
      <w:keepNext/>
      <w:keepLines/>
      <w:spacing w:before="340" w:after="330" w:line="576" w:lineRule="auto"/>
      <w:outlineLvl w:val="0"/>
    </w:pPr>
    <w:rPr>
      <w:rFonts w:ascii="等线" w:eastAsia="等线" w:cs="Arial"/>
      <w:b/>
      <w:bCs/>
      <w:kern w:val="44"/>
      <w:sz w:val="44"/>
      <w:szCs w:val="44"/>
    </w:rPr>
  </w:style>
  <w:style w:type="character" w:default="1" w:styleId="9">
    <w:name w:val="Default Paragraph Font"/>
    <w:semiHidden/>
    <w:qFormat/>
    <w:uiPriority w:val="99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link w:val="12"/>
    <w:semiHidden/>
    <w:qFormat/>
    <w:uiPriority w:val="99"/>
    <w:pPr>
      <w:ind w:firstLine="645"/>
    </w:pPr>
    <w:rPr>
      <w:rFonts w:ascii="仿宋_GB2312" w:eastAsia="仿宋_GB2312"/>
      <w:sz w:val="32"/>
      <w:szCs w:val="32"/>
    </w:rPr>
  </w:style>
  <w:style w:type="paragraph" w:styleId="4">
    <w:name w:val="Balloon Text"/>
    <w:basedOn w:val="1"/>
    <w:link w:val="13"/>
    <w:semiHidden/>
    <w:qFormat/>
    <w:uiPriority w:val="99"/>
    <w:rPr>
      <w:sz w:val="18"/>
      <w:szCs w:val="18"/>
    </w:rPr>
  </w:style>
  <w:style w:type="paragraph" w:styleId="5">
    <w:name w:val="footer"/>
    <w:basedOn w:val="1"/>
    <w:link w:val="14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link w:val="15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0">
    <w:name w:val="annotation reference"/>
    <w:basedOn w:val="9"/>
    <w:semiHidden/>
    <w:qFormat/>
    <w:uiPriority w:val="99"/>
    <w:rPr>
      <w:rFonts w:cs="Times New Roman"/>
      <w:sz w:val="21"/>
      <w:szCs w:val="21"/>
    </w:rPr>
  </w:style>
  <w:style w:type="character" w:customStyle="1" w:styleId="11">
    <w:name w:val="Heading 1 Char"/>
    <w:basedOn w:val="9"/>
    <w:link w:val="2"/>
    <w:qFormat/>
    <w:locked/>
    <w:uiPriority w:val="99"/>
    <w:rPr>
      <w:rFonts w:ascii="等线" w:hAnsi="Times New Roman" w:eastAsia="等线" w:cs="Arial"/>
      <w:b/>
      <w:bCs/>
      <w:kern w:val="44"/>
      <w:sz w:val="44"/>
      <w:szCs w:val="44"/>
    </w:rPr>
  </w:style>
  <w:style w:type="character" w:customStyle="1" w:styleId="12">
    <w:name w:val="Body Text Indent Char"/>
    <w:basedOn w:val="9"/>
    <w:link w:val="3"/>
    <w:semiHidden/>
    <w:qFormat/>
    <w:locked/>
    <w:uiPriority w:val="99"/>
    <w:rPr>
      <w:rFonts w:ascii="仿宋_GB2312" w:hAnsi="Times New Roman" w:eastAsia="仿宋_GB2312" w:cs="Times New Roman"/>
      <w:sz w:val="32"/>
      <w:szCs w:val="32"/>
    </w:rPr>
  </w:style>
  <w:style w:type="character" w:customStyle="1" w:styleId="13">
    <w:name w:val="Balloon Text Char"/>
    <w:basedOn w:val="9"/>
    <w:link w:val="4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4">
    <w:name w:val="Footer Char"/>
    <w:basedOn w:val="9"/>
    <w:link w:val="5"/>
    <w:semiHidden/>
    <w:qFormat/>
    <w:locked/>
    <w:uiPriority w:val="99"/>
    <w:rPr>
      <w:rFonts w:ascii="Times New Roman" w:hAnsi="Times New Roman" w:eastAsia="宋体" w:cs="Times New Roman"/>
      <w:sz w:val="24"/>
      <w:szCs w:val="24"/>
    </w:rPr>
  </w:style>
  <w:style w:type="character" w:customStyle="1" w:styleId="15">
    <w:name w:val="Header Char"/>
    <w:basedOn w:val="9"/>
    <w:link w:val="6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6">
    <w:name w:val="正文 New New New New"/>
    <w:qFormat/>
    <w:uiPriority w:val="99"/>
    <w:pPr>
      <w:widowControl w:val="0"/>
      <w:jc w:val="both"/>
    </w:pPr>
    <w:rPr>
      <w:rFonts w:ascii="Times New Roman" w:hAnsi="Times New Roman" w:eastAsia="宋体" w:cs="黑体"/>
      <w:kern w:val="2"/>
      <w:sz w:val="21"/>
      <w:szCs w:val="22"/>
      <w:lang w:val="en-US" w:eastAsia="zh-CN" w:bidi="ar-SA"/>
    </w:rPr>
  </w:style>
  <w:style w:type="paragraph" w:customStyle="1" w:styleId="17">
    <w:name w:val="正文 New New New"/>
    <w:qFormat/>
    <w:uiPriority w:val="99"/>
    <w:pPr>
      <w:wordWrap w:val="0"/>
      <w:snapToGrid w:val="0"/>
      <w:spacing w:line="580" w:lineRule="atLeast"/>
      <w:ind w:firstLine="640"/>
      <w:jc w:val="both"/>
    </w:pPr>
    <w:rPr>
      <w:rFonts w:ascii="仿宋_GB2312" w:hAnsi="Arial" w:eastAsia="仿宋_GB2312" w:cs="Arial"/>
      <w:kern w:val="0"/>
      <w:sz w:val="28"/>
      <w:szCs w:val="28"/>
      <w:lang w:val="en-US" w:eastAsia="zh-CN" w:bidi="ar-SA"/>
    </w:rPr>
  </w:style>
  <w:style w:type="character" w:customStyle="1" w:styleId="18">
    <w:name w:val="font121"/>
    <w:basedOn w:val="9"/>
    <w:qFormat/>
    <w:uiPriority w:val="99"/>
    <w:rPr>
      <w:rFonts w:ascii="宋体" w:hAnsi="宋体" w:eastAsia="宋体" w:cs="宋体"/>
      <w:color w:val="000000"/>
      <w:sz w:val="24"/>
      <w:szCs w:val="24"/>
      <w:u w:val="none"/>
    </w:rPr>
  </w:style>
  <w:style w:type="character" w:customStyle="1" w:styleId="19">
    <w:name w:val="font111"/>
    <w:basedOn w:val="9"/>
    <w:qFormat/>
    <w:uiPriority w:val="99"/>
    <w:rPr>
      <w:rFonts w:ascii="宋体" w:hAnsi="宋体" w:eastAsia="宋体" w:cs="宋体"/>
      <w:color w:val="000000"/>
      <w:sz w:val="32"/>
      <w:szCs w:val="32"/>
      <w:u w:val="none"/>
    </w:rPr>
  </w:style>
  <w:style w:type="character" w:customStyle="1" w:styleId="20">
    <w:name w:val="font11"/>
    <w:basedOn w:val="9"/>
    <w:qFormat/>
    <w:uiPriority w:val="99"/>
    <w:rPr>
      <w:rFonts w:ascii="宋体" w:hAnsi="宋体" w:eastAsia="宋体" w:cs="宋体"/>
      <w:b/>
      <w:color w:val="000000"/>
      <w:sz w:val="32"/>
      <w:szCs w:val="32"/>
      <w:u w:val="none"/>
    </w:rPr>
  </w:style>
  <w:style w:type="character" w:customStyle="1" w:styleId="21">
    <w:name w:val="font31"/>
    <w:basedOn w:val="9"/>
    <w:qFormat/>
    <w:uiPriority w:val="99"/>
    <w:rPr>
      <w:rFonts w:ascii="宋体" w:hAnsi="宋体" w:eastAsia="宋体" w:cs="宋体"/>
      <w:color w:val="000000"/>
      <w:sz w:val="32"/>
      <w:szCs w:val="32"/>
      <w:u w:val="none"/>
    </w:rPr>
  </w:style>
  <w:style w:type="character" w:customStyle="1" w:styleId="22">
    <w:name w:val="font61"/>
    <w:basedOn w:val="9"/>
    <w:qFormat/>
    <w:uiPriority w:val="99"/>
    <w:rPr>
      <w:rFonts w:ascii="宋体" w:hAnsi="宋体" w:eastAsia="宋体" w:cs="宋体"/>
      <w:color w:val="000000"/>
      <w:sz w:val="14"/>
      <w:szCs w:val="1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5</Pages>
  <Words>1699</Words>
  <Characters>1893</Characters>
  <Lines>0</Lines>
  <Paragraphs>0</Paragraphs>
  <TotalTime>4</TotalTime>
  <ScaleCrop>false</ScaleCrop>
  <LinksUpToDate>false</LinksUpToDate>
  <CharactersWithSpaces>2383</CharactersWithSpaces>
  <Application>WPS Office_11.1.0.12116_F1E327BC-269C-435d-A152-05C5408002CA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2022-02-15T22:27:00Z</dcterms:created>
  <dc:creator>社会保障科-赵南</dc:creator>
  <cp:lastModifiedBy>冰淇淋夏天</cp:lastModifiedBy>
  <cp:lastPrinted>2022-03-04T07:10:00Z</cp:lastPrinted>
  <dcterms:modified xsi:type="dcterms:W3CDTF">2022-08-05T01:27:05Z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2052-11.1.0.12116</vt:lpwstr>
  </property>
  <property fmtid="{D5CDD505-2E9C-101B-9397-08002B2CF9AE}" pid="3" name="ICV">
    <vt:lpwstr>1E0282CE87C0460899D0A012A6A4BEA2</vt:lpwstr>
  </property>
</Properties>
</file>