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927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9"/>
        <w:gridCol w:w="400"/>
        <w:gridCol w:w="584"/>
        <w:gridCol w:w="650"/>
        <w:gridCol w:w="518"/>
        <w:gridCol w:w="682"/>
        <w:gridCol w:w="392"/>
        <w:gridCol w:w="606"/>
        <w:gridCol w:w="540"/>
        <w:gridCol w:w="331"/>
        <w:gridCol w:w="439"/>
        <w:gridCol w:w="336"/>
        <w:gridCol w:w="14"/>
        <w:gridCol w:w="586"/>
        <w:gridCol w:w="175"/>
        <w:gridCol w:w="475"/>
        <w:gridCol w:w="242"/>
        <w:gridCol w:w="307"/>
        <w:gridCol w:w="496"/>
        <w:gridCol w:w="160"/>
        <w:gridCol w:w="393"/>
        <w:gridCol w:w="57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8" w:hRule="atLeast"/>
          <w:jc w:val="center"/>
        </w:trPr>
        <w:tc>
          <w:tcPr>
            <w:tcW w:w="9276" w:type="dxa"/>
            <w:gridSpan w:val="2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44"/>
                <w:szCs w:val="4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44"/>
                <w:szCs w:val="44"/>
                <w:lang w:val="en-US" w:eastAsia="zh-CN"/>
              </w:rPr>
              <w:t>2021年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sz w:val="44"/>
                <w:szCs w:val="44"/>
                <w:lang w:val="en-US" w:eastAsia="zh-CN"/>
              </w:rPr>
              <w:t>抚顺市社会福利保障中心</w:t>
            </w:r>
            <w:r>
              <w:rPr>
                <w:rFonts w:hint="eastAsia" w:ascii="宋体" w:hAnsi="宋体" w:cs="宋体"/>
                <w:b/>
                <w:bCs/>
                <w:sz w:val="44"/>
                <w:szCs w:val="44"/>
              </w:rPr>
              <w:t>预算项目（政策）绩效目标自评表</w:t>
            </w:r>
            <w:r>
              <w:rPr>
                <w:rFonts w:hint="eastAsia" w:ascii="宋体" w:hAnsi="宋体" w:cs="宋体"/>
                <w:sz w:val="44"/>
                <w:szCs w:val="44"/>
              </w:rPr>
              <w:t xml:space="preserve"> </w:t>
            </w:r>
          </w:p>
          <w:p>
            <w:pPr>
              <w:jc w:val="center"/>
              <w:rPr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项目（政策）</w:t>
            </w:r>
          </w:p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91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残疾人辅具器具专项资金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</w:rPr>
              <w:t>主管部门</w:t>
            </w:r>
          </w:p>
        </w:tc>
        <w:tc>
          <w:tcPr>
            <w:tcW w:w="791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抚顺市社会福利保障中心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实施单位</w:t>
            </w:r>
          </w:p>
        </w:tc>
        <w:tc>
          <w:tcPr>
            <w:tcW w:w="41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抚顺市残疾人康复中心</w:t>
            </w:r>
          </w:p>
        </w:tc>
        <w:tc>
          <w:tcPr>
            <w:tcW w:w="1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实施期</w:t>
            </w:r>
          </w:p>
        </w:tc>
        <w:tc>
          <w:tcPr>
            <w:tcW w:w="26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2021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月-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2021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年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3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项目预算资金</w:t>
            </w: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年初</w:t>
            </w:r>
          </w:p>
          <w:p>
            <w:pPr>
              <w:jc w:val="center"/>
            </w:pPr>
            <w:r>
              <w:rPr>
                <w:rFonts w:hint="eastAsia"/>
              </w:rPr>
              <w:t>预算数</w:t>
            </w:r>
          </w:p>
        </w:tc>
        <w:tc>
          <w:tcPr>
            <w:tcW w:w="1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全年预算数（</w:t>
            </w:r>
            <w:r>
              <w:t>A</w:t>
            </w:r>
            <w:r>
              <w:rPr>
                <w:rFonts w:hint="eastAsia"/>
              </w:rPr>
              <w:t>）</w:t>
            </w:r>
          </w:p>
        </w:tc>
        <w:tc>
          <w:tcPr>
            <w:tcW w:w="1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全年执行数（</w:t>
            </w:r>
            <w:r>
              <w:t>B</w:t>
            </w:r>
            <w:r>
              <w:rPr>
                <w:rFonts w:hint="eastAsia"/>
              </w:rPr>
              <w:t>）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分值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执行率（</w:t>
            </w:r>
            <w:r>
              <w:t>B/A)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得分</w:t>
            </w:r>
          </w:p>
          <w:p>
            <w:pPr>
              <w:jc w:val="center"/>
            </w:pPr>
            <w:r>
              <w:rPr>
                <w:rFonts w:hint="eastAsia"/>
              </w:rPr>
              <w:t>（分值</w:t>
            </w:r>
            <w:r>
              <w:t>*B/A</w:t>
            </w:r>
            <w:r>
              <w:rPr>
                <w:rFonts w:hint="eastAsia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年度预算资金总额：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30</w:t>
            </w:r>
          </w:p>
        </w:tc>
        <w:tc>
          <w:tcPr>
            <w:tcW w:w="1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30</w:t>
            </w:r>
          </w:p>
        </w:tc>
        <w:tc>
          <w:tcPr>
            <w:tcW w:w="1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rFonts w:hint="eastAsia"/>
                <w:color w:val="000000"/>
                <w:lang w:val="en-US" w:eastAsia="zh-CN"/>
              </w:rPr>
              <w:t>30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210" w:firstLineChars="100"/>
              <w:jc w:val="both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100%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其中：财政拨款收入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中央提前告知转移支付资金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纳入预算管理的行政事业性收费等非税收入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纳入政府性基金预算管理收入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纳入专户管理的行政事业性收费等非税收入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val="en-US" w:eastAsia="zh-CN"/>
              </w:rPr>
              <w:t>30</w:t>
            </w:r>
          </w:p>
        </w:tc>
        <w:tc>
          <w:tcPr>
            <w:tcW w:w="1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val="en-US" w:eastAsia="zh-CN"/>
              </w:rPr>
              <w:t>30</w:t>
            </w:r>
          </w:p>
        </w:tc>
        <w:tc>
          <w:tcPr>
            <w:tcW w:w="1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</w:rPr>
              <w:t>　</w:t>
            </w:r>
            <w:r>
              <w:rPr>
                <w:rFonts w:hint="eastAsia"/>
                <w:color w:val="000000"/>
                <w:lang w:val="en-US" w:eastAsia="zh-CN"/>
              </w:rPr>
              <w:t>30</w:t>
            </w: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val="en-US" w:eastAsia="zh-CN"/>
              </w:rPr>
              <w:t>100%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上年结转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22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其他收入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  <w:tc>
          <w:tcPr>
            <w:tcW w:w="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年度总体目标</w:t>
            </w:r>
          </w:p>
        </w:tc>
        <w:tc>
          <w:tcPr>
            <w:tcW w:w="41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年初设定目标</w:t>
            </w:r>
          </w:p>
        </w:tc>
        <w:tc>
          <w:tcPr>
            <w:tcW w:w="375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全年实际完成情况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1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目标</w:t>
            </w:r>
            <w:r>
              <w:rPr>
                <w:color w:val="000000"/>
              </w:rPr>
              <w:t>1</w:t>
            </w:r>
            <w:r>
              <w:rPr>
                <w:rFonts w:hint="eastAsia"/>
                <w:color w:val="000000"/>
                <w:lang w:eastAsia="zh-CN"/>
              </w:rPr>
              <w:t>：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残疾人辅具器具专项资金</w:t>
            </w:r>
          </w:p>
        </w:tc>
        <w:tc>
          <w:tcPr>
            <w:tcW w:w="375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全部完成</w:t>
            </w: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1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目标</w:t>
            </w:r>
            <w:r>
              <w:rPr>
                <w:color w:val="000000"/>
              </w:rPr>
              <w:t>2</w:t>
            </w:r>
          </w:p>
        </w:tc>
        <w:tc>
          <w:tcPr>
            <w:tcW w:w="375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  <w:jc w:val="center"/>
        </w:trPr>
        <w:tc>
          <w:tcPr>
            <w:tcW w:w="136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1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……</w:t>
            </w:r>
          </w:p>
        </w:tc>
        <w:tc>
          <w:tcPr>
            <w:tcW w:w="375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  <w:jc w:val="center"/>
        </w:trPr>
        <w:tc>
          <w:tcPr>
            <w:tcW w:w="3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一级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二级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三级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15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年度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目标值</w:t>
            </w:r>
          </w:p>
        </w:tc>
        <w:tc>
          <w:tcPr>
            <w:tcW w:w="6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全年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完成值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完成程度</w:t>
            </w:r>
          </w:p>
        </w:tc>
        <w:tc>
          <w:tcPr>
            <w:tcW w:w="3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分值</w:t>
            </w:r>
          </w:p>
        </w:tc>
        <w:tc>
          <w:tcPr>
            <w:tcW w:w="4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得分</w:t>
            </w:r>
          </w:p>
        </w:tc>
        <w:tc>
          <w:tcPr>
            <w:tcW w:w="318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未完成原因分析</w:t>
            </w:r>
          </w:p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（请在相应选项下划“√”并在原因说明中分项阐述）</w:t>
            </w:r>
          </w:p>
        </w:tc>
        <w:tc>
          <w:tcPr>
            <w:tcW w:w="5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改进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运算</w:t>
            </w:r>
          </w:p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符号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内容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度量单位</w:t>
            </w:r>
          </w:p>
        </w:tc>
        <w:tc>
          <w:tcPr>
            <w:tcW w:w="6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3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经费</w:t>
            </w:r>
          </w:p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制度</w:t>
            </w:r>
          </w:p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人员</w:t>
            </w:r>
          </w:p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保障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硬件条件保障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原因</w:t>
            </w:r>
          </w:p>
          <w:p>
            <w:pPr>
              <w:widowControl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说明</w:t>
            </w:r>
          </w:p>
        </w:tc>
        <w:tc>
          <w:tcPr>
            <w:tcW w:w="5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数量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widowControl/>
              <w:jc w:val="lef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“=”“≤”“≥”“＜”“＞”</w:t>
            </w: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5"/>
                <w:szCs w:val="15"/>
                <w:lang w:eastAsia="zh-CN"/>
              </w:rPr>
            </w:pPr>
            <w:r>
              <w:rPr>
                <w:rFonts w:hint="eastAsia"/>
                <w:color w:val="000000"/>
                <w:sz w:val="15"/>
                <w:szCs w:val="15"/>
                <w:lang w:eastAsia="zh-CN"/>
              </w:rPr>
              <w:t>足额发放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lang w:val="en-US" w:eastAsia="zh-CN"/>
              </w:rPr>
              <w:t>%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质量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5"/>
                <w:szCs w:val="15"/>
                <w:lang w:eastAsia="zh-CN"/>
              </w:rPr>
            </w:pPr>
            <w:r>
              <w:rPr>
                <w:rFonts w:hint="eastAsia"/>
                <w:color w:val="000000"/>
                <w:sz w:val="15"/>
                <w:szCs w:val="15"/>
                <w:lang w:eastAsia="zh-CN"/>
              </w:rPr>
              <w:t>正常运转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%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12</w:t>
            </w:r>
          </w:p>
        </w:tc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12</w:t>
            </w:r>
          </w:p>
        </w:tc>
        <w:tc>
          <w:tcPr>
            <w:tcW w:w="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时效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eastAsia="宋体"/>
                <w:color w:val="000000"/>
                <w:sz w:val="15"/>
                <w:szCs w:val="15"/>
                <w:lang w:eastAsia="zh-CN"/>
              </w:rPr>
            </w:pPr>
            <w:r>
              <w:rPr>
                <w:rFonts w:hint="eastAsia"/>
                <w:color w:val="000000"/>
                <w:sz w:val="15"/>
                <w:szCs w:val="15"/>
                <w:lang w:eastAsia="zh-CN"/>
              </w:rPr>
              <w:t>发放及时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%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val="en-US" w:eastAsia="zh-CN"/>
              </w:rPr>
              <w:t>100%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val="en-US" w:eastAsia="zh-CN"/>
              </w:rPr>
              <w:t>100%</w:t>
            </w:r>
          </w:p>
        </w:tc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13</w:t>
            </w:r>
          </w:p>
        </w:tc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13</w:t>
            </w:r>
          </w:p>
        </w:tc>
        <w:tc>
          <w:tcPr>
            <w:tcW w:w="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成本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5"/>
                <w:szCs w:val="15"/>
                <w:lang w:eastAsia="zh-CN"/>
              </w:rPr>
            </w:pPr>
            <w:r>
              <w:rPr>
                <w:rFonts w:hint="eastAsia"/>
                <w:color w:val="000000"/>
                <w:sz w:val="15"/>
                <w:szCs w:val="15"/>
                <w:lang w:eastAsia="zh-CN"/>
              </w:rPr>
              <w:t>按标准发放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val="en-US" w:eastAsia="zh-CN"/>
              </w:rPr>
              <w:t>%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8"/>
                <w:szCs w:val="18"/>
                <w:lang w:val="en-US" w:eastAsia="zh-CN"/>
              </w:rPr>
              <w:t>100%</w:t>
            </w:r>
          </w:p>
        </w:tc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val="en-US" w:eastAsia="zh-CN"/>
              </w:rPr>
              <w:t>13</w:t>
            </w:r>
          </w:p>
        </w:tc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val="en-US" w:eastAsia="zh-CN"/>
              </w:rPr>
              <w:t>13</w:t>
            </w:r>
          </w:p>
        </w:tc>
        <w:tc>
          <w:tcPr>
            <w:tcW w:w="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效益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指标</w:t>
            </w: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经济效益指标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5"/>
                <w:szCs w:val="15"/>
                <w:lang w:eastAsia="zh-CN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社会效益指标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15"/>
                <w:szCs w:val="15"/>
                <w:lang w:val="en-US" w:eastAsia="zh-CN" w:bidi="ar-SA"/>
              </w:rPr>
            </w:pPr>
            <w:r>
              <w:rPr>
                <w:rFonts w:hint="eastAsia"/>
                <w:color w:val="000000"/>
                <w:sz w:val="15"/>
                <w:szCs w:val="15"/>
                <w:lang w:eastAsia="zh-CN"/>
              </w:rPr>
              <w:t>确保机关事业单位平稳运行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val="en-US" w:eastAsia="zh-CN"/>
              </w:rPr>
              <w:t>%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val="en-US" w:eastAsia="zh-CN"/>
              </w:rPr>
              <w:t>100%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val="en-US" w:eastAsia="zh-CN"/>
              </w:rPr>
              <w:t>100%</w:t>
            </w:r>
          </w:p>
        </w:tc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  <w:t>20</w:t>
            </w:r>
          </w:p>
        </w:tc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  <w:t>20</w:t>
            </w:r>
          </w:p>
        </w:tc>
        <w:tc>
          <w:tcPr>
            <w:tcW w:w="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生态效益指标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可持续影响指标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5"/>
                <w:szCs w:val="15"/>
                <w:lang w:eastAsia="zh-CN"/>
              </w:rPr>
            </w:pPr>
            <w:r>
              <w:rPr>
                <w:rFonts w:hint="eastAsia"/>
                <w:color w:val="000000"/>
                <w:sz w:val="15"/>
                <w:szCs w:val="15"/>
                <w:lang w:eastAsia="zh-CN"/>
              </w:rPr>
              <w:t>保障水平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val="en-US" w:eastAsia="zh-CN"/>
              </w:rPr>
              <w:t>%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val="en-US" w:eastAsia="zh-CN"/>
              </w:rPr>
              <w:t>100%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val="en-US" w:eastAsia="zh-CN"/>
              </w:rPr>
              <w:t>100%</w:t>
            </w:r>
          </w:p>
        </w:tc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  <w:t>10</w:t>
            </w:r>
          </w:p>
        </w:tc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  <w:t>10</w:t>
            </w:r>
          </w:p>
        </w:tc>
        <w:tc>
          <w:tcPr>
            <w:tcW w:w="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满意度指标</w:t>
            </w:r>
          </w:p>
        </w:tc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服务对象满意度指标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指标1</w:t>
            </w:r>
          </w:p>
        </w:tc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15"/>
                <w:szCs w:val="15"/>
                <w:lang w:eastAsia="zh-CN"/>
              </w:rPr>
            </w:pPr>
            <w:r>
              <w:rPr>
                <w:rFonts w:hint="eastAsia"/>
                <w:color w:val="000000"/>
                <w:sz w:val="15"/>
                <w:szCs w:val="15"/>
                <w:lang w:eastAsia="zh-CN"/>
              </w:rPr>
              <w:t>听力残疾人满意度</w:t>
            </w: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val="en-US" w:eastAsia="zh-CN"/>
              </w:rPr>
              <w:t>%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val="en-US" w:eastAsia="zh-CN"/>
              </w:rPr>
              <w:t>100%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lang w:val="en-US" w:eastAsia="zh-CN"/>
              </w:rPr>
              <w:t>100%</w:t>
            </w:r>
          </w:p>
        </w:tc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  <w:t>10</w:t>
            </w:r>
          </w:p>
        </w:tc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2"/>
                <w:sz w:val="21"/>
                <w:szCs w:val="24"/>
                <w:lang w:val="en-US" w:eastAsia="zh-CN" w:bidi="ar-SA"/>
              </w:rPr>
              <w:t>10</w:t>
            </w:r>
          </w:p>
        </w:tc>
        <w:tc>
          <w:tcPr>
            <w:tcW w:w="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　</w:t>
            </w: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指标2</w:t>
            </w:r>
          </w:p>
        </w:tc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  <w:jc w:val="center"/>
        </w:trPr>
        <w:tc>
          <w:tcPr>
            <w:tcW w:w="3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4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color w:val="000000"/>
              </w:rPr>
            </w:pP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47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产出、效益、满意度指标自评得分小计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>
              <w:rPr>
                <w:color w:val="000000"/>
              </w:rPr>
              <w:t>C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90</w:t>
            </w:r>
          </w:p>
        </w:tc>
        <w:tc>
          <w:tcPr>
            <w:tcW w:w="21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预算执行率得分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</w:t>
            </w:r>
            <w:r>
              <w:rPr>
                <w:color w:val="000000"/>
              </w:rPr>
              <w:t>D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47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绩效自评总得分（</w:t>
            </w:r>
            <w:r>
              <w:rPr>
                <w:color w:val="000000"/>
              </w:rPr>
              <w:t>C+D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452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100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iZGQzOTM2M2I2YWVmMzY4NjNhZWI4ZDU2OWU4ZDUifQ=="/>
  </w:docVars>
  <w:rsids>
    <w:rsidRoot w:val="006A5A68"/>
    <w:rsid w:val="000B40F6"/>
    <w:rsid w:val="003C5963"/>
    <w:rsid w:val="006513BC"/>
    <w:rsid w:val="006A5A68"/>
    <w:rsid w:val="00825219"/>
    <w:rsid w:val="00D00EFA"/>
    <w:rsid w:val="00D638B2"/>
    <w:rsid w:val="00F044D0"/>
    <w:rsid w:val="06BE75E9"/>
    <w:rsid w:val="094E4683"/>
    <w:rsid w:val="16D5275E"/>
    <w:rsid w:val="1BBB52ED"/>
    <w:rsid w:val="23191923"/>
    <w:rsid w:val="2908661A"/>
    <w:rsid w:val="30FA3E47"/>
    <w:rsid w:val="310547A7"/>
    <w:rsid w:val="31A6305D"/>
    <w:rsid w:val="437F22D2"/>
    <w:rsid w:val="46365CEA"/>
    <w:rsid w:val="4FC15A1A"/>
    <w:rsid w:val="5AE23995"/>
    <w:rsid w:val="74A54D4C"/>
    <w:rsid w:val="751D287B"/>
    <w:rsid w:val="755C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after="330" w:line="576" w:lineRule="auto"/>
      <w:outlineLvl w:val="0"/>
    </w:pPr>
    <w:rPr>
      <w:rFonts w:ascii="等线" w:eastAsia="等线" w:cs="Arial"/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4"/>
    <w:semiHidden/>
    <w:unhideWhenUsed/>
    <w:qFormat/>
    <w:uiPriority w:val="0"/>
    <w:pPr>
      <w:ind w:firstLine="645"/>
    </w:pPr>
    <w:rPr>
      <w:rFonts w:ascii="仿宋_GB2312" w:eastAsia="仿宋_GB2312"/>
      <w:sz w:val="32"/>
      <w:szCs w:val="32"/>
    </w:rPr>
  </w:style>
  <w:style w:type="paragraph" w:styleId="4">
    <w:name w:val="Balloon Text"/>
    <w:basedOn w:val="1"/>
    <w:link w:val="15"/>
    <w:semiHidden/>
    <w:unhideWhenUsed/>
    <w:qFormat/>
    <w:uiPriority w:val="0"/>
    <w:rPr>
      <w:sz w:val="18"/>
      <w:szCs w:val="18"/>
    </w:rPr>
  </w:style>
  <w:style w:type="paragraph" w:styleId="5">
    <w:name w:val="footer"/>
    <w:basedOn w:val="1"/>
    <w:link w:val="13"/>
    <w:semiHidden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2"/>
    <w:semiHidden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annotation reference"/>
    <w:basedOn w:val="9"/>
    <w:semiHidden/>
    <w:unhideWhenUsed/>
    <w:qFormat/>
    <w:uiPriority w:val="0"/>
    <w:rPr>
      <w:sz w:val="21"/>
      <w:szCs w:val="21"/>
    </w:rPr>
  </w:style>
  <w:style w:type="character" w:customStyle="1" w:styleId="11">
    <w:name w:val="标题 1 Char"/>
    <w:basedOn w:val="9"/>
    <w:link w:val="2"/>
    <w:qFormat/>
    <w:uiPriority w:val="0"/>
    <w:rPr>
      <w:rFonts w:ascii="等线" w:hAnsi="Times New Roman" w:eastAsia="等线" w:cs="Arial"/>
      <w:b/>
      <w:bCs/>
      <w:kern w:val="44"/>
      <w:sz w:val="44"/>
      <w:szCs w:val="44"/>
    </w:rPr>
  </w:style>
  <w:style w:type="character" w:customStyle="1" w:styleId="12">
    <w:name w:val="页眉 Char"/>
    <w:basedOn w:val="9"/>
    <w:link w:val="6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9"/>
    <w:link w:val="5"/>
    <w:semiHidden/>
    <w:qFormat/>
    <w:uiPriority w:val="0"/>
    <w:rPr>
      <w:rFonts w:ascii="Times New Roman" w:hAnsi="Times New Roman" w:eastAsia="宋体" w:cs="Times New Roman"/>
      <w:sz w:val="18"/>
      <w:szCs w:val="24"/>
    </w:rPr>
  </w:style>
  <w:style w:type="character" w:customStyle="1" w:styleId="14">
    <w:name w:val="正文文本缩进 Char"/>
    <w:basedOn w:val="9"/>
    <w:link w:val="3"/>
    <w:semiHidden/>
    <w:qFormat/>
    <w:uiPriority w:val="0"/>
    <w:rPr>
      <w:rFonts w:ascii="仿宋_GB2312" w:hAnsi="Times New Roman" w:eastAsia="仿宋_GB2312" w:cs="Times New Roman"/>
      <w:sz w:val="32"/>
      <w:szCs w:val="32"/>
    </w:rPr>
  </w:style>
  <w:style w:type="character" w:customStyle="1" w:styleId="15">
    <w:name w:val="批注框文本 Char"/>
    <w:basedOn w:val="9"/>
    <w:link w:val="4"/>
    <w:semiHidden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6">
    <w:name w:val="正文 New New New New"/>
    <w:qFormat/>
    <w:uiPriority w:val="0"/>
    <w:pPr>
      <w:widowControl w:val="0"/>
      <w:jc w:val="both"/>
    </w:pPr>
    <w:rPr>
      <w:rFonts w:ascii="Times New Roman" w:hAnsi="Times New Roman" w:eastAsia="宋体" w:cs="黑体"/>
      <w:kern w:val="2"/>
      <w:sz w:val="21"/>
      <w:szCs w:val="22"/>
      <w:lang w:val="en-US" w:eastAsia="zh-CN" w:bidi="ar-SA"/>
    </w:rPr>
  </w:style>
  <w:style w:type="paragraph" w:customStyle="1" w:styleId="17">
    <w:name w:val="正文 New New New"/>
    <w:qFormat/>
    <w:uiPriority w:val="0"/>
    <w:pPr>
      <w:wordWrap w:val="0"/>
      <w:snapToGrid w:val="0"/>
      <w:spacing w:line="580" w:lineRule="atLeast"/>
      <w:ind w:firstLine="640"/>
      <w:jc w:val="both"/>
    </w:pPr>
    <w:rPr>
      <w:rFonts w:ascii="仿宋_GB2312" w:hAnsi="Arial" w:eastAsia="仿宋_GB2312" w:cs="Arial"/>
      <w:kern w:val="0"/>
      <w:sz w:val="28"/>
      <w:szCs w:val="28"/>
      <w:lang w:val="en-US" w:eastAsia="zh-CN" w:bidi="ar-SA"/>
    </w:rPr>
  </w:style>
  <w:style w:type="character" w:customStyle="1" w:styleId="18">
    <w:name w:val="font12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9">
    <w:name w:val="font111"/>
    <w:basedOn w:val="9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20">
    <w:name w:val="font11"/>
    <w:basedOn w:val="9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21">
    <w:name w:val="font31"/>
    <w:basedOn w:val="9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22">
    <w:name w:val="font61"/>
    <w:basedOn w:val="9"/>
    <w:qFormat/>
    <w:uiPriority w:val="0"/>
    <w:rPr>
      <w:rFonts w:hint="eastAsia" w:ascii="宋体" w:hAnsi="宋体" w:eastAsia="宋体" w:cs="宋体"/>
      <w:color w:val="000000"/>
      <w:sz w:val="14"/>
      <w:szCs w:val="1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678</Words>
  <Characters>770</Characters>
  <Lines>24</Lines>
  <Paragraphs>6</Paragraphs>
  <TotalTime>2</TotalTime>
  <ScaleCrop>false</ScaleCrop>
  <LinksUpToDate>false</LinksUpToDate>
  <CharactersWithSpaces>829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2022-02-14T06:27:00Z</dcterms:created>
  <dc:creator>社会保障科-赵南</dc:creator>
  <cp:lastModifiedBy>冰淇淋夏天</cp:lastModifiedBy>
  <dcterms:modified xsi:type="dcterms:W3CDTF">2022-08-05T01:24:56Z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789CFA4D0A8E4297B806CDE84CD4B5E9</vt:lpwstr>
  </property>
</Properties>
</file>