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96"/>
        <w:gridCol w:w="607"/>
        <w:gridCol w:w="473"/>
        <w:gridCol w:w="474"/>
        <w:gridCol w:w="467"/>
        <w:gridCol w:w="533"/>
        <w:gridCol w:w="350"/>
        <w:gridCol w:w="358"/>
        <w:gridCol w:w="423"/>
        <w:gridCol w:w="222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4"/>
                <w:szCs w:val="44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44"/>
                <w:szCs w:val="44"/>
                <w:lang w:val="en-US" w:eastAsia="zh-CN"/>
              </w:rPr>
              <w:t>抚顺市现代农业及扶贫开发促进中心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整体绩效自评表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抚顺市现代农业及扶贫开发促进中心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142　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1834.92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1834.92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1834.92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1834.92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2.中央提前告知转移支付资金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1780.42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1780.42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2153.14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20.9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1523.55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1523.55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1778.7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16.7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181.35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181.35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185.14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102.1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75.52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75.52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189.3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250.6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非洲猪瘟等重大动物疫病防控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抚顺市特色农业技术研究推广与相关设施维护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</w:t>
            </w:r>
          </w:p>
        </w:tc>
        <w:tc>
          <w:tcPr>
            <w:tcW w:w="71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全市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应免动物全部免疫，强制免疫疫病应免免疫密度均达到100%，按照要求完成强免动物疫病疫苗购入与发放工作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目标2：</w:t>
            </w:r>
          </w:p>
        </w:tc>
        <w:tc>
          <w:tcPr>
            <w:tcW w:w="71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水稻机械化精量直播技术推广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玉米保护性耕作技术指导，农业设施维护维修。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71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全市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应免动物全部免疫，强制免疫疫病应免免疫密度均达到100%，按照要求完成强免动物疫病疫苗购入与发放工作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水稻机械化精量直播技术推广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玉米保护性耕作技术指导，农业设施维护维修。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加快项目资金支付率，做到应支尽支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合理编制预算，做到项目全覆盖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做好预算执行监督工作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做好预算收支管理工作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做好财务管理工作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做好资产管理工作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做好运行成本控制工作，严格按预算执行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保障公共卫生安全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提高耕地保护意思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节约耕种成本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≥90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不涉及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100%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10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F6BE2"/>
    <w:rsid w:val="55EF6BE2"/>
    <w:rsid w:val="614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2022-08-03T02:14:00Z</dcterms:created>
  <dc:creator>Administrator</dc:creator>
  <cp:lastModifiedBy>Administrator</cp:lastModifiedBy>
  <dcterms:modified xsi:type="dcterms:W3CDTF">2022-08-03T02:17:47Z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