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720" w:firstLineChars="200"/>
        <w:jc w:val="center"/>
        <w:rPr>
          <w:rFonts w:ascii="Times New Roman" w:hAnsi="Times New Roman" w:eastAsia="黑体" w:cs="Times New Roman"/>
          <w:sz w:val="36"/>
          <w:szCs w:val="36"/>
        </w:rPr>
      </w:pPr>
    </w:p>
    <w:p>
      <w:pPr>
        <w:pStyle w:val="2"/>
      </w:pPr>
    </w:p>
    <w:p>
      <w:pPr>
        <w:spacing w:line="600" w:lineRule="exact"/>
        <w:ind w:firstLine="1044" w:firstLineChars="200"/>
        <w:rPr>
          <w:rFonts w:ascii="Times New Roman" w:hAnsi="Times New Roman" w:eastAsia="黑体"/>
          <w:b/>
          <w:bCs/>
          <w:sz w:val="52"/>
          <w:szCs w:val="52"/>
        </w:rPr>
      </w:pPr>
    </w:p>
    <w:p>
      <w:pPr>
        <w:pStyle w:val="6"/>
        <w:spacing w:line="600" w:lineRule="exact"/>
        <w:ind w:firstLine="0"/>
        <w:jc w:val="center"/>
        <w:rPr>
          <w:rFonts w:ascii="Times New Roman" w:hAnsi="Times New Roman" w:cs="Times New Roman"/>
          <w:b/>
          <w:bCs/>
          <w:sz w:val="44"/>
          <w:szCs w:val="44"/>
        </w:rPr>
      </w:pPr>
      <w:r>
        <w:rPr>
          <w:rFonts w:hint="eastAsia" w:ascii="宋体" w:hAnsi="宋体" w:eastAsia="宋体" w:cs="宋体"/>
          <w:b/>
          <w:bCs/>
          <w:sz w:val="44"/>
          <w:szCs w:val="44"/>
        </w:rPr>
        <w:t>抚顺市冶金高端新材料产业</w:t>
      </w:r>
    </w:p>
    <w:p>
      <w:pPr>
        <w:pStyle w:val="6"/>
        <w:spacing w:line="600" w:lineRule="exact"/>
        <w:ind w:firstLine="0"/>
        <w:jc w:val="center"/>
        <w:rPr>
          <w:rFonts w:ascii="Times New Roman" w:hAnsi="Times New Roman" w:cs="Times New Roman"/>
          <w:b/>
          <w:bCs/>
          <w:sz w:val="44"/>
          <w:szCs w:val="44"/>
        </w:rPr>
      </w:pPr>
      <w:r>
        <w:rPr>
          <w:rFonts w:ascii="Times New Roman" w:hAnsi="Times New Roman" w:cs="Times New Roman"/>
          <w:b/>
          <w:bCs/>
          <w:sz w:val="44"/>
          <w:szCs w:val="44"/>
        </w:rPr>
        <w:t>“</w:t>
      </w:r>
      <w:r>
        <w:rPr>
          <w:rFonts w:hint="eastAsia" w:ascii="宋体" w:hAnsi="宋体" w:eastAsia="宋体" w:cs="宋体"/>
          <w:b/>
          <w:bCs/>
          <w:sz w:val="44"/>
          <w:szCs w:val="44"/>
        </w:rPr>
        <w:t>十四五</w:t>
      </w:r>
      <w:r>
        <w:rPr>
          <w:rFonts w:ascii="Times New Roman" w:hAnsi="Times New Roman" w:cs="Times New Roman"/>
          <w:b/>
          <w:bCs/>
          <w:sz w:val="44"/>
          <w:szCs w:val="44"/>
        </w:rPr>
        <w:t>”</w:t>
      </w:r>
      <w:r>
        <w:rPr>
          <w:rFonts w:hint="eastAsia" w:ascii="宋体" w:hAnsi="宋体" w:eastAsia="宋体" w:cs="宋体"/>
          <w:b/>
          <w:bCs/>
          <w:sz w:val="44"/>
          <w:szCs w:val="44"/>
        </w:rPr>
        <w:t>发展规划</w:t>
      </w:r>
    </w:p>
    <w:p>
      <w:pPr>
        <w:pStyle w:val="6"/>
        <w:spacing w:line="600" w:lineRule="exact"/>
        <w:ind w:firstLine="720" w:firstLineChars="200"/>
        <w:rPr>
          <w:rFonts w:ascii="Times New Roman" w:hAnsi="Times New Roman" w:eastAsia="黑体"/>
          <w:sz w:val="36"/>
          <w:szCs w:val="36"/>
        </w:rPr>
      </w:pPr>
    </w:p>
    <w:p>
      <w:pPr>
        <w:spacing w:line="600" w:lineRule="exact"/>
        <w:ind w:firstLine="643" w:firstLineChars="200"/>
        <w:outlineLvl w:val="0"/>
        <w:rPr>
          <w:rFonts w:ascii="Times New Roman" w:hAnsi="Times New Roman" w:eastAsia="黑体"/>
          <w:b/>
          <w:bCs/>
          <w:sz w:val="32"/>
          <w:szCs w:val="32"/>
        </w:rPr>
      </w:pPr>
      <w:bookmarkStart w:id="0" w:name="_Toc13331"/>
      <w:bookmarkStart w:id="43" w:name="_GoBack"/>
      <w:bookmarkEnd w:id="43"/>
      <w:r>
        <w:rPr>
          <w:rFonts w:hint="eastAsia" w:ascii="Times New Roman" w:hAnsi="Times New Roman" w:eastAsia="黑体" w:cs="黑体"/>
          <w:b/>
          <w:bCs/>
          <w:sz w:val="32"/>
          <w:szCs w:val="32"/>
        </w:rPr>
        <w:t>一、总则</w:t>
      </w:r>
      <w:bookmarkEnd w:id="0"/>
    </w:p>
    <w:p>
      <w:pPr>
        <w:spacing w:line="600" w:lineRule="exact"/>
        <w:ind w:firstLine="643" w:firstLineChars="200"/>
        <w:outlineLvl w:val="1"/>
        <w:rPr>
          <w:rFonts w:ascii="Times New Roman" w:hAnsi="Times New Roman" w:eastAsia="楷体"/>
          <w:b/>
          <w:bCs/>
          <w:sz w:val="32"/>
          <w:szCs w:val="32"/>
        </w:rPr>
      </w:pPr>
      <w:bookmarkStart w:id="1" w:name="_Toc20052"/>
      <w:r>
        <w:rPr>
          <w:rFonts w:hint="eastAsia" w:ascii="Times New Roman" w:hAnsi="Times New Roman" w:eastAsia="楷体" w:cs="楷体"/>
          <w:b/>
          <w:bCs/>
          <w:sz w:val="32"/>
          <w:szCs w:val="32"/>
        </w:rPr>
        <w:t>（一）规划周期</w:t>
      </w:r>
      <w:bookmarkEnd w:id="1"/>
    </w:p>
    <w:p>
      <w:pPr>
        <w:pStyle w:val="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rPr>
        <w:t>抚顺市冶金高端新材料产业发展规划周期为</w:t>
      </w:r>
      <w:r>
        <w:rPr>
          <w:rFonts w:ascii="Times New Roman" w:hAnsi="Times New Roman" w:eastAsia="仿宋_GB2312" w:cs="Times New Roman"/>
          <w:sz w:val="32"/>
          <w:szCs w:val="32"/>
        </w:rPr>
        <w:t>2021</w:t>
      </w:r>
      <w:r>
        <w:rPr>
          <w:rFonts w:hint="eastAsia" w:ascii="Times New Roman" w:hAnsi="Times New Roman" w:eastAsia="仿宋_GB2312" w:cs="仿宋_GB2312"/>
          <w:sz w:val="32"/>
          <w:szCs w:val="32"/>
        </w:rPr>
        <w:t>年至</w:t>
      </w:r>
      <w:r>
        <w:rPr>
          <w:rFonts w:ascii="Times New Roman" w:hAnsi="Times New Roman" w:eastAsia="仿宋_GB2312" w:cs="Times New Roman"/>
          <w:sz w:val="32"/>
          <w:szCs w:val="32"/>
        </w:rPr>
        <w:t>2025</w:t>
      </w:r>
      <w:r>
        <w:rPr>
          <w:rFonts w:hint="eastAsia" w:ascii="Times New Roman" w:hAnsi="Times New Roman" w:eastAsia="仿宋_GB2312" w:cs="仿宋_GB2312"/>
          <w:sz w:val="32"/>
          <w:szCs w:val="32"/>
        </w:rPr>
        <w:t>年。</w:t>
      </w:r>
    </w:p>
    <w:p>
      <w:pPr>
        <w:spacing w:line="600" w:lineRule="exact"/>
        <w:ind w:firstLine="643" w:firstLineChars="200"/>
        <w:outlineLvl w:val="1"/>
        <w:rPr>
          <w:rFonts w:ascii="Times New Roman" w:hAnsi="Times New Roman" w:eastAsia="楷体"/>
          <w:b/>
          <w:bCs/>
          <w:sz w:val="32"/>
          <w:szCs w:val="32"/>
        </w:rPr>
      </w:pPr>
      <w:bookmarkStart w:id="2" w:name="_Toc9235"/>
      <w:r>
        <w:rPr>
          <w:rFonts w:hint="eastAsia" w:ascii="Times New Roman" w:hAnsi="Times New Roman" w:eastAsia="楷体" w:cs="楷体"/>
          <w:b/>
          <w:bCs/>
          <w:sz w:val="32"/>
          <w:szCs w:val="32"/>
        </w:rPr>
        <w:t>（二）规划范围</w:t>
      </w:r>
      <w:bookmarkEnd w:id="2"/>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rPr>
        <w:t>本次规划范围包括冶金高端新材料产业领域的所有园区和所有企业。重点园区包括：望花经济开发区。重点企业包括：抚顺特殊钢股份有限公司（下称抚顺特钢）、抚顺新钢铁有限责任公司（下称抚顺新钢）、辽宁抚工工具股份有限公司（下称抚工工具）、抚顺铝业有限公司（下称抚顺铝业）、</w:t>
      </w:r>
      <w:r>
        <w:fldChar w:fldCharType="begin"/>
      </w:r>
      <w:r>
        <w:instrText xml:space="preserve"> HYPERLINK "http://182909.fm086.com/" \t "https://cn.bing.com/_blank" </w:instrText>
      </w:r>
      <w:r>
        <w:fldChar w:fldCharType="separate"/>
      </w:r>
      <w:r>
        <w:rPr>
          <w:rFonts w:hint="eastAsia" w:ascii="Times New Roman" w:hAnsi="Times New Roman" w:eastAsia="仿宋_GB2312" w:cs="仿宋_GB2312"/>
          <w:sz w:val="32"/>
          <w:szCs w:val="32"/>
        </w:rPr>
        <w:t>抚顺炭素有限责任公司</w:t>
      </w:r>
      <w:r>
        <w:rPr>
          <w:rFonts w:hint="eastAsia" w:ascii="Times New Roman" w:hAnsi="Times New Roman" w:eastAsia="仿宋_GB2312" w:cs="仿宋_GB2312"/>
          <w:sz w:val="32"/>
          <w:szCs w:val="32"/>
        </w:rPr>
        <w:fldChar w:fldCharType="end"/>
      </w:r>
      <w:r>
        <w:rPr>
          <w:rFonts w:hint="eastAsia" w:ascii="Times New Roman" w:hAnsi="Times New Roman" w:eastAsia="仿宋_GB2312" w:cs="仿宋_GB2312"/>
          <w:sz w:val="32"/>
          <w:szCs w:val="32"/>
        </w:rPr>
        <w:t>（下称抚顺炭素）等。</w:t>
      </w:r>
    </w:p>
    <w:p>
      <w:pPr>
        <w:spacing w:line="600" w:lineRule="exact"/>
        <w:ind w:firstLine="643" w:firstLineChars="200"/>
        <w:outlineLvl w:val="1"/>
        <w:rPr>
          <w:rFonts w:ascii="Times New Roman" w:hAnsi="Times New Roman" w:eastAsia="楷体"/>
          <w:b/>
          <w:bCs/>
          <w:sz w:val="32"/>
          <w:szCs w:val="32"/>
        </w:rPr>
      </w:pPr>
      <w:bookmarkStart w:id="3" w:name="_Toc8378"/>
      <w:r>
        <w:rPr>
          <w:rFonts w:hint="eastAsia" w:ascii="Times New Roman" w:hAnsi="Times New Roman" w:eastAsia="楷体" w:cs="楷体"/>
          <w:b/>
          <w:bCs/>
          <w:sz w:val="32"/>
          <w:szCs w:val="32"/>
        </w:rPr>
        <w:t>（三）规划内容</w:t>
      </w:r>
      <w:bookmarkEnd w:id="3"/>
    </w:p>
    <w:p>
      <w:pPr>
        <w:spacing w:line="600" w:lineRule="exact"/>
        <w:ind w:firstLine="640" w:firstLineChars="200"/>
        <w:jc w:val="left"/>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从现有产业发展基础出发，充分考虑国内外及区域冶金新材料发展形势，对抚顺市</w:t>
      </w:r>
      <w:r>
        <w:rPr>
          <w:rFonts w:hint="eastAsia" w:ascii="Times New Roman" w:hAnsi="Times New Roman" w:eastAsia="仿宋_GB2312" w:cs="仿宋_GB2312"/>
          <w:sz w:val="32"/>
          <w:szCs w:val="32"/>
        </w:rPr>
        <w:t>冶金高端新材料</w:t>
      </w:r>
      <w:r>
        <w:rPr>
          <w:rFonts w:hint="eastAsia" w:ascii="Times New Roman" w:hAnsi="Times New Roman" w:eastAsia="仿宋_GB2312" w:cs="仿宋_GB2312"/>
          <w:kern w:val="0"/>
          <w:sz w:val="32"/>
          <w:szCs w:val="32"/>
        </w:rPr>
        <w:t>产业发展的空间布局、产业定位、</w:t>
      </w:r>
      <w:r>
        <w:fldChar w:fldCharType="begin"/>
      </w:r>
      <w:r>
        <w:instrText xml:space="preserve"> HYPERLINK "https://baike.baidu.com/item/%E4%BA%A7%E4%B8%9A%E7%BB%93%E6%9E%84/1118332" \t "https://baike.baidu.com/item/%E4%BA%A7%E4%B8%9A%E8%A7%84%E5%88%92/_blank" </w:instrText>
      </w:r>
      <w:r>
        <w:fldChar w:fldCharType="separate"/>
      </w:r>
      <w:r>
        <w:rPr>
          <w:rFonts w:hint="eastAsia" w:ascii="Times New Roman" w:hAnsi="Times New Roman" w:eastAsia="仿宋_GB2312" w:cs="仿宋_GB2312"/>
          <w:kern w:val="0"/>
          <w:sz w:val="32"/>
          <w:szCs w:val="32"/>
        </w:rPr>
        <w:t>产业结构</w:t>
      </w:r>
      <w:r>
        <w:rPr>
          <w:rFonts w:hint="eastAsia" w:ascii="Times New Roman" w:hAnsi="Times New Roman" w:eastAsia="仿宋_GB2312" w:cs="仿宋_GB2312"/>
          <w:kern w:val="0"/>
          <w:sz w:val="32"/>
          <w:szCs w:val="32"/>
        </w:rPr>
        <w:fldChar w:fldCharType="end"/>
      </w:r>
      <w:r>
        <w:rPr>
          <w:rFonts w:hint="eastAsia" w:ascii="Times New Roman" w:hAnsi="Times New Roman" w:eastAsia="仿宋_GB2312" w:cs="仿宋_GB2312"/>
          <w:kern w:val="0"/>
          <w:sz w:val="32"/>
          <w:szCs w:val="32"/>
        </w:rPr>
        <w:t>调整、</w:t>
      </w:r>
      <w:r>
        <w:fldChar w:fldCharType="begin"/>
      </w:r>
      <w:r>
        <w:instrText xml:space="preserve"> HYPERLINK "https://baike.baidu.com/item/%E4%BA%A7%E4%B8%9A%E9%93%BE/8725235" \t "https://baike.baidu.com/item/%E4%BA%A7%E4%B8%9A%E8%A7%84%E5%88%92/_blank" </w:instrText>
      </w:r>
      <w:r>
        <w:fldChar w:fldCharType="separate"/>
      </w:r>
      <w:r>
        <w:rPr>
          <w:rFonts w:hint="eastAsia" w:ascii="Times New Roman" w:hAnsi="Times New Roman" w:eastAsia="仿宋_GB2312" w:cs="仿宋_GB2312"/>
          <w:kern w:val="0"/>
          <w:sz w:val="32"/>
          <w:szCs w:val="32"/>
        </w:rPr>
        <w:t>产业链</w:t>
      </w:r>
      <w:r>
        <w:rPr>
          <w:rFonts w:hint="eastAsia" w:ascii="Times New Roman" w:hAnsi="Times New Roman" w:eastAsia="仿宋_GB2312" w:cs="仿宋_GB2312"/>
          <w:kern w:val="0"/>
          <w:sz w:val="32"/>
          <w:szCs w:val="32"/>
        </w:rPr>
        <w:fldChar w:fldCharType="end"/>
      </w:r>
      <w:r>
        <w:rPr>
          <w:rFonts w:hint="eastAsia" w:ascii="Times New Roman" w:hAnsi="Times New Roman" w:eastAsia="仿宋_GB2312" w:cs="仿宋_GB2312"/>
          <w:kern w:val="0"/>
          <w:sz w:val="32"/>
          <w:szCs w:val="32"/>
        </w:rPr>
        <w:t>条构建、经济社会环境影响做出科学有效的规划。</w:t>
      </w:r>
    </w:p>
    <w:p>
      <w:pPr>
        <w:spacing w:line="600" w:lineRule="exact"/>
        <w:ind w:firstLine="643" w:firstLineChars="200"/>
        <w:outlineLvl w:val="0"/>
        <w:rPr>
          <w:rFonts w:ascii="Times New Roman" w:hAnsi="Times New Roman" w:eastAsia="黑体"/>
          <w:b/>
          <w:bCs/>
          <w:sz w:val="32"/>
          <w:szCs w:val="32"/>
        </w:rPr>
      </w:pPr>
      <w:bookmarkStart w:id="4" w:name="_Toc11979"/>
      <w:r>
        <w:rPr>
          <w:rFonts w:hint="eastAsia" w:ascii="Times New Roman" w:hAnsi="Times New Roman" w:eastAsia="黑体" w:cs="黑体"/>
          <w:b/>
          <w:bCs/>
          <w:sz w:val="32"/>
          <w:szCs w:val="32"/>
        </w:rPr>
        <w:t>二、发展基础</w:t>
      </w:r>
      <w:bookmarkEnd w:id="4"/>
    </w:p>
    <w:p>
      <w:pPr>
        <w:pStyle w:val="8"/>
        <w:spacing w:after="0"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十三五”期间，在市委、市政府的大力支持下，抚顺市冶金高端新材料产业得到快速发展。形成采选、冶炼、锻造等全系列冶金企业集群，建成重点发展优特钢，协同发展普通钢，配套发展石墨电极的产业发展格局。拥有抚顺特钢、抚顺新钢、抚工工具、抚顺炭素、抚顺铝业等一批国内知名企业，生产出特种钢、民用钢、机床刀具、超高功率石墨电极等丰富的冶金产品及配套产品，形成了较为完备的上下游产业链条。</w:t>
      </w:r>
    </w:p>
    <w:p>
      <w:pPr>
        <w:numPr>
          <w:ilvl w:val="0"/>
          <w:numId w:val="1"/>
        </w:numPr>
        <w:spacing w:line="600" w:lineRule="exact"/>
        <w:ind w:left="0" w:firstLine="643" w:firstLineChars="200"/>
        <w:outlineLvl w:val="1"/>
        <w:rPr>
          <w:rFonts w:ascii="Times New Roman" w:hAnsi="Times New Roman" w:eastAsia="楷体" w:cs="Times New Roman"/>
          <w:b/>
          <w:bCs/>
          <w:kern w:val="0"/>
          <w:sz w:val="32"/>
          <w:szCs w:val="32"/>
        </w:rPr>
      </w:pPr>
      <w:bookmarkStart w:id="5" w:name="_Toc27001"/>
      <w:bookmarkStart w:id="6" w:name="_Toc16251"/>
      <w:r>
        <w:rPr>
          <w:rFonts w:hint="eastAsia" w:ascii="Times New Roman" w:hAnsi="Times New Roman" w:eastAsia="楷体" w:cs="楷体"/>
          <w:b/>
          <w:bCs/>
          <w:kern w:val="0"/>
          <w:sz w:val="32"/>
          <w:szCs w:val="32"/>
        </w:rPr>
        <w:t>产业</w:t>
      </w:r>
      <w:bookmarkEnd w:id="5"/>
      <w:r>
        <w:rPr>
          <w:rFonts w:hint="eastAsia" w:ascii="Times New Roman" w:hAnsi="Times New Roman" w:eastAsia="楷体" w:cs="楷体"/>
          <w:b/>
          <w:bCs/>
          <w:kern w:val="0"/>
          <w:sz w:val="32"/>
          <w:szCs w:val="32"/>
        </w:rPr>
        <w:t>规模不断壮大</w:t>
      </w:r>
      <w:bookmarkEnd w:id="6"/>
    </w:p>
    <w:p>
      <w:pPr>
        <w:spacing w:line="600" w:lineRule="exact"/>
        <w:ind w:firstLine="640" w:firstLineChars="200"/>
        <w:rPr>
          <w:rFonts w:ascii="Times New Roman" w:hAnsi="Times New Roman" w:eastAsia="仿宋_GB2312" w:cs="Times New Roman"/>
          <w:kern w:val="0"/>
          <w:sz w:val="32"/>
          <w:szCs w:val="32"/>
        </w:rPr>
      </w:pPr>
      <w:r>
        <w:rPr>
          <w:rFonts w:hint="eastAsia" w:ascii="Times New Roman" w:hAnsi="Times New Roman" w:eastAsia="仿宋_GB2312" w:cs="仿宋_GB2312"/>
          <w:kern w:val="0"/>
          <w:sz w:val="32"/>
          <w:szCs w:val="32"/>
        </w:rPr>
        <w:t>“十三五”期间，抚顺市凭借自身资源优势和产业基础，将发展冶金高端新材料产业作为推动经济发展的重要抓手，抢抓机遇，发挥优势，冶金高端新材料产业规模得到进一步扩大。截至</w:t>
      </w:r>
      <w:r>
        <w:rPr>
          <w:rFonts w:ascii="Times New Roman" w:hAnsi="Times New Roman" w:eastAsia="仿宋_GB2312" w:cs="Times New Roman"/>
          <w:kern w:val="0"/>
          <w:sz w:val="32"/>
          <w:szCs w:val="32"/>
        </w:rPr>
        <w:t>2020</w:t>
      </w:r>
      <w:r>
        <w:rPr>
          <w:rFonts w:hint="eastAsia" w:ascii="Times New Roman" w:hAnsi="Times New Roman" w:eastAsia="仿宋_GB2312" w:cs="仿宋_GB2312"/>
          <w:kern w:val="0"/>
          <w:sz w:val="32"/>
          <w:szCs w:val="32"/>
        </w:rPr>
        <w:t>年，全市冶金行业规上工业企业</w:t>
      </w:r>
      <w:r>
        <w:rPr>
          <w:rFonts w:ascii="Times New Roman" w:hAnsi="Times New Roman" w:eastAsia="仿宋_GB2312" w:cs="Times New Roman"/>
          <w:kern w:val="0"/>
          <w:sz w:val="32"/>
          <w:szCs w:val="32"/>
        </w:rPr>
        <w:t>20</w:t>
      </w:r>
      <w:r>
        <w:rPr>
          <w:rFonts w:hint="eastAsia" w:ascii="Times New Roman" w:hAnsi="Times New Roman" w:eastAsia="仿宋_GB2312" w:cs="仿宋_GB2312"/>
          <w:kern w:val="0"/>
          <w:sz w:val="32"/>
          <w:szCs w:val="32"/>
        </w:rPr>
        <w:t>户，规上工业总产值</w:t>
      </w:r>
      <w:r>
        <w:rPr>
          <w:rFonts w:ascii="Times New Roman" w:hAnsi="Times New Roman" w:eastAsia="仿宋_GB2312" w:cs="Times New Roman"/>
          <w:kern w:val="0"/>
          <w:sz w:val="32"/>
          <w:szCs w:val="32"/>
        </w:rPr>
        <w:t>244.6</w:t>
      </w:r>
      <w:r>
        <w:rPr>
          <w:rFonts w:hint="eastAsia" w:ascii="Times New Roman" w:hAnsi="Times New Roman" w:eastAsia="仿宋_GB2312" w:cs="仿宋_GB2312"/>
          <w:kern w:val="0"/>
          <w:sz w:val="32"/>
          <w:szCs w:val="32"/>
        </w:rPr>
        <w:t>亿元，同比增长</w:t>
      </w:r>
      <w:r>
        <w:rPr>
          <w:rFonts w:ascii="Times New Roman" w:hAnsi="Times New Roman" w:eastAsia="仿宋_GB2312" w:cs="Times New Roman"/>
          <w:kern w:val="0"/>
          <w:sz w:val="32"/>
          <w:szCs w:val="32"/>
        </w:rPr>
        <w:t>8.4%</w:t>
      </w:r>
      <w:r>
        <w:rPr>
          <w:rFonts w:hint="eastAsia" w:ascii="Times New Roman" w:hAnsi="Times New Roman" w:eastAsia="仿宋_GB2312" w:cs="仿宋_GB2312"/>
          <w:kern w:val="0"/>
          <w:sz w:val="32"/>
          <w:szCs w:val="32"/>
        </w:rPr>
        <w:t>，占全市规上工业总产值的</w:t>
      </w:r>
      <w:r>
        <w:rPr>
          <w:rFonts w:ascii="Times New Roman" w:hAnsi="Times New Roman" w:eastAsia="仿宋_GB2312" w:cs="Times New Roman"/>
          <w:kern w:val="0"/>
          <w:sz w:val="32"/>
          <w:szCs w:val="32"/>
        </w:rPr>
        <w:t>26.3%</w:t>
      </w:r>
      <w:r>
        <w:rPr>
          <w:rFonts w:hint="eastAsia" w:ascii="Times New Roman" w:hAnsi="Times New Roman" w:eastAsia="仿宋_GB2312" w:cs="仿宋_GB2312"/>
          <w:kern w:val="0"/>
          <w:sz w:val="32"/>
          <w:szCs w:val="32"/>
        </w:rPr>
        <w:t>；实现冶金行业工业增加值</w:t>
      </w:r>
      <w:r>
        <w:rPr>
          <w:rFonts w:ascii="Times New Roman" w:hAnsi="Times New Roman" w:eastAsia="仿宋_GB2312" w:cs="Times New Roman"/>
          <w:kern w:val="0"/>
          <w:sz w:val="32"/>
          <w:szCs w:val="32"/>
        </w:rPr>
        <w:t>62.5</w:t>
      </w:r>
      <w:r>
        <w:rPr>
          <w:rFonts w:hint="eastAsia" w:ascii="Times New Roman" w:hAnsi="Times New Roman" w:eastAsia="仿宋_GB2312" w:cs="仿宋_GB2312"/>
          <w:kern w:val="0"/>
          <w:sz w:val="32"/>
          <w:szCs w:val="32"/>
        </w:rPr>
        <w:t>亿元，同比增长</w:t>
      </w:r>
      <w:r>
        <w:rPr>
          <w:rFonts w:ascii="Times New Roman" w:hAnsi="Times New Roman" w:eastAsia="仿宋_GB2312" w:cs="Times New Roman"/>
          <w:kern w:val="0"/>
          <w:sz w:val="32"/>
          <w:szCs w:val="32"/>
        </w:rPr>
        <w:t>10.7%</w:t>
      </w:r>
      <w:r>
        <w:rPr>
          <w:rFonts w:hint="eastAsia" w:ascii="Times New Roman" w:hAnsi="Times New Roman" w:eastAsia="仿宋_GB2312" w:cs="仿宋_GB2312"/>
          <w:kern w:val="0"/>
          <w:sz w:val="32"/>
          <w:szCs w:val="32"/>
        </w:rPr>
        <w:t>，占全市规上工业增加值的</w:t>
      </w:r>
      <w:r>
        <w:rPr>
          <w:rFonts w:ascii="Times New Roman" w:hAnsi="Times New Roman" w:eastAsia="仿宋_GB2312" w:cs="Times New Roman"/>
          <w:kern w:val="0"/>
          <w:sz w:val="32"/>
          <w:szCs w:val="32"/>
        </w:rPr>
        <w:t>16.1%</w:t>
      </w:r>
      <w:r>
        <w:rPr>
          <w:rFonts w:hint="eastAsia" w:ascii="Times New Roman" w:hAnsi="Times New Roman" w:eastAsia="仿宋_GB2312" w:cs="仿宋_GB2312"/>
          <w:kern w:val="0"/>
          <w:sz w:val="32"/>
          <w:szCs w:val="32"/>
        </w:rPr>
        <w:t>。为国民经济及建筑、机械、汽车、家电、航空航天等行业的快速发展，提供了重要的原材料保障。</w:t>
      </w:r>
    </w:p>
    <w:p>
      <w:pPr>
        <w:pStyle w:val="6"/>
        <w:numPr>
          <w:ilvl w:val="0"/>
          <w:numId w:val="1"/>
        </w:numPr>
        <w:spacing w:line="600" w:lineRule="exact"/>
        <w:ind w:left="0" w:firstLine="643" w:firstLineChars="200"/>
        <w:outlineLvl w:val="1"/>
        <w:rPr>
          <w:rFonts w:ascii="Times New Roman" w:hAnsi="Times New Roman" w:eastAsia="楷体"/>
          <w:b/>
          <w:bCs/>
          <w:kern w:val="0"/>
          <w:sz w:val="32"/>
          <w:szCs w:val="32"/>
        </w:rPr>
      </w:pPr>
      <w:bookmarkStart w:id="7" w:name="_Toc18423"/>
      <w:r>
        <w:rPr>
          <w:rFonts w:hint="eastAsia" w:ascii="Times New Roman" w:hAnsi="Times New Roman" w:eastAsia="楷体" w:cs="楷体"/>
          <w:b/>
          <w:bCs/>
          <w:kern w:val="0"/>
          <w:sz w:val="32"/>
          <w:szCs w:val="32"/>
        </w:rPr>
        <w:t>布局优化取得进展</w:t>
      </w:r>
      <w:bookmarkEnd w:id="7"/>
    </w:p>
    <w:p>
      <w:pPr>
        <w:pStyle w:val="7"/>
        <w:spacing w:line="600" w:lineRule="exact"/>
        <w:ind w:firstLine="640" w:firstLineChars="200"/>
        <w:jc w:val="both"/>
        <w:rPr>
          <w:rFonts w:ascii="Times New Roman" w:hAnsi="Times New Roman" w:eastAsia="仿宋_GB2312"/>
          <w:kern w:val="0"/>
          <w:sz w:val="32"/>
          <w:szCs w:val="32"/>
        </w:rPr>
      </w:pPr>
      <w:r>
        <w:rPr>
          <w:rFonts w:hint="eastAsia" w:ascii="Times New Roman" w:hAnsi="Times New Roman" w:eastAsia="仿宋_GB2312" w:cs="仿宋_GB2312"/>
          <w:sz w:val="32"/>
          <w:szCs w:val="32"/>
        </w:rPr>
        <w:t>抚顺市</w:t>
      </w:r>
      <w:r>
        <w:rPr>
          <w:rFonts w:hint="eastAsia" w:ascii="Times New Roman" w:hAnsi="Times New Roman" w:eastAsia="仿宋_GB2312" w:cs="仿宋_GB2312"/>
          <w:kern w:val="0"/>
          <w:sz w:val="32"/>
          <w:szCs w:val="32"/>
        </w:rPr>
        <w:t>冶金高端新材料产业以望花区为空间载体，以抚顺县铁矿资源为主导，逐步形成了采选、冶炼、加工延压等全系列冶金高端新材料企业集群。以抚顺罕王傲牛铁矿股份公司为龙头的铁矿采选集聚区、以抚顺新钢、抚顺特钢为核心的冶金新材料产业发展集聚区和以望花经济开发区为重点发展园区的冶金新材料深加工产业区基本形成，实现了中小企业集群与大型企业集团协同发展的良好格局。</w:t>
      </w:r>
      <w:r>
        <w:rPr>
          <w:rFonts w:ascii="Times New Roman" w:hAnsi="Times New Roman" w:eastAsia="仿宋_GB2312" w:cs="Times New Roman"/>
          <w:kern w:val="0"/>
          <w:sz w:val="32"/>
          <w:szCs w:val="32"/>
        </w:rPr>
        <w:t>2018</w:t>
      </w:r>
      <w:r>
        <w:rPr>
          <w:rFonts w:hint="eastAsia" w:ascii="Times New Roman" w:hAnsi="Times New Roman" w:eastAsia="仿宋_GB2312" w:cs="仿宋_GB2312"/>
          <w:kern w:val="0"/>
          <w:sz w:val="32"/>
          <w:szCs w:val="32"/>
        </w:rPr>
        <w:t>年，望花经济开发区晋升成为省级开发区，获批成为辽宁中部（沈</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鞍</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抚）转型示范区中的重点园区之一、中国（辽宁）自由贸易试验区协同发展重点产业园区。</w:t>
      </w:r>
    </w:p>
    <w:p>
      <w:pPr>
        <w:pStyle w:val="6"/>
        <w:numPr>
          <w:ilvl w:val="0"/>
          <w:numId w:val="1"/>
        </w:numPr>
        <w:spacing w:line="600" w:lineRule="exact"/>
        <w:ind w:left="0" w:firstLine="643" w:firstLineChars="200"/>
        <w:outlineLvl w:val="1"/>
        <w:rPr>
          <w:rFonts w:ascii="Times New Roman" w:hAnsi="Times New Roman" w:eastAsia="楷体"/>
          <w:b/>
          <w:bCs/>
          <w:kern w:val="0"/>
          <w:sz w:val="32"/>
          <w:szCs w:val="32"/>
        </w:rPr>
      </w:pPr>
      <w:bookmarkStart w:id="8" w:name="_Toc32075"/>
      <w:r>
        <w:rPr>
          <w:rFonts w:hint="eastAsia" w:ascii="Times New Roman" w:hAnsi="Times New Roman" w:eastAsia="楷体" w:cs="楷体"/>
          <w:b/>
          <w:bCs/>
          <w:kern w:val="0"/>
          <w:sz w:val="32"/>
          <w:szCs w:val="32"/>
        </w:rPr>
        <w:t>品种质量明显改善</w:t>
      </w:r>
      <w:bookmarkEnd w:id="8"/>
    </w:p>
    <w:p>
      <w:pPr>
        <w:pStyle w:val="6"/>
        <w:spacing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十三五”期间，抚顺市冶金新材料产品结构进一步优化，钢材品种齐全，产品质量不断提高，关键钢材品种开发取得长足进步，高温合金、超高强度钢、工模具钢、低合金建筑钢筋、合金结构钢、优质碳素结构钢、高速工具钢、超高功率石墨电极等高性能冶金材料及配套材料，有力支撑了各大领域的发展，产品被广泛应用于航空、航天、石油石化、交通运输、工程机械、建筑等行业和领域，覆盖六大洲、三十多个国家和地区。高温合金在航空航天市场占有率高达</w:t>
      </w:r>
      <w:r>
        <w:rPr>
          <w:rFonts w:ascii="Times New Roman" w:hAnsi="Times New Roman" w:eastAsia="仿宋_GB2312" w:cs="Times New Roman"/>
          <w:kern w:val="0"/>
          <w:sz w:val="32"/>
          <w:szCs w:val="32"/>
        </w:rPr>
        <w:t>80%</w:t>
      </w:r>
      <w:r>
        <w:rPr>
          <w:rFonts w:hint="eastAsia" w:ascii="Times New Roman" w:hAnsi="Times New Roman" w:eastAsia="仿宋_GB2312" w:cs="仿宋_GB2312"/>
          <w:kern w:val="0"/>
          <w:sz w:val="32"/>
          <w:szCs w:val="32"/>
        </w:rPr>
        <w:t>以上，超高强度钢在航空航天市场占有率高达</w:t>
      </w:r>
      <w:r>
        <w:rPr>
          <w:rFonts w:ascii="Times New Roman" w:hAnsi="Times New Roman" w:eastAsia="仿宋_GB2312" w:cs="Times New Roman"/>
          <w:kern w:val="0"/>
          <w:sz w:val="32"/>
          <w:szCs w:val="32"/>
        </w:rPr>
        <w:t>95%</w:t>
      </w:r>
      <w:r>
        <w:rPr>
          <w:rFonts w:hint="eastAsia" w:ascii="Times New Roman" w:hAnsi="Times New Roman" w:eastAsia="仿宋_GB2312" w:cs="仿宋_GB2312"/>
          <w:kern w:val="0"/>
          <w:sz w:val="32"/>
          <w:szCs w:val="32"/>
        </w:rPr>
        <w:t>以上。</w:t>
      </w:r>
      <w:r>
        <w:rPr>
          <w:rFonts w:ascii="Times New Roman" w:hAnsi="Times New Roman" w:eastAsia="仿宋_GB2312" w:cs="Times New Roman"/>
          <w:kern w:val="0"/>
          <w:sz w:val="32"/>
          <w:szCs w:val="32"/>
        </w:rPr>
        <w:t>2019</w:t>
      </w:r>
      <w:r>
        <w:rPr>
          <w:rFonts w:hint="eastAsia" w:ascii="Times New Roman" w:hAnsi="Times New Roman" w:eastAsia="仿宋_GB2312" w:cs="仿宋_GB2312"/>
          <w:kern w:val="0"/>
          <w:sz w:val="32"/>
          <w:szCs w:val="32"/>
        </w:rPr>
        <w:t>年国庆七十周年大阅兵中展示的新式武器中，所使用的特殊钢新材料大多数由抚顺特钢提供。</w:t>
      </w:r>
    </w:p>
    <w:p>
      <w:pPr>
        <w:pStyle w:val="6"/>
        <w:numPr>
          <w:ilvl w:val="0"/>
          <w:numId w:val="1"/>
        </w:numPr>
        <w:spacing w:line="600" w:lineRule="exact"/>
        <w:ind w:left="0" w:firstLine="643" w:firstLineChars="200"/>
        <w:outlineLvl w:val="1"/>
        <w:rPr>
          <w:rFonts w:ascii="Times New Roman" w:hAnsi="Times New Roman" w:eastAsia="楷体"/>
          <w:b/>
          <w:bCs/>
          <w:kern w:val="0"/>
          <w:sz w:val="32"/>
          <w:szCs w:val="32"/>
        </w:rPr>
      </w:pPr>
      <w:bookmarkStart w:id="9" w:name="_Toc13731"/>
      <w:r>
        <w:rPr>
          <w:rFonts w:hint="eastAsia" w:ascii="Times New Roman" w:hAnsi="Times New Roman" w:eastAsia="楷体" w:cs="楷体"/>
          <w:b/>
          <w:bCs/>
          <w:kern w:val="0"/>
          <w:sz w:val="32"/>
          <w:szCs w:val="32"/>
        </w:rPr>
        <w:t>企业实力显著增强</w:t>
      </w:r>
      <w:bookmarkEnd w:id="9"/>
    </w:p>
    <w:p>
      <w:pPr>
        <w:spacing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随着冶金高端新材料产业的快速发展，企业实力也得到了显著增强。上游铁矿石开采企业：</w:t>
      </w:r>
      <w:r>
        <w:rPr>
          <w:rFonts w:hint="eastAsia" w:ascii="Times New Roman" w:hAnsi="Times New Roman" w:eastAsia="仿宋_GB2312" w:cs="仿宋_GB2312"/>
          <w:sz w:val="32"/>
          <w:szCs w:val="32"/>
        </w:rPr>
        <w:t>抚顺罕王傲牛矿业公司以智慧创新为引领，积极推进技术改造，实施智慧矿山建设，近三年销售额超过</w:t>
      </w:r>
      <w:r>
        <w:rPr>
          <w:rFonts w:ascii="Times New Roman" w:hAnsi="Times New Roman" w:eastAsia="仿宋_GB2312" w:cs="Times New Roman"/>
          <w:sz w:val="32"/>
          <w:szCs w:val="32"/>
        </w:rPr>
        <w:t>35</w:t>
      </w:r>
      <w:r>
        <w:rPr>
          <w:rFonts w:hint="eastAsia" w:ascii="Times New Roman" w:hAnsi="Times New Roman" w:eastAsia="仿宋_GB2312" w:cs="仿宋_GB2312"/>
          <w:sz w:val="32"/>
          <w:szCs w:val="32"/>
        </w:rPr>
        <w:t>亿元，纳税</w:t>
      </w:r>
      <w:r>
        <w:rPr>
          <w:rFonts w:ascii="Times New Roman" w:hAnsi="Times New Roman" w:eastAsia="仿宋_GB2312" w:cs="Times New Roman"/>
          <w:sz w:val="32"/>
          <w:szCs w:val="32"/>
        </w:rPr>
        <w:t>7.9</w:t>
      </w:r>
      <w:r>
        <w:rPr>
          <w:rFonts w:hint="eastAsia" w:ascii="Times New Roman" w:hAnsi="Times New Roman" w:eastAsia="仿宋_GB2312" w:cs="仿宋_GB2312"/>
          <w:sz w:val="32"/>
          <w:szCs w:val="32"/>
        </w:rPr>
        <w:t>亿元，成为全国同行业成本最低、产品质量最优的行业先锋，</w:t>
      </w:r>
      <w:r>
        <w:rPr>
          <w:rFonts w:ascii="Times New Roman" w:hAnsi="Times New Roman" w:eastAsia="仿宋_GB2312" w:cs="Times New Roman"/>
          <w:sz w:val="32"/>
          <w:szCs w:val="32"/>
        </w:rPr>
        <w:t>2020</w:t>
      </w:r>
      <w:r>
        <w:rPr>
          <w:rFonts w:hint="eastAsia" w:ascii="Times New Roman" w:hAnsi="Times New Roman" w:eastAsia="仿宋_GB2312" w:cs="仿宋_GB2312"/>
          <w:sz w:val="32"/>
          <w:szCs w:val="32"/>
        </w:rPr>
        <w:t>年被授予“辽宁省铁矿资源综合利用技术创新中心”。中游钢材加工企业：抚顺特钢在高端特种合金材料领域占据</w:t>
      </w:r>
      <w:r>
        <w:rPr>
          <w:rFonts w:ascii="Times New Roman" w:hAnsi="Times New Roman" w:eastAsia="仿宋_GB2312" w:cs="Times New Roman"/>
          <w:sz w:val="32"/>
          <w:szCs w:val="32"/>
        </w:rPr>
        <w:t>60%</w:t>
      </w:r>
      <w:r>
        <w:rPr>
          <w:rFonts w:hint="eastAsia" w:ascii="Times New Roman" w:hAnsi="Times New Roman" w:eastAsia="仿宋_GB2312" w:cs="仿宋_GB2312"/>
          <w:sz w:val="32"/>
          <w:szCs w:val="32"/>
        </w:rPr>
        <w:t>的市场份额，军用特冶不锈钢市场占据</w:t>
      </w:r>
      <w:r>
        <w:rPr>
          <w:rFonts w:ascii="Times New Roman" w:hAnsi="Times New Roman" w:eastAsia="仿宋_GB2312" w:cs="Times New Roman"/>
          <w:sz w:val="32"/>
          <w:szCs w:val="32"/>
        </w:rPr>
        <w:t>40%</w:t>
      </w:r>
      <w:r>
        <w:rPr>
          <w:rFonts w:hint="eastAsia" w:ascii="Times New Roman" w:hAnsi="Times New Roman" w:eastAsia="仿宋_GB2312" w:cs="仿宋_GB2312"/>
          <w:sz w:val="32"/>
          <w:szCs w:val="32"/>
        </w:rPr>
        <w:t>市场份额，超高强度钢在国内处于绝对领先地位。抚顺新钢炼铁生产能力</w:t>
      </w:r>
      <w:r>
        <w:rPr>
          <w:rFonts w:ascii="Times New Roman" w:hAnsi="Times New Roman" w:eastAsia="仿宋_GB2312" w:cs="Times New Roman"/>
          <w:sz w:val="32"/>
          <w:szCs w:val="32"/>
        </w:rPr>
        <w:t>315</w:t>
      </w:r>
      <w:r>
        <w:rPr>
          <w:rFonts w:hint="eastAsia" w:ascii="Times New Roman" w:hAnsi="Times New Roman" w:eastAsia="仿宋_GB2312" w:cs="仿宋_GB2312"/>
          <w:sz w:val="32"/>
          <w:szCs w:val="32"/>
        </w:rPr>
        <w:t>万吨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年，炼钢生产能力</w:t>
      </w:r>
      <w:r>
        <w:rPr>
          <w:rFonts w:ascii="Times New Roman" w:hAnsi="Times New Roman" w:eastAsia="仿宋_GB2312" w:cs="Times New Roman"/>
          <w:sz w:val="32"/>
          <w:szCs w:val="32"/>
        </w:rPr>
        <w:t>330</w:t>
      </w:r>
      <w:r>
        <w:rPr>
          <w:rFonts w:hint="eastAsia" w:ascii="Times New Roman" w:hAnsi="Times New Roman" w:eastAsia="仿宋_GB2312" w:cs="仿宋_GB2312"/>
          <w:sz w:val="32"/>
          <w:szCs w:val="32"/>
        </w:rPr>
        <w:t>万吨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年，轧钢生产能力</w:t>
      </w:r>
      <w:r>
        <w:rPr>
          <w:rFonts w:ascii="Times New Roman" w:hAnsi="Times New Roman" w:eastAsia="仿宋_GB2312" w:cs="Times New Roman"/>
          <w:sz w:val="32"/>
          <w:szCs w:val="32"/>
        </w:rPr>
        <w:t>340</w:t>
      </w:r>
      <w:r>
        <w:rPr>
          <w:rFonts w:hint="eastAsia" w:ascii="Times New Roman" w:hAnsi="Times New Roman" w:eastAsia="仿宋_GB2312" w:cs="仿宋_GB2312"/>
          <w:sz w:val="32"/>
          <w:szCs w:val="32"/>
        </w:rPr>
        <w:t>万吨</w:t>
      </w: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年，生产的高强抗震钢筋在省内有较高的市场占有率，主导产品螺纹钢筋、高速线材、圆钢及钢坯畅销全国。抚工工具拥有“抚钢”、“抚工”、“</w:t>
      </w:r>
      <w:r>
        <w:rPr>
          <w:rFonts w:ascii="Times New Roman" w:hAnsi="Times New Roman" w:eastAsia="仿宋_GB2312" w:cs="Times New Roman"/>
          <w:sz w:val="32"/>
          <w:szCs w:val="32"/>
        </w:rPr>
        <w:t>Jet Arrow</w:t>
      </w:r>
      <w:r>
        <w:rPr>
          <w:rFonts w:hint="eastAsia" w:ascii="Times New Roman" w:hAnsi="Times New Roman" w:eastAsia="仿宋_GB2312" w:cs="仿宋_GB2312"/>
          <w:sz w:val="32"/>
          <w:szCs w:val="32"/>
        </w:rPr>
        <w:t>”三个市场知名品牌商标，生产经营的高速工具钢知名度及质量评价在全国名列前茅，高性能切削刀具产品（近</w:t>
      </w:r>
      <w:r>
        <w:rPr>
          <w:rFonts w:ascii="Times New Roman" w:hAnsi="Times New Roman" w:eastAsia="仿宋_GB2312" w:cs="Times New Roman"/>
          <w:sz w:val="32"/>
          <w:szCs w:val="32"/>
        </w:rPr>
        <w:t>1000</w:t>
      </w:r>
      <w:r>
        <w:rPr>
          <w:rFonts w:hint="eastAsia" w:ascii="Times New Roman" w:hAnsi="Times New Roman" w:eastAsia="仿宋_GB2312" w:cs="仿宋_GB2312"/>
          <w:sz w:val="32"/>
          <w:szCs w:val="32"/>
        </w:rPr>
        <w:t>个规格产品）不仅在国内供不应求，还有很大一部分远销国外。同时，依托重点企业辐射带动，一批优质企业应运而生，包括抚顺炭素、抚顺铝业等等。</w:t>
      </w:r>
    </w:p>
    <w:p>
      <w:pPr>
        <w:pStyle w:val="6"/>
        <w:numPr>
          <w:ilvl w:val="0"/>
          <w:numId w:val="1"/>
        </w:numPr>
        <w:spacing w:line="600" w:lineRule="exact"/>
        <w:ind w:left="0" w:firstLine="643" w:firstLineChars="200"/>
        <w:outlineLvl w:val="1"/>
        <w:rPr>
          <w:rFonts w:ascii="Times New Roman" w:hAnsi="Times New Roman" w:eastAsia="楷体"/>
          <w:b/>
          <w:bCs/>
          <w:kern w:val="0"/>
          <w:sz w:val="32"/>
          <w:szCs w:val="32"/>
        </w:rPr>
      </w:pPr>
      <w:bookmarkStart w:id="10" w:name="_Toc30098"/>
      <w:r>
        <w:rPr>
          <w:rFonts w:hint="eastAsia" w:ascii="Times New Roman" w:hAnsi="Times New Roman" w:eastAsia="楷体" w:cs="楷体"/>
          <w:b/>
          <w:bCs/>
          <w:kern w:val="0"/>
          <w:sz w:val="32"/>
          <w:szCs w:val="32"/>
        </w:rPr>
        <w:t>创新能力持续提升</w:t>
      </w:r>
      <w:bookmarkEnd w:id="10"/>
    </w:p>
    <w:p>
      <w:pPr>
        <w:spacing w:line="600" w:lineRule="exact"/>
        <w:ind w:firstLine="640" w:firstLineChars="200"/>
        <w:rPr>
          <w:rFonts w:ascii="Times New Roman" w:hAnsi="Times New Roman" w:eastAsia="仿宋_GB2312"/>
          <w:color w:val="000000"/>
          <w:kern w:val="0"/>
          <w:sz w:val="32"/>
          <w:szCs w:val="32"/>
        </w:rPr>
      </w:pPr>
      <w:r>
        <w:rPr>
          <w:rFonts w:hint="eastAsia" w:ascii="Times New Roman" w:hAnsi="Times New Roman" w:eastAsia="仿宋_GB2312" w:cs="仿宋_GB2312"/>
          <w:color w:val="000000"/>
          <w:kern w:val="0"/>
          <w:sz w:val="32"/>
          <w:szCs w:val="32"/>
        </w:rPr>
        <w:t>“十三五”期间，</w:t>
      </w:r>
      <w:r>
        <w:rPr>
          <w:rFonts w:hint="eastAsia" w:ascii="Times New Roman" w:hAnsi="Times New Roman" w:eastAsia="仿宋_GB2312" w:cs="仿宋_GB2312"/>
          <w:sz w:val="32"/>
          <w:szCs w:val="32"/>
        </w:rPr>
        <w:t>抚顺冶金高端新材料产业以科技创新为核心，</w:t>
      </w:r>
      <w:r>
        <w:rPr>
          <w:rFonts w:hint="eastAsia" w:ascii="Times New Roman" w:hAnsi="Times New Roman" w:eastAsia="仿宋_GB2312" w:cs="仿宋_GB2312"/>
          <w:color w:val="000000"/>
          <w:kern w:val="0"/>
          <w:sz w:val="32"/>
          <w:szCs w:val="32"/>
        </w:rPr>
        <w:t>以问题为导向，以需求为牵引，在创新主体、创新资源、创新环境方面用力，重点企业创新能力持续提升。抚顺特钢集中优势资源重点开发高新产品和替代进口产品，在战略装备、核电、高铁等领域开展了</w:t>
      </w:r>
      <w:r>
        <w:rPr>
          <w:rFonts w:ascii="Times New Roman" w:hAnsi="Times New Roman" w:eastAsia="仿宋_GB2312" w:cs="Times New Roman"/>
          <w:color w:val="000000"/>
          <w:kern w:val="0"/>
          <w:sz w:val="32"/>
          <w:szCs w:val="32"/>
        </w:rPr>
        <w:t>110</w:t>
      </w:r>
      <w:r>
        <w:rPr>
          <w:rFonts w:hint="eastAsia" w:ascii="Times New Roman" w:hAnsi="Times New Roman" w:eastAsia="仿宋_GB2312" w:cs="仿宋_GB2312"/>
          <w:color w:val="000000"/>
          <w:kern w:val="0"/>
          <w:sz w:val="32"/>
          <w:szCs w:val="32"/>
        </w:rPr>
        <w:t>项新材料预研项目，为国家“十三五”的发展储备了重要特殊钢材料。抚顺新钢先后完成烧结、炼铁、炼钢、轧钢等工序及能源环保装备的升级改造，在智能制造、数据化转型方面实现了快速突破。抚顺铝业瞄准“打造炭素阳极出口基地、优质阳极生产基地和国内炭素阳极成本竞争力领先企业”三大目标，通过存量炭素生产线的技术改造升级，新建</w:t>
      </w:r>
      <w:r>
        <w:rPr>
          <w:rFonts w:ascii="Times New Roman" w:hAnsi="Times New Roman" w:eastAsia="仿宋_GB2312" w:cs="Times New Roman"/>
          <w:color w:val="000000"/>
          <w:kern w:val="0"/>
          <w:sz w:val="32"/>
          <w:szCs w:val="32"/>
        </w:rPr>
        <w:t>35</w:t>
      </w:r>
      <w:r>
        <w:rPr>
          <w:rFonts w:hint="eastAsia" w:ascii="Times New Roman" w:hAnsi="Times New Roman" w:eastAsia="仿宋_GB2312" w:cs="仿宋_GB2312"/>
          <w:color w:val="000000"/>
          <w:kern w:val="0"/>
          <w:sz w:val="32"/>
          <w:szCs w:val="32"/>
        </w:rPr>
        <w:t>万吨预焙阳极项目，实现扭亏脱困。抚顺炭素注重炭素制品的研发与生产，持续改进与炭素制品工艺特性相适宜的研发体系，产品广泛应用于冶金、新能源、化工、机械、医疗等行业和高科技领域。</w:t>
      </w:r>
    </w:p>
    <w:p>
      <w:pPr>
        <w:pStyle w:val="6"/>
        <w:numPr>
          <w:ilvl w:val="0"/>
          <w:numId w:val="1"/>
        </w:numPr>
        <w:spacing w:line="600" w:lineRule="exact"/>
        <w:ind w:left="0" w:firstLine="643" w:firstLineChars="200"/>
        <w:outlineLvl w:val="1"/>
        <w:rPr>
          <w:rFonts w:ascii="Times New Roman" w:hAnsi="Times New Roman" w:eastAsia="楷体"/>
          <w:b/>
          <w:bCs/>
          <w:kern w:val="0"/>
          <w:sz w:val="32"/>
          <w:szCs w:val="32"/>
        </w:rPr>
      </w:pPr>
      <w:bookmarkStart w:id="11" w:name="_Toc25878"/>
      <w:r>
        <w:rPr>
          <w:rFonts w:hint="eastAsia" w:ascii="Times New Roman" w:hAnsi="Times New Roman" w:eastAsia="楷体" w:cs="楷体"/>
          <w:b/>
          <w:bCs/>
          <w:kern w:val="0"/>
          <w:sz w:val="32"/>
          <w:szCs w:val="32"/>
        </w:rPr>
        <w:t>节能减排成效显著</w:t>
      </w:r>
      <w:bookmarkEnd w:id="11"/>
    </w:p>
    <w:p>
      <w:pPr>
        <w:pStyle w:val="8"/>
        <w:spacing w:after="0"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抚顺冶金行业通过加快转型升级改造、实施各项节能环保措施，积极推动行业绿色可持续发展，节能降耗成效显著。抚顺新钢持续降低吨钢能耗，吨钢耗水、吨钢耗电及工序能耗指标均居国内同行前列，先后通过了低碳产品认证和冶金绿色产品认证，积极推动余热发电、余热供暖等节能减排技术的应用，通过余热高效回收利用，满足望花经济开发区</w:t>
      </w:r>
      <w:r>
        <w:rPr>
          <w:rFonts w:ascii="Times New Roman" w:hAnsi="Times New Roman" w:eastAsia="仿宋_GB2312" w:cs="Times New Roman"/>
          <w:kern w:val="0"/>
          <w:sz w:val="32"/>
          <w:szCs w:val="32"/>
        </w:rPr>
        <w:t>600</w:t>
      </w:r>
      <w:r>
        <w:rPr>
          <w:rFonts w:hint="eastAsia" w:ascii="Times New Roman" w:hAnsi="Times New Roman" w:eastAsia="仿宋_GB2312" w:cs="仿宋_GB2312"/>
          <w:kern w:val="0"/>
          <w:sz w:val="32"/>
          <w:szCs w:val="32"/>
        </w:rPr>
        <w:t>万平方米供热需求，年均减少近</w:t>
      </w:r>
      <w:r>
        <w:rPr>
          <w:rFonts w:ascii="Times New Roman" w:hAnsi="Times New Roman" w:eastAsia="仿宋_GB2312" w:cs="Times New Roman"/>
          <w:kern w:val="0"/>
          <w:sz w:val="32"/>
          <w:szCs w:val="32"/>
        </w:rPr>
        <w:t>10</w:t>
      </w:r>
      <w:r>
        <w:rPr>
          <w:rFonts w:hint="eastAsia" w:ascii="Times New Roman" w:hAnsi="Times New Roman" w:eastAsia="仿宋_GB2312" w:cs="仿宋_GB2312"/>
          <w:kern w:val="0"/>
          <w:sz w:val="32"/>
          <w:szCs w:val="32"/>
        </w:rPr>
        <w:t>万吨标煤使用。抚顺特钢建成了污水处理厂，实现了污水零排放；完成了冶炼设备除尘改造、各类炉窑天然气改造工程；实施了废钢渣深加工和综合利用，全面实施资源节约型、环境友好型发展战略。为冶金高端新材料行业更长远的良性健康发展提振了信心，奠定了冶金高端新材料行业进一步绿色高质量发展的基础。</w:t>
      </w:r>
    </w:p>
    <w:p>
      <w:pPr>
        <w:spacing w:line="600" w:lineRule="exact"/>
        <w:ind w:firstLine="643" w:firstLineChars="200"/>
        <w:outlineLvl w:val="0"/>
        <w:rPr>
          <w:rFonts w:ascii="Times New Roman" w:hAnsi="Times New Roman" w:eastAsia="黑体"/>
          <w:b/>
          <w:bCs/>
          <w:kern w:val="0"/>
          <w:sz w:val="32"/>
          <w:szCs w:val="32"/>
        </w:rPr>
      </w:pPr>
      <w:bookmarkStart w:id="12" w:name="_Toc2564"/>
      <w:r>
        <w:rPr>
          <w:rFonts w:hint="eastAsia" w:ascii="Times New Roman" w:hAnsi="Times New Roman" w:eastAsia="黑体" w:cs="黑体"/>
          <w:b/>
          <w:bCs/>
          <w:sz w:val="32"/>
          <w:szCs w:val="32"/>
        </w:rPr>
        <w:t>三、</w:t>
      </w:r>
      <w:r>
        <w:rPr>
          <w:rFonts w:hint="eastAsia" w:ascii="Times New Roman" w:hAnsi="Times New Roman" w:eastAsia="黑体" w:cs="黑体"/>
          <w:b/>
          <w:bCs/>
          <w:kern w:val="0"/>
          <w:sz w:val="32"/>
          <w:szCs w:val="32"/>
        </w:rPr>
        <w:t>发展环境</w:t>
      </w:r>
      <w:bookmarkEnd w:id="12"/>
    </w:p>
    <w:p>
      <w:pPr>
        <w:pStyle w:val="8"/>
        <w:spacing w:after="0" w:line="600" w:lineRule="exact"/>
        <w:ind w:firstLine="643" w:firstLineChars="200"/>
        <w:outlineLvl w:val="1"/>
        <w:rPr>
          <w:rFonts w:ascii="Times New Roman" w:hAnsi="Times New Roman" w:eastAsia="楷体"/>
          <w:b/>
          <w:bCs/>
          <w:sz w:val="32"/>
          <w:szCs w:val="32"/>
        </w:rPr>
      </w:pPr>
      <w:bookmarkStart w:id="13" w:name="_Toc31865"/>
      <w:r>
        <w:rPr>
          <w:rFonts w:hint="eastAsia" w:ascii="Times New Roman" w:hAnsi="Times New Roman" w:eastAsia="楷体" w:cs="楷体"/>
          <w:b/>
          <w:bCs/>
          <w:sz w:val="32"/>
          <w:szCs w:val="32"/>
        </w:rPr>
        <w:t>（一）国内外发展形势</w:t>
      </w:r>
      <w:bookmarkEnd w:id="13"/>
    </w:p>
    <w:p>
      <w:pPr>
        <w:pStyle w:val="8"/>
        <w:spacing w:after="0" w:line="600" w:lineRule="exact"/>
        <w:ind w:firstLine="643" w:firstLineChars="200"/>
        <w:rPr>
          <w:rFonts w:ascii="Times New Roman" w:hAnsi="Times New Roman" w:eastAsia="仿宋_GB2312"/>
          <w:kern w:val="0"/>
          <w:sz w:val="32"/>
          <w:szCs w:val="32"/>
        </w:rPr>
      </w:pPr>
      <w:r>
        <w:rPr>
          <w:rFonts w:hint="eastAsia" w:ascii="Times New Roman" w:hAnsi="Times New Roman" w:eastAsia="仿宋_GB2312" w:cs="仿宋_GB2312"/>
          <w:b/>
          <w:bCs/>
          <w:kern w:val="0"/>
          <w:sz w:val="32"/>
          <w:szCs w:val="32"/>
        </w:rPr>
        <w:t>从国外看，一是</w:t>
      </w:r>
      <w:r>
        <w:rPr>
          <w:rFonts w:hint="eastAsia" w:ascii="Times New Roman" w:hAnsi="Times New Roman" w:eastAsia="仿宋_GB2312" w:cs="仿宋_GB2312"/>
          <w:kern w:val="0"/>
          <w:sz w:val="32"/>
          <w:szCs w:val="32"/>
        </w:rPr>
        <w:t>随着新兴经济体国家钢铁行业的快速发展，发达国家不再独占钢铁生产大国的地位，发展中国家在世界钢铁冶金材料生产中的地位得到提升，全球钢铁冶金材料的竞争更加激烈，其发展战略做出了新的调整，大型钢企实施跨国合并重组、关闭低效率产能，在环保和成本的压力下改变生产流程等重要举措正在实施中。</w:t>
      </w:r>
      <w:r>
        <w:rPr>
          <w:rFonts w:hint="eastAsia" w:ascii="Times New Roman" w:hAnsi="Times New Roman" w:eastAsia="仿宋_GB2312" w:cs="仿宋_GB2312"/>
          <w:b/>
          <w:bCs/>
          <w:kern w:val="0"/>
          <w:sz w:val="32"/>
          <w:szCs w:val="32"/>
        </w:rPr>
        <w:t>二是</w:t>
      </w:r>
      <w:r>
        <w:rPr>
          <w:rFonts w:hint="eastAsia" w:ascii="Times New Roman" w:hAnsi="Times New Roman" w:eastAsia="仿宋_GB2312" w:cs="仿宋_GB2312"/>
          <w:kern w:val="0"/>
          <w:sz w:val="32"/>
          <w:szCs w:val="32"/>
        </w:rPr>
        <w:t>随着世界经济增长复苏乏力，我国钢铁产品对发达国家尤其是对美国出口将受到较大冲击，冶金材料的进出口贸易很可能受到较大的影响，外贸企业业务拓展能力和盈利能力随之下降。</w:t>
      </w:r>
      <w:r>
        <w:rPr>
          <w:rFonts w:hint="eastAsia" w:ascii="Times New Roman" w:hAnsi="Times New Roman" w:eastAsia="仿宋_GB2312" w:cs="仿宋_GB2312"/>
          <w:b/>
          <w:bCs/>
          <w:kern w:val="0"/>
          <w:sz w:val="32"/>
          <w:szCs w:val="32"/>
        </w:rPr>
        <w:t>三是</w:t>
      </w:r>
      <w:r>
        <w:rPr>
          <w:rFonts w:hint="eastAsia" w:ascii="Times New Roman" w:hAnsi="Times New Roman" w:eastAsia="仿宋_GB2312" w:cs="仿宋_GB2312"/>
          <w:kern w:val="0"/>
          <w:sz w:val="32"/>
          <w:szCs w:val="32"/>
        </w:rPr>
        <w:t>随着“一带一路”和人类命运共同体建设的国际影响力和号召力的进一步扩大，未来几年，我国冶金新材料的进出口贸易主要由亚洲和中东地区新兴经济体贡献，必将为实现更高质量、更高水平的国际经贸合作和产能合作，提供新的历史机遇。</w:t>
      </w:r>
    </w:p>
    <w:p>
      <w:pPr>
        <w:pStyle w:val="14"/>
        <w:widowControl/>
        <w:shd w:val="clear" w:color="auto" w:fill="FFFFFF"/>
        <w:spacing w:beforeAutospacing="0" w:afterAutospacing="0" w:line="600" w:lineRule="exact"/>
        <w:ind w:firstLine="643" w:firstLineChars="200"/>
        <w:rPr>
          <w:rFonts w:ascii="Times New Roman" w:hAnsi="Times New Roman" w:eastAsia="仿宋_GB2312"/>
          <w:sz w:val="32"/>
          <w:szCs w:val="32"/>
        </w:rPr>
      </w:pPr>
      <w:r>
        <w:rPr>
          <w:rFonts w:hint="eastAsia" w:ascii="Times New Roman" w:hAnsi="Times New Roman" w:eastAsia="仿宋_GB2312" w:cs="仿宋_GB2312"/>
          <w:b/>
          <w:bCs/>
          <w:sz w:val="32"/>
          <w:szCs w:val="32"/>
        </w:rPr>
        <w:t>从国内看，一是</w:t>
      </w:r>
      <w:r>
        <w:rPr>
          <w:rFonts w:hint="eastAsia" w:ascii="Times New Roman" w:hAnsi="Times New Roman" w:eastAsia="仿宋_GB2312" w:cs="仿宋_GB2312"/>
          <w:color w:val="000000"/>
          <w:sz w:val="32"/>
          <w:szCs w:val="32"/>
        </w:rPr>
        <w:t>高端制造引领钢铁产品迈向中高端。</w:t>
      </w:r>
      <w:r>
        <w:rPr>
          <w:rFonts w:ascii="Times New Roman" w:hAnsi="Times New Roman" w:eastAsia="仿宋_GB2312" w:cs="Times New Roman"/>
          <w:color w:val="000000"/>
          <w:sz w:val="32"/>
          <w:szCs w:val="32"/>
        </w:rPr>
        <w:t>2019</w:t>
      </w:r>
      <w:r>
        <w:rPr>
          <w:rFonts w:hint="eastAsia" w:ascii="Times New Roman" w:hAnsi="Times New Roman" w:eastAsia="仿宋_GB2312" w:cs="仿宋_GB2312"/>
          <w:color w:val="000000"/>
          <w:sz w:val="32"/>
          <w:szCs w:val="32"/>
        </w:rPr>
        <w:t>年中央经济工作会议再次强调经济结构优化走向深入，未来制造业转型升级将成为工作重点，以汽车、能源、工程机械、国防军工、核工业为代表的高端制造业迎来了快速、可持续发展，中高端特钢的需求也迎来难得的增长机遇。</w:t>
      </w:r>
      <w:r>
        <w:rPr>
          <w:rFonts w:hint="eastAsia" w:ascii="Times New Roman" w:hAnsi="Times New Roman" w:eastAsia="仿宋_GB2312" w:cs="仿宋_GB2312"/>
          <w:b/>
          <w:bCs/>
          <w:color w:val="000000"/>
          <w:sz w:val="32"/>
          <w:szCs w:val="32"/>
        </w:rPr>
        <w:t>二是</w:t>
      </w:r>
      <w:r>
        <w:rPr>
          <w:rFonts w:hint="eastAsia" w:ascii="Times New Roman" w:hAnsi="Times New Roman" w:eastAsia="仿宋_GB2312" w:cs="仿宋_GB2312"/>
          <w:color w:val="000000"/>
          <w:sz w:val="32"/>
          <w:szCs w:val="32"/>
        </w:rPr>
        <w:t>“新基建”投资加码助力优特钢发展。</w:t>
      </w:r>
      <w:r>
        <w:rPr>
          <w:rFonts w:ascii="Times New Roman" w:hAnsi="Times New Roman" w:eastAsia="仿宋_GB2312" w:cs="Times New Roman"/>
          <w:color w:val="000000"/>
          <w:sz w:val="32"/>
          <w:szCs w:val="32"/>
        </w:rPr>
        <w:t>2020</w:t>
      </w:r>
      <w:r>
        <w:rPr>
          <w:rFonts w:hint="eastAsia" w:ascii="Times New Roman" w:hAnsi="Times New Roman" w:eastAsia="仿宋_GB2312" w:cs="仿宋_GB2312"/>
          <w:color w:val="000000"/>
          <w:sz w:val="32"/>
          <w:szCs w:val="32"/>
        </w:rPr>
        <w:t>年以来，受疫情的影响，经济下行压力加大，中央层面多次强调将推进“新基建”建设，其中城际高铁和轨道交通投资规模最大。因此，伴随国家对“新基建”产业领域的投资增长，我国特钢行业将迎来难得的发展机遇。</w:t>
      </w:r>
      <w:r>
        <w:rPr>
          <w:rFonts w:hint="eastAsia" w:ascii="Times New Roman" w:hAnsi="Times New Roman" w:eastAsia="仿宋_GB2312" w:cs="仿宋_GB2312"/>
          <w:b/>
          <w:bCs/>
          <w:color w:val="000000"/>
          <w:sz w:val="32"/>
          <w:szCs w:val="32"/>
        </w:rPr>
        <w:t>三是</w:t>
      </w:r>
      <w:r>
        <w:rPr>
          <w:rFonts w:hint="eastAsia" w:ascii="Times New Roman" w:hAnsi="Times New Roman" w:eastAsia="仿宋_GB2312" w:cs="仿宋_GB2312"/>
          <w:sz w:val="32"/>
          <w:szCs w:val="32"/>
        </w:rPr>
        <w:t>行业低碳绿色发展成为必然趋势。</w:t>
      </w:r>
      <w:r>
        <w:rPr>
          <w:rFonts w:ascii="Times New Roman" w:hAnsi="Times New Roman" w:eastAsia="仿宋_GB2312" w:cs="Times New Roman"/>
          <w:sz w:val="32"/>
          <w:szCs w:val="32"/>
        </w:rPr>
        <w:t>2021</w:t>
      </w:r>
      <w:r>
        <w:rPr>
          <w:rFonts w:hint="eastAsia" w:ascii="Times New Roman" w:hAnsi="Times New Roman" w:eastAsia="仿宋_GB2312" w:cs="仿宋_GB2312"/>
          <w:sz w:val="32"/>
          <w:szCs w:val="32"/>
        </w:rPr>
        <w:t>年我国将强化降碳的刚性举措，实施工业低碳行动和绿色制造工程。钢铁行业超低排放改造和低碳发展压力巨大，一些特殊领域用高端优特钢品种的研发生产与国外先进国家相比仍有较大差距，受国际技术封锁影响，钢铁冶炼实现“自主化”和“走出去”，仍将面临严峻挑战。</w:t>
      </w:r>
    </w:p>
    <w:p>
      <w:pPr>
        <w:widowControl/>
        <w:spacing w:line="600" w:lineRule="exact"/>
        <w:ind w:firstLine="643" w:firstLineChars="200"/>
        <w:jc w:val="left"/>
        <w:rPr>
          <w:rFonts w:ascii="Times New Roman" w:hAnsi="Times New Roman" w:eastAsia="仿宋_GB2312"/>
          <w:kern w:val="0"/>
          <w:sz w:val="32"/>
          <w:szCs w:val="32"/>
        </w:rPr>
      </w:pPr>
      <w:r>
        <w:rPr>
          <w:rFonts w:hint="eastAsia" w:ascii="Times New Roman" w:hAnsi="Times New Roman" w:eastAsia="仿宋_GB2312" w:cs="仿宋_GB2312"/>
          <w:b/>
          <w:bCs/>
          <w:kern w:val="0"/>
          <w:sz w:val="32"/>
          <w:szCs w:val="32"/>
        </w:rPr>
        <w:t>从辽宁看，一是</w:t>
      </w:r>
      <w:r>
        <w:rPr>
          <w:rFonts w:hint="eastAsia" w:ascii="Times New Roman" w:hAnsi="Times New Roman" w:eastAsia="仿宋_GB2312" w:cs="仿宋_GB2312"/>
          <w:kern w:val="0"/>
          <w:sz w:val="32"/>
          <w:szCs w:val="32"/>
        </w:rPr>
        <w:t>产业发展政策支持力度大。为实现原材料工业的可持续发展，辽宁发布了《辽宁省建设国家新型原材料基地工程实施方案》，建设有国际影响力的冶金新材料产业基地，推进冶金新材料产业精深加工。</w:t>
      </w:r>
      <w:r>
        <w:rPr>
          <w:rFonts w:hint="eastAsia" w:ascii="Times New Roman" w:hAnsi="Times New Roman" w:eastAsia="仿宋_GB2312" w:cs="仿宋_GB2312"/>
          <w:b/>
          <w:bCs/>
          <w:kern w:val="0"/>
          <w:sz w:val="32"/>
          <w:szCs w:val="32"/>
        </w:rPr>
        <w:t>二是</w:t>
      </w:r>
      <w:r>
        <w:rPr>
          <w:rFonts w:hint="eastAsia" w:ascii="Times New Roman" w:hAnsi="Times New Roman" w:eastAsia="仿宋_GB2312" w:cs="仿宋_GB2312"/>
          <w:kern w:val="0"/>
          <w:sz w:val="32"/>
          <w:szCs w:val="32"/>
        </w:rPr>
        <w:t>龙头企业竞争优势明显。辽宁冶金产业在全国具有较强的优势地位，主要产能由鞍钢、本钢、辽宁忠旺等大型企业提供，其中鞍钢是国内首家具有成套技术输出能力的钢铁企业。</w:t>
      </w:r>
      <w:r>
        <w:rPr>
          <w:rFonts w:hint="eastAsia" w:ascii="Times New Roman" w:hAnsi="Times New Roman" w:eastAsia="仿宋_GB2312" w:cs="仿宋_GB2312"/>
          <w:b/>
          <w:bCs/>
          <w:kern w:val="0"/>
          <w:sz w:val="32"/>
          <w:szCs w:val="32"/>
        </w:rPr>
        <w:t>三是</w:t>
      </w:r>
      <w:r>
        <w:rPr>
          <w:rFonts w:hint="eastAsia" w:ascii="Times New Roman" w:hAnsi="Times New Roman" w:eastAsia="仿宋_GB2312" w:cs="仿宋_GB2312"/>
          <w:kern w:val="0"/>
          <w:sz w:val="32"/>
          <w:szCs w:val="32"/>
        </w:rPr>
        <w:t>科技创新能力较强。辽宁省有东北大学、大连理工大学、中科院金属所等高校院所技术支撑，科研实力强并有相应的人才培养，已形成包括研发、生产、应用齐全的产业体系。近年来，辽宁有各级金属材料重点实验室</w:t>
      </w:r>
      <w:r>
        <w:rPr>
          <w:rFonts w:ascii="Times New Roman" w:hAnsi="Times New Roman" w:eastAsia="仿宋_GB2312" w:cs="Times New Roman"/>
          <w:kern w:val="0"/>
          <w:sz w:val="32"/>
          <w:szCs w:val="32"/>
        </w:rPr>
        <w:t>22</w:t>
      </w:r>
      <w:r>
        <w:rPr>
          <w:rFonts w:hint="eastAsia" w:ascii="Times New Roman" w:hAnsi="Times New Roman" w:eastAsia="仿宋_GB2312" w:cs="仿宋_GB2312"/>
          <w:kern w:val="0"/>
          <w:sz w:val="32"/>
          <w:szCs w:val="32"/>
        </w:rPr>
        <w:t>个、工程技术研究中心</w:t>
      </w:r>
      <w:r>
        <w:rPr>
          <w:rFonts w:ascii="Times New Roman" w:hAnsi="Times New Roman" w:eastAsia="仿宋_GB2312" w:cs="Times New Roman"/>
          <w:kern w:val="0"/>
          <w:sz w:val="32"/>
          <w:szCs w:val="32"/>
        </w:rPr>
        <w:t>24</w:t>
      </w:r>
      <w:r>
        <w:rPr>
          <w:rFonts w:hint="eastAsia" w:ascii="Times New Roman" w:hAnsi="Times New Roman" w:eastAsia="仿宋_GB2312" w:cs="仿宋_GB2312"/>
          <w:kern w:val="0"/>
          <w:sz w:val="32"/>
          <w:szCs w:val="32"/>
        </w:rPr>
        <w:t>个。但是，辽宁冶金新材料产业存在产品普遍同质化、低端产品过剩、高端产品较少、产品竞争力不强、产品附加值不高问题。未来，辽宁冶金新材料产业发展应加速传统产业与战略新兴产业融合，发挥产业优势，为国家解决“卡脖子”问题发挥重要作用。</w:t>
      </w:r>
    </w:p>
    <w:p>
      <w:pPr>
        <w:pStyle w:val="8"/>
        <w:numPr>
          <w:ilvl w:val="0"/>
          <w:numId w:val="2"/>
        </w:numPr>
        <w:spacing w:after="0" w:line="600" w:lineRule="exact"/>
        <w:ind w:firstLine="643" w:firstLineChars="200"/>
        <w:outlineLvl w:val="1"/>
        <w:rPr>
          <w:rFonts w:ascii="Times New Roman" w:hAnsi="Times New Roman" w:eastAsia="楷体"/>
          <w:b/>
          <w:bCs/>
          <w:sz w:val="32"/>
          <w:szCs w:val="32"/>
        </w:rPr>
      </w:pPr>
      <w:bookmarkStart w:id="14" w:name="_Toc3663"/>
      <w:r>
        <w:rPr>
          <w:rFonts w:hint="eastAsia" w:ascii="Times New Roman" w:hAnsi="Times New Roman" w:eastAsia="楷体" w:cs="楷体"/>
          <w:b/>
          <w:bCs/>
          <w:sz w:val="32"/>
          <w:szCs w:val="32"/>
        </w:rPr>
        <w:t>抚顺市发展形势</w:t>
      </w:r>
      <w:bookmarkEnd w:id="14"/>
    </w:p>
    <w:p>
      <w:pPr>
        <w:pStyle w:val="8"/>
        <w:spacing w:after="0" w:line="600" w:lineRule="exact"/>
        <w:ind w:firstLine="643" w:firstLineChars="200"/>
        <w:jc w:val="left"/>
        <w:rPr>
          <w:rFonts w:ascii="Times New Roman" w:hAnsi="Times New Roman" w:eastAsia="仿宋_GB2312"/>
          <w:sz w:val="32"/>
          <w:szCs w:val="32"/>
        </w:rPr>
      </w:pPr>
      <w:r>
        <w:rPr>
          <w:rFonts w:hint="eastAsia" w:ascii="Times New Roman" w:hAnsi="Times New Roman" w:eastAsia="仿宋_GB2312" w:cs="仿宋_GB2312"/>
          <w:b/>
          <w:bCs/>
          <w:sz w:val="32"/>
          <w:szCs w:val="32"/>
        </w:rPr>
        <w:t>从机遇看，一是</w:t>
      </w:r>
      <w:r>
        <w:rPr>
          <w:rFonts w:hint="eastAsia" w:ascii="Times New Roman" w:hAnsi="Times New Roman" w:eastAsia="仿宋_GB2312" w:cs="仿宋_GB2312"/>
          <w:sz w:val="32"/>
          <w:szCs w:val="32"/>
        </w:rPr>
        <w:t>产业发展利好政策优势。</w:t>
      </w:r>
      <w:r>
        <w:rPr>
          <w:rFonts w:hint="eastAsia" w:ascii="Times New Roman" w:hAnsi="Times New Roman" w:eastAsia="仿宋_GB2312" w:cs="仿宋_GB2312"/>
          <w:kern w:val="0"/>
          <w:sz w:val="32"/>
          <w:szCs w:val="32"/>
        </w:rPr>
        <w:t>《抚顺市国民经济和社会发展第十四个五年规划和二〇三五年远景目标纲要》中提出：“十四五”期间，抚顺市将大力发展实体经济，做大做强冶金高端新材料等“六大产业”，实现工业产业高质量发展。</w:t>
      </w:r>
      <w:r>
        <w:rPr>
          <w:rFonts w:hint="eastAsia" w:ascii="Times New Roman" w:hAnsi="Times New Roman" w:eastAsia="仿宋_GB2312" w:cs="仿宋_GB2312"/>
          <w:b/>
          <w:bCs/>
          <w:sz w:val="32"/>
          <w:szCs w:val="32"/>
        </w:rPr>
        <w:t>二是</w:t>
      </w:r>
      <w:r>
        <w:rPr>
          <w:rFonts w:hint="eastAsia" w:ascii="Times New Roman" w:hAnsi="Times New Roman" w:eastAsia="仿宋_GB2312" w:cs="仿宋_GB2312"/>
          <w:sz w:val="32"/>
          <w:szCs w:val="32"/>
        </w:rPr>
        <w:t>龙头企业优势。</w:t>
      </w:r>
      <w:r>
        <w:rPr>
          <w:rFonts w:hint="eastAsia" w:ascii="Times New Roman" w:hAnsi="Times New Roman" w:eastAsia="仿宋_GB2312" w:cs="仿宋_GB2312"/>
          <w:kern w:val="0"/>
          <w:sz w:val="31"/>
          <w:szCs w:val="31"/>
        </w:rPr>
        <w:t>抚顺市经过多年的平稳较快发展，已然成为全国大型特殊钢生产基地和军工材料研发及生产基地。抚顺特钢建有我国最大的特殊钢材料冶炼炉群，是我国军工配套材料重要研发和生产基地，也是国防科工局列入民口配套核心骨干单位名录的重要特钢企业，被誉为“中国特殊钢的摇篮”；抚顺新钢建筑用钢材产品已稳居东北地区龙头，经过体制转换后，市场竞争力明显增强，盈利能力已位居同类型企业前列。</w:t>
      </w:r>
      <w:r>
        <w:rPr>
          <w:rFonts w:hint="eastAsia" w:ascii="Times New Roman" w:hAnsi="Times New Roman" w:eastAsia="仿宋_GB2312" w:cs="仿宋_GB2312"/>
          <w:b/>
          <w:bCs/>
          <w:kern w:val="0"/>
          <w:sz w:val="31"/>
          <w:szCs w:val="31"/>
        </w:rPr>
        <w:t>三是</w:t>
      </w:r>
      <w:r>
        <w:rPr>
          <w:rFonts w:hint="eastAsia" w:ascii="Times New Roman" w:hAnsi="Times New Roman" w:eastAsia="仿宋_GB2312" w:cs="仿宋_GB2312"/>
          <w:kern w:val="0"/>
          <w:sz w:val="31"/>
          <w:szCs w:val="31"/>
        </w:rPr>
        <w:t>铁矿资源优势。</w:t>
      </w:r>
      <w:r>
        <w:rPr>
          <w:rFonts w:hint="eastAsia" w:ascii="Times New Roman" w:hAnsi="Times New Roman" w:eastAsia="仿宋_GB2312" w:cs="仿宋_GB2312"/>
          <w:sz w:val="32"/>
          <w:szCs w:val="32"/>
        </w:rPr>
        <w:t>抚顺市蕴藏有丰富的铁矿资源，远景储量</w:t>
      </w:r>
      <w:r>
        <w:rPr>
          <w:rFonts w:ascii="Times New Roman" w:hAnsi="Times New Roman" w:eastAsia="仿宋_GB2312" w:cs="Times New Roman"/>
          <w:sz w:val="32"/>
          <w:szCs w:val="32"/>
        </w:rPr>
        <w:t>2.34</w:t>
      </w:r>
      <w:r>
        <w:rPr>
          <w:rFonts w:hint="eastAsia" w:ascii="Times New Roman" w:hAnsi="Times New Roman" w:eastAsia="仿宋_GB2312" w:cs="仿宋_GB2312"/>
          <w:sz w:val="32"/>
          <w:szCs w:val="32"/>
        </w:rPr>
        <w:t>亿吨，已探明储量</w:t>
      </w:r>
      <w:r>
        <w:rPr>
          <w:rFonts w:ascii="Times New Roman" w:hAnsi="Times New Roman" w:eastAsia="仿宋_GB2312" w:cs="Times New Roman"/>
          <w:sz w:val="32"/>
          <w:szCs w:val="32"/>
        </w:rPr>
        <w:t>0.89</w:t>
      </w:r>
      <w:r>
        <w:rPr>
          <w:rFonts w:hint="eastAsia" w:ascii="Times New Roman" w:hAnsi="Times New Roman" w:eastAsia="仿宋_GB2312" w:cs="仿宋_GB2312"/>
          <w:sz w:val="32"/>
          <w:szCs w:val="32"/>
        </w:rPr>
        <w:t>亿吨。预计</w:t>
      </w:r>
      <w:r>
        <w:rPr>
          <w:rFonts w:ascii="Times New Roman" w:hAnsi="Times New Roman" w:eastAsia="仿宋_GB2312" w:cs="Times New Roman"/>
          <w:sz w:val="32"/>
          <w:szCs w:val="32"/>
        </w:rPr>
        <w:t>2021</w:t>
      </w:r>
      <w:r>
        <w:rPr>
          <w:rFonts w:hint="eastAsia" w:ascii="Times New Roman" w:hAnsi="Times New Roman" w:eastAsia="仿宋_GB2312" w:cs="仿宋_GB2312"/>
          <w:sz w:val="32"/>
          <w:szCs w:val="32"/>
        </w:rPr>
        <w:t>年，年产铁粉</w:t>
      </w:r>
      <w:r>
        <w:rPr>
          <w:rFonts w:ascii="Times New Roman" w:hAnsi="Times New Roman" w:eastAsia="仿宋_GB2312" w:cs="Times New Roman"/>
          <w:sz w:val="32"/>
          <w:szCs w:val="32"/>
        </w:rPr>
        <w:t>222.86</w:t>
      </w:r>
      <w:r>
        <w:rPr>
          <w:rFonts w:hint="eastAsia" w:ascii="Times New Roman" w:hAnsi="Times New Roman" w:eastAsia="仿宋_GB2312" w:cs="仿宋_GB2312"/>
          <w:sz w:val="32"/>
          <w:szCs w:val="32"/>
        </w:rPr>
        <w:t>万吨。目前，抚顺县已形成铁矿采选产业集聚区，形成了“矿体集群开采、土地及时复垦、生态同时治理、探矿伴随采矿”的可持续发展生产模式，经济效益和产品质量均位于全国前列。</w:t>
      </w:r>
    </w:p>
    <w:p>
      <w:pPr>
        <w:pStyle w:val="8"/>
        <w:spacing w:after="0" w:line="600" w:lineRule="exact"/>
        <w:ind w:firstLine="640" w:firstLineChars="200"/>
        <w:jc w:val="left"/>
        <w:rPr>
          <w:rFonts w:ascii="Times New Roman" w:hAnsi="Times New Roman" w:eastAsia="仿宋_GB2312"/>
          <w:sz w:val="32"/>
          <w:szCs w:val="32"/>
        </w:rPr>
      </w:pPr>
    </w:p>
    <w:p>
      <w:pPr>
        <w:pStyle w:val="8"/>
        <w:spacing w:after="0" w:line="600" w:lineRule="exact"/>
        <w:ind w:firstLine="420" w:firstLineChars="200"/>
        <w:jc w:val="left"/>
        <w:rPr>
          <w:rFonts w:ascii="Times New Roman" w:hAnsi="Times New Roman" w:eastAsia="仿宋_GB2312"/>
          <w:sz w:val="32"/>
          <w:szCs w:val="32"/>
        </w:rPr>
      </w:pPr>
      <w:r>
        <w:pict>
          <v:shape id="_x0000_s1027" o:spid="_x0000_s1027" o:spt="75" type="#_x0000_t75" style="position:absolute;left:0pt;margin-left:-0.6pt;margin-top:17.85pt;height:232.8pt;width:420.95pt;mso-wrap-distance-bottom:0.2pt;mso-wrap-distance-top:0pt;z-index:251664384;mso-width-relative:page;mso-height-relative:page;" o:ole="t" filled="f" o:preferrelative="t" stroked="f" coordsize="21600,21600">
            <v:path/>
            <v:fill on="f" focussize="0,0"/>
            <v:stroke on="f" joinstyle="miter"/>
            <v:imagedata r:id="rId6" o:title=""/>
            <o:lock v:ext="edit" aspectratio="t"/>
            <w10:wrap type="topAndBottom"/>
          </v:shape>
          <o:OLEObject Type="Embed" ProgID="Excel.Chart.8" ShapeID="_x0000_s1027" DrawAspect="Content" ObjectID="_1468075725" r:id="rId5">
            <o:LockedField>false</o:LockedField>
          </o:OLEObject>
        </w:pict>
      </w:r>
      <w:r>
        <w:pict>
          <v:shape id="_x0000_s1028" o:spid="_x0000_s1028" o:spt="202" type="#_x0000_t202" style="position:absolute;left:0pt;margin-left:93.2pt;margin-top:257.35pt;height:25.2pt;width:235pt;z-index:251660288;mso-width-relative:page;mso-height-relative:page;" stroked="f" coordsize="21600,21600">
            <v:path/>
            <v:fill focussize="0,0"/>
            <v:stroke on="f" weight="0.5pt" joinstyle="miter"/>
            <v:imagedata o:title=""/>
            <o:lock v:ext="edit"/>
            <v:textbox>
              <w:txbxContent>
                <w:p>
                  <w:pPr>
                    <w:jc w:val="center"/>
                    <w:rPr>
                      <w:rFonts w:ascii="仿宋" w:hAnsi="仿宋" w:eastAsia="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1</w:t>
                  </w:r>
                  <w:r>
                    <w:rPr>
                      <w:rFonts w:hint="eastAsia" w:ascii="仿宋" w:hAnsi="仿宋" w:eastAsia="仿宋" w:cs="仿宋"/>
                      <w:b/>
                      <w:bCs/>
                      <w:sz w:val="24"/>
                      <w:szCs w:val="24"/>
                    </w:rPr>
                    <w:t>：抚顺市铁粉年产量预测（单位：万吨）</w:t>
                  </w:r>
                </w:p>
              </w:txbxContent>
            </v:textbox>
          </v:shape>
        </w:pict>
      </w:r>
    </w:p>
    <w:p>
      <w:pPr>
        <w:widowControl/>
        <w:spacing w:line="600" w:lineRule="exact"/>
        <w:ind w:firstLine="643" w:firstLineChars="200"/>
        <w:rPr>
          <w:rFonts w:ascii="Times New Roman" w:hAnsi="Times New Roman" w:eastAsia="仿宋_GB2312"/>
          <w:kern w:val="0"/>
          <w:sz w:val="31"/>
          <w:szCs w:val="31"/>
        </w:rPr>
      </w:pPr>
      <w:r>
        <w:rPr>
          <w:rFonts w:hint="eastAsia" w:ascii="Times New Roman" w:hAnsi="Times New Roman" w:eastAsia="仿宋_GB2312" w:cs="仿宋_GB2312"/>
          <w:b/>
          <w:bCs/>
          <w:color w:val="000000"/>
          <w:kern w:val="0"/>
          <w:sz w:val="32"/>
          <w:szCs w:val="32"/>
        </w:rPr>
        <w:t>从挑战看，一是</w:t>
      </w:r>
      <w:r>
        <w:rPr>
          <w:rFonts w:hint="eastAsia" w:ascii="Times New Roman" w:hAnsi="Times New Roman" w:eastAsia="仿宋_GB2312" w:cs="仿宋_GB2312"/>
          <w:kern w:val="0"/>
          <w:sz w:val="31"/>
          <w:szCs w:val="31"/>
        </w:rPr>
        <w:t>“碳达峰、碳中和”带来的挑战。“十四五”期间，我国提出“双碳”目标，环境质量的要求越来越高。要使抚顺市冶金高端新材料产业发展与环境协调性达到政府和社会公众的期待，还需要投入更多的人力、物力、资金成本在产业环保工作上，冶金高端新材料产业的绿色低碳转型面临的压力更大、任务更艰巨。</w:t>
      </w:r>
      <w:r>
        <w:rPr>
          <w:rFonts w:hint="eastAsia" w:ascii="Times New Roman" w:hAnsi="Times New Roman" w:eastAsia="仿宋_GB2312" w:cs="仿宋_GB2312"/>
          <w:b/>
          <w:bCs/>
          <w:kern w:val="0"/>
          <w:sz w:val="31"/>
          <w:szCs w:val="31"/>
        </w:rPr>
        <w:t>二是</w:t>
      </w:r>
      <w:r>
        <w:rPr>
          <w:rFonts w:hint="eastAsia" w:ascii="Times New Roman" w:hAnsi="Times New Roman" w:eastAsia="仿宋_GB2312" w:cs="仿宋_GB2312"/>
          <w:kern w:val="0"/>
          <w:sz w:val="31"/>
          <w:szCs w:val="31"/>
        </w:rPr>
        <w:t>高质量发展带来的挑战。随着冶金高端新材料技术创新日益加快，行业之间融合发展日益加强，产业高质量发展要求必将推动抚顺冶金高端新材料从数量追赶转向质量追赶，从规模扩张转向结构升级，从要素驱动转向创新驱动，从高碳发展转向绿色发展，这对企业提出了严峻的考验。</w:t>
      </w:r>
      <w:r>
        <w:rPr>
          <w:rFonts w:hint="eastAsia" w:ascii="Times New Roman" w:hAnsi="Times New Roman" w:eastAsia="仿宋_GB2312" w:cs="仿宋_GB2312"/>
          <w:b/>
          <w:bCs/>
          <w:kern w:val="0"/>
          <w:sz w:val="31"/>
          <w:szCs w:val="31"/>
        </w:rPr>
        <w:t>三是</w:t>
      </w:r>
      <w:r>
        <w:rPr>
          <w:rFonts w:hint="eastAsia" w:ascii="Times New Roman" w:hAnsi="Times New Roman" w:eastAsia="仿宋_GB2312" w:cs="仿宋_GB2312"/>
          <w:kern w:val="0"/>
          <w:sz w:val="32"/>
          <w:szCs w:val="32"/>
        </w:rPr>
        <w:t>产业发展活力不足。</w:t>
      </w:r>
      <w:r>
        <w:rPr>
          <w:rFonts w:hint="eastAsia" w:ascii="Times New Roman" w:hAnsi="Times New Roman" w:eastAsia="仿宋_GB2312" w:cs="仿宋_GB2312"/>
          <w:sz w:val="32"/>
          <w:szCs w:val="32"/>
        </w:rPr>
        <w:t>抚顺冶金高端新材料产业发展主要依托大型国有企业，负担较重，富余人员较多，劳动生产率低下，中小企业数量偏少，产业发展活力和创造力不足，严重制约了产业发展市场竞争力的提高。</w:t>
      </w:r>
      <w:r>
        <w:rPr>
          <w:rFonts w:hint="eastAsia" w:ascii="Times New Roman" w:hAnsi="Times New Roman" w:eastAsia="仿宋_GB2312" w:cs="仿宋_GB2312"/>
          <w:b/>
          <w:bCs/>
          <w:sz w:val="32"/>
          <w:szCs w:val="32"/>
        </w:rPr>
        <w:t>四是</w:t>
      </w:r>
      <w:r>
        <w:rPr>
          <w:rFonts w:hint="eastAsia" w:ascii="Times New Roman" w:hAnsi="Times New Roman" w:eastAsia="仿宋" w:cs="仿宋"/>
          <w:sz w:val="32"/>
          <w:szCs w:val="32"/>
        </w:rPr>
        <w:t>创新支撑能力不够。</w:t>
      </w:r>
      <w:r>
        <w:rPr>
          <w:rFonts w:hint="eastAsia" w:ascii="Times New Roman" w:hAnsi="Times New Roman" w:eastAsia="仿宋_GB2312" w:cs="仿宋_GB2312"/>
          <w:kern w:val="0"/>
          <w:sz w:val="32"/>
          <w:szCs w:val="32"/>
        </w:rPr>
        <w:t>冶金新材料产业技术研发投入大，中小型企业承担能力有限，无法进行新技术研发；国有企业科研实力发挥不充分，缺乏合作交流。辽宁省虽有雄厚的科研实力，但在抚顺市转化的科技成果较少，科研实力没有得到充分发挥。</w:t>
      </w:r>
    </w:p>
    <w:p>
      <w:pPr>
        <w:pStyle w:val="8"/>
        <w:spacing w:after="0" w:line="600" w:lineRule="exact"/>
        <w:ind w:firstLine="643" w:firstLineChars="200"/>
        <w:outlineLvl w:val="0"/>
        <w:rPr>
          <w:rFonts w:ascii="Times New Roman" w:hAnsi="Times New Roman" w:eastAsia="黑体"/>
          <w:b/>
          <w:bCs/>
          <w:kern w:val="0"/>
          <w:sz w:val="32"/>
          <w:szCs w:val="32"/>
        </w:rPr>
      </w:pPr>
      <w:bookmarkStart w:id="15" w:name="_Toc13919"/>
      <w:r>
        <w:rPr>
          <w:rFonts w:hint="eastAsia" w:ascii="Times New Roman" w:hAnsi="Times New Roman" w:eastAsia="黑体" w:cs="黑体"/>
          <w:b/>
          <w:bCs/>
          <w:kern w:val="0"/>
          <w:sz w:val="32"/>
          <w:szCs w:val="32"/>
        </w:rPr>
        <w:t>四、总体要求</w:t>
      </w:r>
      <w:bookmarkEnd w:id="15"/>
    </w:p>
    <w:p>
      <w:pPr>
        <w:pStyle w:val="8"/>
        <w:spacing w:after="0" w:line="600" w:lineRule="exact"/>
        <w:ind w:firstLine="643" w:firstLineChars="200"/>
        <w:outlineLvl w:val="1"/>
        <w:rPr>
          <w:rFonts w:ascii="Times New Roman" w:hAnsi="Times New Roman" w:eastAsia="楷体"/>
          <w:b/>
          <w:bCs/>
          <w:sz w:val="32"/>
          <w:szCs w:val="32"/>
        </w:rPr>
      </w:pPr>
      <w:bookmarkStart w:id="16" w:name="_Toc6632"/>
      <w:r>
        <w:rPr>
          <w:rFonts w:hint="eastAsia" w:ascii="Times New Roman" w:hAnsi="Times New Roman" w:eastAsia="楷体" w:cs="楷体"/>
          <w:b/>
          <w:bCs/>
          <w:sz w:val="32"/>
          <w:szCs w:val="32"/>
        </w:rPr>
        <w:t>（一）指导思想</w:t>
      </w:r>
      <w:bookmarkEnd w:id="16"/>
    </w:p>
    <w:p>
      <w:pPr>
        <w:pStyle w:val="2"/>
        <w:spacing w:line="600" w:lineRule="exact"/>
        <w:ind w:firstLine="640" w:firstLineChars="200"/>
        <w:jc w:val="left"/>
        <w:rPr>
          <w:rFonts w:ascii="Times New Roman" w:hAnsi="Times New Roman" w:eastAsia="仿宋_GB2312"/>
          <w:color w:val="000000"/>
          <w:kern w:val="0"/>
        </w:rPr>
      </w:pPr>
      <w:r>
        <w:rPr>
          <w:rFonts w:hint="eastAsia" w:ascii="Times New Roman" w:hAnsi="Times New Roman" w:eastAsia="仿宋_GB2312" w:cs="仿宋_GB2312"/>
          <w:color w:val="000000"/>
          <w:kern w:val="0"/>
        </w:rPr>
        <w:t>以习近平新时代中国特色社会主义思想为指导，全面贯彻党的十九大和十九届二中、三中、四中、五中全会精神，市委十二届十六次全会精神，坚持“工业立市、工业强市、产业兴市”，立足新发展阶段，贯彻新发展理念，构建新发展格局，聚焦产业数字化、数字产业化，以深化供给侧结构性改革为主线，以改革创新为根本动力，坚持系统观念，不断推进产业转型升级。以节能低碳为导向，培育发展特色产业集群，实现产业的精细化、规模化、高级化、绿色化、数字化，逐步建设成冶金新材料产业集聚区。</w:t>
      </w:r>
    </w:p>
    <w:p>
      <w:pPr>
        <w:pStyle w:val="8"/>
        <w:spacing w:after="0" w:line="600" w:lineRule="exact"/>
        <w:ind w:firstLine="643" w:firstLineChars="200"/>
        <w:outlineLvl w:val="1"/>
        <w:rPr>
          <w:rFonts w:ascii="Times New Roman" w:hAnsi="Times New Roman" w:eastAsia="楷体"/>
          <w:b/>
          <w:bCs/>
          <w:sz w:val="32"/>
          <w:szCs w:val="32"/>
        </w:rPr>
      </w:pPr>
      <w:bookmarkStart w:id="17" w:name="_Toc16081"/>
      <w:r>
        <w:rPr>
          <w:rFonts w:hint="eastAsia" w:ascii="Times New Roman" w:hAnsi="Times New Roman" w:eastAsia="楷体" w:cs="楷体"/>
          <w:b/>
          <w:bCs/>
          <w:sz w:val="32"/>
          <w:szCs w:val="32"/>
        </w:rPr>
        <w:t>（二）基本原则</w:t>
      </w:r>
      <w:bookmarkEnd w:id="17"/>
    </w:p>
    <w:p>
      <w:pPr>
        <w:pStyle w:val="14"/>
        <w:widowControl/>
        <w:spacing w:beforeAutospacing="0" w:afterAutospacing="0" w:line="600" w:lineRule="exact"/>
        <w:ind w:firstLine="622" w:firstLineChars="200"/>
        <w:rPr>
          <w:rFonts w:ascii="Times New Roman" w:hAnsi="Times New Roman" w:eastAsia="仿宋_GB2312"/>
          <w:sz w:val="31"/>
          <w:szCs w:val="31"/>
        </w:rPr>
      </w:pPr>
      <w:r>
        <w:rPr>
          <w:rFonts w:hint="eastAsia" w:ascii="Times New Roman" w:hAnsi="Times New Roman" w:eastAsia="仿宋_GB2312" w:cs="仿宋_GB2312"/>
          <w:b/>
          <w:bCs/>
          <w:sz w:val="31"/>
          <w:szCs w:val="31"/>
        </w:rPr>
        <w:t>坚持绿色发展。</w:t>
      </w:r>
      <w:r>
        <w:rPr>
          <w:rFonts w:hint="eastAsia" w:ascii="Times New Roman" w:hAnsi="Times New Roman" w:eastAsia="仿宋_GB2312" w:cs="仿宋_GB2312"/>
          <w:sz w:val="31"/>
          <w:szCs w:val="31"/>
        </w:rPr>
        <w:t>以降低能源消耗、减少污染物排放为目标，全面实施节能减排升级改造，不断优化原燃料结构，大力发展循环经济，积极研发、推广全生命周期绿色钢材，构建钢铁制造与社会和谐发展新格局。</w:t>
      </w:r>
    </w:p>
    <w:p>
      <w:pPr>
        <w:pStyle w:val="8"/>
        <w:spacing w:after="0" w:line="600" w:lineRule="exact"/>
        <w:ind w:firstLine="622" w:firstLineChars="200"/>
        <w:rPr>
          <w:rFonts w:ascii="Times New Roman" w:hAnsi="Times New Roman" w:eastAsia="仿宋_GB2312"/>
          <w:kern w:val="0"/>
          <w:sz w:val="32"/>
          <w:szCs w:val="32"/>
        </w:rPr>
      </w:pPr>
      <w:r>
        <w:rPr>
          <w:rFonts w:hint="eastAsia" w:ascii="Times New Roman" w:hAnsi="Times New Roman" w:eastAsia="仿宋_GB2312" w:cs="仿宋_GB2312"/>
          <w:b/>
          <w:bCs/>
          <w:kern w:val="0"/>
          <w:sz w:val="31"/>
          <w:szCs w:val="31"/>
        </w:rPr>
        <w:t>坚持结构调整。</w:t>
      </w:r>
      <w:r>
        <w:rPr>
          <w:rFonts w:hint="eastAsia" w:ascii="Times New Roman" w:hAnsi="Times New Roman" w:eastAsia="仿宋_GB2312" w:cs="仿宋_GB2312"/>
          <w:kern w:val="0"/>
          <w:sz w:val="32"/>
          <w:szCs w:val="32"/>
        </w:rPr>
        <w:t>以技术改造为重点，推进产业转型升级；以智能制造为方向，向下延伸产业链条；以兼并重组为手段，深化区域布局协调发展。</w:t>
      </w:r>
    </w:p>
    <w:p>
      <w:pPr>
        <w:pStyle w:val="14"/>
        <w:widowControl/>
        <w:spacing w:beforeAutospacing="0" w:afterAutospacing="0" w:line="600" w:lineRule="exact"/>
        <w:ind w:firstLine="622" w:firstLineChars="200"/>
        <w:rPr>
          <w:rFonts w:ascii="Times New Roman" w:hAnsi="Times New Roman" w:eastAsia="仿宋_GB2312"/>
          <w:sz w:val="31"/>
          <w:szCs w:val="31"/>
        </w:rPr>
      </w:pPr>
      <w:r>
        <w:rPr>
          <w:rFonts w:hint="eastAsia" w:ascii="Times New Roman" w:hAnsi="Times New Roman" w:eastAsia="仿宋_GB2312" w:cs="仿宋_GB2312"/>
          <w:b/>
          <w:bCs/>
          <w:sz w:val="31"/>
          <w:szCs w:val="31"/>
        </w:rPr>
        <w:t>坚持创新驱动。</w:t>
      </w:r>
      <w:r>
        <w:rPr>
          <w:rFonts w:hint="eastAsia" w:ascii="Times New Roman" w:hAnsi="Times New Roman" w:eastAsia="仿宋_GB2312" w:cs="仿宋_GB2312"/>
          <w:sz w:val="31"/>
          <w:szCs w:val="31"/>
        </w:rPr>
        <w:t>强化企业创新主体地位，完善产学研用协同创新体系，激发创新活力和创造力，以破解钢铁材料研发难题为突破点，全面引领行业转型升级。</w:t>
      </w:r>
    </w:p>
    <w:p>
      <w:pPr>
        <w:pStyle w:val="14"/>
        <w:widowControl/>
        <w:spacing w:beforeAutospacing="0" w:afterAutospacing="0" w:line="600" w:lineRule="exact"/>
        <w:ind w:firstLine="622" w:firstLineChars="200"/>
        <w:jc w:val="both"/>
        <w:rPr>
          <w:rFonts w:ascii="Times New Roman" w:hAnsi="Times New Roman" w:eastAsia="仿宋_GB2312"/>
          <w:sz w:val="31"/>
          <w:szCs w:val="31"/>
        </w:rPr>
      </w:pPr>
      <w:r>
        <w:rPr>
          <w:rFonts w:hint="eastAsia" w:ascii="Times New Roman" w:hAnsi="Times New Roman" w:eastAsia="仿宋_GB2312" w:cs="仿宋_GB2312"/>
          <w:b/>
          <w:bCs/>
          <w:sz w:val="31"/>
          <w:szCs w:val="31"/>
        </w:rPr>
        <w:t>坚持质量为先。</w:t>
      </w:r>
      <w:r>
        <w:rPr>
          <w:rFonts w:hint="eastAsia" w:ascii="Times New Roman" w:hAnsi="Times New Roman" w:eastAsia="仿宋_GB2312" w:cs="仿宋_GB2312"/>
          <w:sz w:val="31"/>
          <w:szCs w:val="31"/>
        </w:rPr>
        <w:t>强化企业质量主体责任，以提高产品实物质量稳定性、可靠性和耐久性为核心，加强质量提升管理技术应用，加大品牌培育力度，实现从速度扩张向质量效益转变。</w:t>
      </w:r>
    </w:p>
    <w:p>
      <w:pPr>
        <w:pStyle w:val="14"/>
        <w:widowControl/>
        <w:spacing w:beforeAutospacing="0" w:afterAutospacing="0" w:line="600" w:lineRule="exact"/>
        <w:ind w:firstLine="622" w:firstLineChars="200"/>
        <w:jc w:val="both"/>
        <w:rPr>
          <w:rFonts w:ascii="Times New Roman" w:hAnsi="Times New Roman" w:eastAsia="仿宋_GB2312"/>
          <w:sz w:val="31"/>
          <w:szCs w:val="31"/>
        </w:rPr>
      </w:pPr>
      <w:r>
        <w:rPr>
          <w:rFonts w:hint="eastAsia" w:ascii="Times New Roman" w:hAnsi="Times New Roman" w:eastAsia="仿宋_GB2312" w:cs="仿宋_GB2312"/>
          <w:b/>
          <w:bCs/>
          <w:sz w:val="31"/>
          <w:szCs w:val="31"/>
        </w:rPr>
        <w:t>坚持开放发展。</w:t>
      </w:r>
      <w:r>
        <w:rPr>
          <w:rFonts w:hint="eastAsia" w:ascii="Times New Roman" w:hAnsi="Times New Roman" w:eastAsia="仿宋_GB2312" w:cs="仿宋_GB2312"/>
          <w:sz w:val="31"/>
          <w:szCs w:val="31"/>
        </w:rPr>
        <w:t>以开放促改革、促发展、促创新，充分利用国内国外两个市场和两种资源，坚持“优进优出”，通过产业转移，积极对接国际先进富余产能，推动冶金新材料国际产能合作。</w:t>
      </w:r>
    </w:p>
    <w:p>
      <w:pPr>
        <w:pStyle w:val="8"/>
        <w:spacing w:after="0" w:line="600" w:lineRule="exact"/>
        <w:ind w:firstLine="643" w:firstLineChars="200"/>
        <w:outlineLvl w:val="1"/>
        <w:rPr>
          <w:rFonts w:ascii="Times New Roman" w:hAnsi="Times New Roman" w:eastAsia="楷体"/>
          <w:b/>
          <w:bCs/>
          <w:sz w:val="32"/>
          <w:szCs w:val="32"/>
        </w:rPr>
      </w:pPr>
      <w:bookmarkStart w:id="18" w:name="_Toc31094"/>
      <w:r>
        <w:rPr>
          <w:rFonts w:hint="eastAsia" w:ascii="Times New Roman" w:hAnsi="Times New Roman" w:eastAsia="楷体" w:cs="楷体"/>
          <w:b/>
          <w:bCs/>
          <w:sz w:val="32"/>
          <w:szCs w:val="32"/>
        </w:rPr>
        <w:t>（三）发展目标</w:t>
      </w:r>
      <w:bookmarkEnd w:id="18"/>
    </w:p>
    <w:p>
      <w:pPr>
        <w:pStyle w:val="8"/>
        <w:spacing w:after="0" w:line="600" w:lineRule="exact"/>
        <w:ind w:firstLine="656" w:firstLineChars="200"/>
        <w:rPr>
          <w:rFonts w:ascii="Times New Roman" w:hAnsi="Times New Roman" w:eastAsia="仿宋_GB2312"/>
          <w:spacing w:val="4"/>
          <w:sz w:val="32"/>
          <w:szCs w:val="32"/>
        </w:rPr>
      </w:pPr>
      <w:r>
        <w:rPr>
          <w:rFonts w:hint="eastAsia" w:ascii="Times New Roman" w:hAnsi="Times New Roman" w:eastAsia="仿宋_GB2312" w:cs="仿宋_GB2312"/>
          <w:spacing w:val="4"/>
          <w:sz w:val="32"/>
          <w:szCs w:val="32"/>
        </w:rPr>
        <w:t>到</w:t>
      </w:r>
      <w:r>
        <w:rPr>
          <w:rFonts w:ascii="Times New Roman" w:hAnsi="Times New Roman" w:eastAsia="仿宋_GB2312" w:cs="Times New Roman"/>
          <w:spacing w:val="4"/>
          <w:sz w:val="32"/>
          <w:szCs w:val="32"/>
        </w:rPr>
        <w:t>2025</w:t>
      </w:r>
      <w:r>
        <w:rPr>
          <w:rFonts w:hint="eastAsia" w:ascii="Times New Roman" w:hAnsi="Times New Roman" w:eastAsia="仿宋_GB2312" w:cs="仿宋_GB2312"/>
          <w:spacing w:val="4"/>
          <w:sz w:val="32"/>
          <w:szCs w:val="32"/>
        </w:rPr>
        <w:t>年，冶金高端新材料工业总产值达</w:t>
      </w:r>
      <w:r>
        <w:rPr>
          <w:rFonts w:ascii="Times New Roman" w:hAnsi="Times New Roman" w:eastAsia="仿宋_GB2312" w:cs="Times New Roman"/>
          <w:spacing w:val="4"/>
          <w:sz w:val="32"/>
          <w:szCs w:val="32"/>
        </w:rPr>
        <w:t>24</w:t>
      </w:r>
      <w:r>
        <w:rPr>
          <w:rFonts w:hint="eastAsia" w:ascii="Times New Roman" w:hAnsi="Times New Roman" w:eastAsia="仿宋_GB2312" w:cs="仿宋_GB2312"/>
          <w:spacing w:val="4"/>
          <w:sz w:val="32"/>
          <w:szCs w:val="32"/>
        </w:rPr>
        <w:t>亿元以上，产业增速力争达到</w:t>
      </w:r>
      <w:r>
        <w:rPr>
          <w:rFonts w:ascii="Times New Roman" w:hAnsi="Times New Roman" w:eastAsia="仿宋_GB2312" w:cs="Times New Roman"/>
          <w:spacing w:val="4"/>
          <w:sz w:val="32"/>
          <w:szCs w:val="32"/>
        </w:rPr>
        <w:t>8%</w:t>
      </w:r>
      <w:r>
        <w:rPr>
          <w:rFonts w:hint="eastAsia" w:ascii="Times New Roman" w:hAnsi="Times New Roman" w:eastAsia="仿宋_GB2312" w:cs="仿宋_GB2312"/>
          <w:spacing w:val="4"/>
          <w:sz w:val="32"/>
          <w:szCs w:val="32"/>
        </w:rPr>
        <w:t>，冶金高端新材料占冶金工业的比重提高到</w:t>
      </w:r>
      <w:r>
        <w:rPr>
          <w:rFonts w:ascii="Times New Roman" w:hAnsi="Times New Roman" w:eastAsia="仿宋_GB2312" w:cs="Times New Roman"/>
          <w:spacing w:val="4"/>
          <w:sz w:val="32"/>
          <w:szCs w:val="32"/>
        </w:rPr>
        <w:t>30%</w:t>
      </w:r>
      <w:r>
        <w:rPr>
          <w:rFonts w:hint="eastAsia" w:ascii="Times New Roman" w:hAnsi="Times New Roman" w:eastAsia="仿宋_GB2312" w:cs="仿宋_GB2312"/>
          <w:spacing w:val="4"/>
          <w:sz w:val="32"/>
          <w:szCs w:val="32"/>
        </w:rPr>
        <w:t>以上。产业集中度进一步提高，产业整体装备水平有所提升，主体装备实现大型化、现代化，产品结构得到优化，质量品牌突出，二氧化碳资源利用取得新突破，超低排放取得重要进展，“</w:t>
      </w:r>
      <w:r>
        <w:rPr>
          <w:rFonts w:ascii="Times New Roman" w:hAnsi="Times New Roman" w:eastAsia="仿宋_GB2312" w:cs="Times New Roman"/>
          <w:spacing w:val="4"/>
          <w:sz w:val="32"/>
          <w:szCs w:val="32"/>
        </w:rPr>
        <w:t>5G+</w:t>
      </w:r>
      <w:r>
        <w:rPr>
          <w:rFonts w:hint="eastAsia" w:ascii="Times New Roman" w:hAnsi="Times New Roman" w:eastAsia="仿宋_GB2312" w:cs="仿宋_GB2312"/>
          <w:spacing w:val="4"/>
          <w:sz w:val="32"/>
          <w:szCs w:val="32"/>
        </w:rPr>
        <w:t>冶金”应用得到明显提升的发展态势基本形成。</w:t>
      </w:r>
    </w:p>
    <w:p>
      <w:pPr>
        <w:pStyle w:val="8"/>
        <w:spacing w:after="0" w:line="600" w:lineRule="exact"/>
        <w:ind w:firstLine="643" w:firstLineChars="200"/>
        <w:outlineLvl w:val="1"/>
        <w:rPr>
          <w:rFonts w:ascii="Times New Roman" w:hAnsi="Times New Roman" w:eastAsia="楷体"/>
          <w:b/>
          <w:bCs/>
          <w:sz w:val="32"/>
          <w:szCs w:val="32"/>
        </w:rPr>
      </w:pPr>
      <w:bookmarkStart w:id="19" w:name="_Toc17816"/>
      <w:r>
        <w:rPr>
          <w:rFonts w:hint="eastAsia" w:ascii="Times New Roman" w:hAnsi="Times New Roman" w:eastAsia="楷体" w:cs="楷体"/>
          <w:b/>
          <w:bCs/>
          <w:sz w:val="32"/>
          <w:szCs w:val="32"/>
        </w:rPr>
        <w:t>（四）空间布局</w:t>
      </w:r>
      <w:bookmarkEnd w:id="19"/>
    </w:p>
    <w:p>
      <w:pPr>
        <w:pStyle w:val="8"/>
        <w:spacing w:after="0" w:line="600" w:lineRule="exact"/>
        <w:ind w:firstLine="640" w:firstLineChars="200"/>
        <w:rPr>
          <w:rFonts w:ascii="Times New Roman" w:hAnsi="Times New Roman" w:eastAsia="仿宋_GB2312"/>
          <w:color w:val="FF0000"/>
          <w:kern w:val="0"/>
          <w:sz w:val="32"/>
          <w:szCs w:val="32"/>
          <w:u w:val="single"/>
        </w:rPr>
        <w:sectPr>
          <w:footerReference r:id="rId3" w:type="default"/>
          <w:pgSz w:w="11906" w:h="16838"/>
          <w:pgMar w:top="1440" w:right="1800" w:bottom="1440" w:left="1800" w:header="851" w:footer="992" w:gutter="0"/>
          <w:pgNumType w:fmt="numberInDash" w:start="1"/>
          <w:cols w:space="425" w:num="1"/>
          <w:docGrid w:type="lines" w:linePitch="312" w:charSpace="0"/>
        </w:sectPr>
      </w:pPr>
      <w:r>
        <w:rPr>
          <w:rFonts w:hint="eastAsia" w:ascii="Times New Roman" w:hAnsi="Times New Roman" w:eastAsia="仿宋_GB2312" w:cs="仿宋_GB2312"/>
          <w:kern w:val="0"/>
          <w:sz w:val="32"/>
          <w:szCs w:val="32"/>
        </w:rPr>
        <w:t>抚顺市充分结合冶金高端新材料产业布局现状特点，发挥资源优势和龙头企业带动效应，推进冶金高端新材料产业改造提升，转型发展。以望花区冶金高端新材料产业集聚区为发展核心区，合理开发利用抚顺县铁矿资源优势，巩固增强抚顺特钢发展极，精准发展抚顺普钢，全面提升抚顺铝业、抚顺炭素的配套服务能力，拓展延伸抚工工具等高附加值钢材产品，构建全产业链布局。形成以龙头企业为核心、重点园区为载体，产业定位明晰，与资源环境相适应的空间布局体系。</w:t>
      </w:r>
    </w:p>
    <w:p>
      <w:pPr>
        <w:pStyle w:val="8"/>
        <w:spacing w:after="0" w:line="600" w:lineRule="exact"/>
        <w:ind w:firstLine="420" w:firstLineChars="200"/>
        <w:rPr>
          <w:rFonts w:ascii="Times New Roman" w:hAnsi="Times New Roman" w:eastAsia="仿宋_GB2312"/>
          <w:sz w:val="32"/>
          <w:szCs w:val="32"/>
          <w:shd w:val="clear" w:color="auto" w:fill="FFFFFF"/>
        </w:rPr>
      </w:pPr>
      <w:r>
        <w:pict>
          <v:shape id="_x0000_s1029" o:spid="_x0000_s1029" o:spt="75" alt="图片2" type="#_x0000_t75" style="position:absolute;left:0pt;margin-left:-0.25pt;margin-top:36pt;height:377.35pt;width:697.85pt;mso-wrap-distance-bottom:0pt;mso-wrap-distance-top:0pt;z-index:251663360;mso-width-relative:page;mso-height-relative:page;" filled="f" o:preferrelative="t" stroked="f" coordsize="21600,21600">
            <v:path/>
            <v:fill on="f" focussize="0,0"/>
            <v:stroke on="f" joinstyle="miter"/>
            <v:imagedata r:id="rId7" o:title=""/>
            <o:lock v:ext="edit" aspectratio="t"/>
            <w10:wrap type="topAndBottom"/>
          </v:shape>
        </w:pict>
      </w:r>
      <w:r>
        <w:pict>
          <v:shape id="_x0000_s1030" o:spid="_x0000_s1030" o:spt="202" type="#_x0000_t202" style="position:absolute;left:0pt;margin-left:195.5pt;margin-top:6.6pt;height:25.2pt;width:323.15pt;z-index:251661312;mso-width-relative:page;mso-height-relative:page;" stroked="f" coordsize="21600,21600">
            <v:path/>
            <v:fill focussize="0,0"/>
            <v:stroke on="f" weight="0.5pt" joinstyle="miter"/>
            <v:imagedata o:title=""/>
            <o:lock v:ext="edit"/>
            <v:textbox>
              <w:txbxContent>
                <w:p>
                  <w:pPr>
                    <w:jc w:val="center"/>
                    <w:rPr>
                      <w:rFonts w:ascii="仿宋" w:hAnsi="仿宋" w:eastAsia="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2</w:t>
                  </w:r>
                  <w:r>
                    <w:rPr>
                      <w:rFonts w:hint="eastAsia" w:ascii="仿宋" w:hAnsi="仿宋" w:eastAsia="仿宋" w:cs="仿宋"/>
                      <w:b/>
                      <w:bCs/>
                      <w:sz w:val="24"/>
                      <w:szCs w:val="24"/>
                    </w:rPr>
                    <w:t>：抚顺市冶金高端新材料产业发展空间布局图</w:t>
                  </w:r>
                </w:p>
              </w:txbxContent>
            </v:textbox>
          </v:shape>
        </w:pict>
      </w:r>
    </w:p>
    <w:p>
      <w:pPr>
        <w:pStyle w:val="8"/>
        <w:spacing w:after="0" w:line="600" w:lineRule="exact"/>
        <w:ind w:firstLine="640" w:firstLineChars="200"/>
        <w:rPr>
          <w:rFonts w:ascii="Times New Roman" w:hAnsi="Times New Roman" w:eastAsia="仿宋_GB2312"/>
          <w:sz w:val="32"/>
          <w:szCs w:val="32"/>
          <w:shd w:val="clear" w:color="auto" w:fill="FFFFFF"/>
        </w:rPr>
        <w:sectPr>
          <w:pgSz w:w="16838" w:h="11906" w:orient="landscape"/>
          <w:pgMar w:top="1800" w:right="1440" w:bottom="1800" w:left="1440" w:header="851" w:footer="992" w:gutter="0"/>
          <w:pgNumType w:fmt="numberInDash"/>
          <w:cols w:space="425" w:num="1"/>
          <w:docGrid w:type="lines" w:linePitch="312" w:charSpace="0"/>
        </w:sectPr>
      </w:pPr>
    </w:p>
    <w:p>
      <w:pPr>
        <w:pStyle w:val="8"/>
        <w:numPr>
          <w:ilvl w:val="0"/>
          <w:numId w:val="3"/>
        </w:numPr>
        <w:spacing w:after="0" w:line="600" w:lineRule="exact"/>
        <w:ind w:firstLine="643" w:firstLineChars="200"/>
        <w:outlineLvl w:val="0"/>
        <w:rPr>
          <w:rFonts w:ascii="Times New Roman" w:hAnsi="Times New Roman" w:eastAsia="黑体"/>
          <w:b/>
          <w:bCs/>
          <w:kern w:val="0"/>
          <w:sz w:val="32"/>
          <w:szCs w:val="32"/>
        </w:rPr>
      </w:pPr>
      <w:bookmarkStart w:id="20" w:name="_Toc17523"/>
      <w:r>
        <w:rPr>
          <w:rFonts w:hint="eastAsia" w:ascii="Times New Roman" w:hAnsi="Times New Roman" w:eastAsia="黑体" w:cs="黑体"/>
          <w:b/>
          <w:bCs/>
          <w:kern w:val="0"/>
          <w:sz w:val="32"/>
          <w:szCs w:val="32"/>
        </w:rPr>
        <w:t>发展方向及重点</w:t>
      </w:r>
      <w:bookmarkEnd w:id="20"/>
    </w:p>
    <w:p>
      <w:pPr>
        <w:pStyle w:val="8"/>
        <w:spacing w:after="0"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抚顺冶金高端新材料应用领域主要集中在军工、航天航空、建筑与基建、铁路、</w:t>
      </w:r>
      <w:r>
        <w:fldChar w:fldCharType="begin"/>
      </w:r>
      <w:r>
        <w:instrText xml:space="preserve"> HYPERLINK "http://www.askci.com/reports/2016/03/30/054651469690.shtml" \t "https://www.askci.com/news/chanye/20210813/_blank" </w:instrText>
      </w:r>
      <w:r>
        <w:fldChar w:fldCharType="separate"/>
      </w:r>
      <w:r>
        <w:rPr>
          <w:rFonts w:hint="eastAsia" w:ascii="Times New Roman" w:hAnsi="Times New Roman" w:eastAsia="仿宋_GB2312" w:cs="仿宋_GB2312"/>
          <w:kern w:val="0"/>
          <w:sz w:val="32"/>
          <w:szCs w:val="32"/>
        </w:rPr>
        <w:t>机械</w:t>
      </w:r>
      <w:r>
        <w:rPr>
          <w:rFonts w:hint="eastAsia" w:ascii="Times New Roman" w:hAnsi="Times New Roman" w:eastAsia="仿宋_GB2312" w:cs="仿宋_GB2312"/>
          <w:kern w:val="0"/>
          <w:sz w:val="32"/>
          <w:szCs w:val="32"/>
        </w:rPr>
        <w:fldChar w:fldCharType="end"/>
      </w:r>
      <w:r>
        <w:rPr>
          <w:rFonts w:hint="eastAsia" w:ascii="Times New Roman" w:hAnsi="Times New Roman" w:eastAsia="仿宋_GB2312" w:cs="仿宋_GB2312"/>
          <w:kern w:val="0"/>
          <w:sz w:val="32"/>
          <w:szCs w:val="32"/>
        </w:rPr>
        <w:t>、</w:t>
      </w:r>
      <w:r>
        <w:fldChar w:fldCharType="begin"/>
      </w:r>
      <w:r>
        <w:instrText xml:space="preserve"> HYPERLINK "http://www.askci.com/reports/20180123/0852344087824516.shtml" \t "https://www.askci.com/news/chanye/20210813/_blank" </w:instrText>
      </w:r>
      <w:r>
        <w:fldChar w:fldCharType="separate"/>
      </w:r>
      <w:r>
        <w:rPr>
          <w:rFonts w:hint="eastAsia" w:ascii="Times New Roman" w:hAnsi="Times New Roman" w:eastAsia="仿宋_GB2312" w:cs="仿宋_GB2312"/>
          <w:kern w:val="0"/>
          <w:sz w:val="32"/>
          <w:szCs w:val="32"/>
        </w:rPr>
        <w:t>汽车</w:t>
      </w:r>
      <w:r>
        <w:rPr>
          <w:rFonts w:hint="eastAsia" w:ascii="Times New Roman" w:hAnsi="Times New Roman" w:eastAsia="仿宋_GB2312" w:cs="仿宋_GB2312"/>
          <w:kern w:val="0"/>
          <w:sz w:val="32"/>
          <w:szCs w:val="32"/>
        </w:rPr>
        <w:fldChar w:fldCharType="end"/>
      </w:r>
      <w:r>
        <w:rPr>
          <w:rFonts w:hint="eastAsia" w:ascii="Times New Roman" w:hAnsi="Times New Roman" w:eastAsia="仿宋_GB2312" w:cs="仿宋_GB2312"/>
          <w:kern w:val="0"/>
          <w:sz w:val="32"/>
          <w:szCs w:val="32"/>
        </w:rPr>
        <w:t>等方面。产业发展上游有抚顺罕王傲牛矿业股份有限公司等铁矿采掘、加工生产企业；中游有抚顺特钢、抚顺新钢等优特钢和普钢生产企业；下游有抚工工具等深加工产品企业；配套发展抚顺铝业、</w:t>
      </w:r>
      <w:r>
        <w:fldChar w:fldCharType="begin"/>
      </w:r>
      <w:r>
        <w:instrText xml:space="preserve"> HYPERLINK "http://182909.fm086.com/" \t "https://cn.bing.com/_blank" </w:instrText>
      </w:r>
      <w:r>
        <w:fldChar w:fldCharType="separate"/>
      </w:r>
      <w:r>
        <w:rPr>
          <w:rFonts w:hint="eastAsia" w:ascii="Times New Roman" w:hAnsi="Times New Roman" w:eastAsia="仿宋_GB2312" w:cs="仿宋_GB2312"/>
          <w:kern w:val="0"/>
          <w:sz w:val="32"/>
          <w:szCs w:val="32"/>
        </w:rPr>
        <w:t>抚顺炭素</w:t>
      </w:r>
      <w:r>
        <w:rPr>
          <w:rFonts w:hint="eastAsia" w:ascii="Times New Roman" w:hAnsi="Times New Roman" w:eastAsia="仿宋_GB2312" w:cs="仿宋_GB2312"/>
          <w:kern w:val="0"/>
          <w:sz w:val="32"/>
          <w:szCs w:val="32"/>
        </w:rPr>
        <w:fldChar w:fldCharType="end"/>
      </w:r>
      <w:r>
        <w:rPr>
          <w:rFonts w:hint="eastAsia" w:ascii="Times New Roman" w:hAnsi="Times New Roman" w:eastAsia="仿宋_GB2312" w:cs="仿宋_GB2312"/>
          <w:kern w:val="0"/>
          <w:sz w:val="32"/>
          <w:szCs w:val="32"/>
        </w:rPr>
        <w:t>等电炉炼钢所需石墨电极生产企业。因此，以延长产业发展链条为目标，以推进产业高质量发展为主线，以高端化、智能化、绿色化为路径，抚顺市冶金高端新材料产业发展将重点发展优特钢，协同发展普通钢，配套发展炭素材料，拓展下游深加工产品。稳定上游、做强中游、延伸下游，形成全产业链发展新格局，推进建设国内领先的绿色智能冶金高端新材料产业。</w:t>
      </w:r>
    </w:p>
    <w:p>
      <w:pPr>
        <w:pStyle w:val="3"/>
        <w:widowControl/>
        <w:spacing w:beforeAutospacing="0" w:afterAutospacing="0" w:line="600" w:lineRule="exact"/>
        <w:ind w:firstLine="640" w:firstLineChars="200"/>
        <w:rPr>
          <w:rFonts w:ascii="Times New Roman" w:hAnsi="Times New Roman" w:eastAsia="仿宋_GB2312"/>
          <w:b w:val="0"/>
          <w:bCs w:val="0"/>
          <w:kern w:val="0"/>
          <w:sz w:val="32"/>
          <w:szCs w:val="32"/>
        </w:rPr>
        <w:sectPr>
          <w:pgSz w:w="11906" w:h="16838"/>
          <w:pgMar w:top="1440" w:right="1800" w:bottom="1440" w:left="1800" w:header="851" w:footer="992" w:gutter="0"/>
          <w:pgNumType w:fmt="numberInDash"/>
          <w:cols w:space="425" w:num="1"/>
          <w:docGrid w:type="lines" w:linePitch="312" w:charSpace="0"/>
        </w:sectPr>
      </w:pPr>
    </w:p>
    <w:p>
      <w:pPr>
        <w:pStyle w:val="6"/>
        <w:spacing w:line="600" w:lineRule="exact"/>
        <w:ind w:firstLine="420" w:firstLineChars="200"/>
        <w:rPr>
          <w:rFonts w:ascii="Times New Roman" w:hAnsi="Times New Roman" w:cs="Times New Roman"/>
        </w:rPr>
        <w:sectPr>
          <w:pgSz w:w="16838" w:h="11906" w:orient="landscape"/>
          <w:pgMar w:top="1800" w:right="1440" w:bottom="1800" w:left="1440" w:header="851" w:footer="992" w:gutter="0"/>
          <w:pgNumType w:fmt="numberInDash"/>
          <w:cols w:space="425" w:num="1"/>
          <w:docGrid w:type="lines" w:linePitch="312" w:charSpace="0"/>
        </w:sectPr>
      </w:pPr>
      <w:r>
        <w:pict>
          <v:shape id="图片 1" o:spid="_x0000_s1031" o:spt="75" alt="图片1" type="#_x0000_t75" style="position:absolute;left:0pt;margin-left:-0.75pt;margin-top:9.75pt;height:403.85pt;width:697.5pt;mso-wrap-distance-bottom:0pt;mso-wrap-distance-top:0pt;z-index:251665408;mso-width-relative:page;mso-height-relative:page;" filled="f" o:preferrelative="t" stroked="f" coordsize="21600,21600">
            <v:path/>
            <v:fill on="f" focussize="0,0"/>
            <v:stroke on="f" joinstyle="miter"/>
            <v:imagedata r:id="rId8" o:title=""/>
            <o:lock v:ext="edit" aspectratio="t"/>
            <w10:wrap type="topAndBottom"/>
          </v:shape>
        </w:pict>
      </w:r>
      <w:r>
        <w:pict>
          <v:shape id="_x0000_s1032" o:spid="_x0000_s1032" o:spt="202" type="#_x0000_t202" style="position:absolute;left:0pt;margin-left:221.5pt;margin-top:-22.55pt;height:25.75pt;width:252.2pt;z-index:251659264;mso-width-relative:page;mso-height-relative:page;" stroked="f" coordsize="21600,21600">
            <v:path/>
            <v:fill focussize="0,0"/>
            <v:stroke on="f" weight="0.5pt" joinstyle="miter"/>
            <v:imagedata o:title=""/>
            <o:lock v:ext="edit"/>
            <v:textbox>
              <w:txbxContent>
                <w:p>
                  <w:pPr>
                    <w:rPr>
                      <w:rFonts w:ascii="仿宋" w:hAnsi="仿宋" w:eastAsia="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3</w:t>
                  </w:r>
                  <w:r>
                    <w:rPr>
                      <w:rFonts w:hint="eastAsia" w:ascii="仿宋" w:hAnsi="仿宋" w:eastAsia="仿宋" w:cs="仿宋"/>
                      <w:b/>
                      <w:bCs/>
                      <w:sz w:val="24"/>
                      <w:szCs w:val="24"/>
                    </w:rPr>
                    <w:t>：抚顺钢铁冶炼高端新材料产业链条图</w:t>
                  </w:r>
                </w:p>
              </w:txbxContent>
            </v:textbox>
          </v:shape>
        </w:pict>
      </w:r>
    </w:p>
    <w:p>
      <w:pPr>
        <w:pStyle w:val="8"/>
        <w:spacing w:after="0" w:line="600" w:lineRule="exact"/>
        <w:ind w:firstLine="622" w:firstLineChars="200"/>
        <w:outlineLvl w:val="1"/>
        <w:rPr>
          <w:rFonts w:ascii="Times New Roman" w:hAnsi="Times New Roman" w:eastAsia="楷体"/>
          <w:b/>
          <w:bCs/>
          <w:kern w:val="0"/>
          <w:sz w:val="31"/>
          <w:szCs w:val="31"/>
        </w:rPr>
      </w:pPr>
      <w:bookmarkStart w:id="21" w:name="_Toc22475"/>
      <w:r>
        <w:rPr>
          <w:rFonts w:hint="eastAsia" w:ascii="Times New Roman" w:hAnsi="Times New Roman" w:eastAsia="楷体" w:cs="楷体"/>
          <w:b/>
          <w:bCs/>
          <w:kern w:val="0"/>
          <w:sz w:val="31"/>
          <w:szCs w:val="31"/>
        </w:rPr>
        <w:t>（一）重点发展优特钢</w:t>
      </w:r>
      <w:bookmarkEnd w:id="21"/>
    </w:p>
    <w:p>
      <w:pPr>
        <w:pStyle w:val="14"/>
        <w:widowControl/>
        <w:shd w:val="clear" w:color="auto" w:fill="FFFFFF"/>
        <w:spacing w:beforeAutospacing="0" w:afterAutospacing="0" w:line="600" w:lineRule="exact"/>
        <w:ind w:firstLine="622" w:firstLineChars="200"/>
        <w:rPr>
          <w:rFonts w:ascii="Times New Roman" w:hAnsi="Times New Roman" w:eastAsia="仿宋_GB2312"/>
          <w:b/>
          <w:bCs/>
          <w:sz w:val="31"/>
          <w:szCs w:val="31"/>
        </w:rPr>
      </w:pPr>
      <w:r>
        <w:rPr>
          <w:rFonts w:ascii="Times New Roman" w:hAnsi="Times New Roman" w:eastAsia="仿宋_GB2312" w:cs="Times New Roman"/>
          <w:b/>
          <w:bCs/>
          <w:sz w:val="31"/>
          <w:szCs w:val="31"/>
        </w:rPr>
        <w:t>1.</w:t>
      </w:r>
      <w:r>
        <w:rPr>
          <w:rFonts w:hint="eastAsia" w:ascii="Times New Roman" w:hAnsi="Times New Roman" w:eastAsia="仿宋_GB2312" w:cs="仿宋_GB2312"/>
          <w:b/>
          <w:bCs/>
          <w:sz w:val="31"/>
          <w:szCs w:val="31"/>
        </w:rPr>
        <w:t>发展思路</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rPr>
        <w:t>抚顺市优特钢广泛应用于国防军工、高新技术产业以及机械、汽车、船舶等关键产业，主要生产高温合金、超高强度钢、高档工模具钢、特种不锈钢、高合金管材等重点品种。优特钢产品性能向综合使用性能、高尺寸精度、高表面质量的高端化方向发展；生产技术向节能减排、提高生产效率、降低消耗、改善环境方面发展；工艺流程向紧凑式高效化方向发展；产品向飞机起落架用超高强钢、耐压耐腐蚀管道用超级不锈钢等“高、精、特、专”方向发展，实现市场需求的国产化替代；产业整体向深加工、高附加值发展，以满足日渐增长的航空航天用材、国防军工配套用材、高新技术产业用材需求，为国家解决“卡脖子”问题发挥重要作用。</w:t>
      </w:r>
    </w:p>
    <w:p>
      <w:pPr>
        <w:pStyle w:val="14"/>
        <w:widowControl/>
        <w:shd w:val="clear" w:color="auto" w:fill="FFFFFF"/>
        <w:spacing w:beforeAutospacing="0" w:afterAutospacing="0" w:line="600" w:lineRule="exact"/>
        <w:ind w:firstLine="622" w:firstLineChars="200"/>
        <w:rPr>
          <w:rFonts w:ascii="Times New Roman" w:hAnsi="Times New Roman" w:eastAsia="仿宋_GB2312"/>
          <w:sz w:val="32"/>
          <w:szCs w:val="32"/>
        </w:rPr>
      </w:pPr>
      <w:r>
        <w:rPr>
          <w:rFonts w:ascii="Times New Roman" w:hAnsi="Times New Roman" w:eastAsia="仿宋_GB2312" w:cs="Times New Roman"/>
          <w:b/>
          <w:bCs/>
          <w:sz w:val="31"/>
          <w:szCs w:val="31"/>
        </w:rPr>
        <w:t>2.</w:t>
      </w:r>
      <w:r>
        <w:rPr>
          <w:rFonts w:hint="eastAsia" w:ascii="Times New Roman" w:hAnsi="Times New Roman" w:eastAsia="仿宋_GB2312" w:cs="仿宋_GB2312"/>
          <w:b/>
          <w:bCs/>
          <w:sz w:val="31"/>
          <w:szCs w:val="31"/>
        </w:rPr>
        <w:t>发展路径</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sz w:val="32"/>
          <w:szCs w:val="32"/>
        </w:rPr>
        <w:t>以抚顺特钢为核心，发展面向航空航天、军工、核电等战略领域的“三高一特”产品，保持在汽车船舶用钢、高档工模具钢、特种合金及航空航天、军工高技术产品领域的领先地位，建立高技术、高质量、高附加值、环保型优特钢产业发展方向。大力调整产品结构，实现低档产品向高档产品的转变，低附加值产品向高附加值产品的转变。瞄准国际先进水平，加强集成创新和技术攻关，发展高档汽车用钢、高档轴承钢、高档工模具钢、特种不锈钢、铁道提速专用钢、高温合金和</w:t>
      </w:r>
      <w:r>
        <w:rPr>
          <w:rFonts w:hint="eastAsia" w:ascii="Times New Roman" w:hAnsi="Times New Roman" w:eastAsia="仿宋_GB2312" w:cs="仿宋_GB2312"/>
          <w:sz w:val="32"/>
          <w:szCs w:val="32"/>
          <w:lang w:val="zh-CN"/>
        </w:rPr>
        <w:t>高压锅炉钢管，以及其他装备制造业需求的特殊钢材。</w:t>
      </w:r>
      <w:r>
        <w:rPr>
          <w:rFonts w:hint="eastAsia" w:ascii="Times New Roman" w:hAnsi="Times New Roman" w:eastAsia="仿宋_GB2312" w:cs="仿宋_GB2312"/>
          <w:sz w:val="32"/>
          <w:szCs w:val="32"/>
        </w:rPr>
        <w:t>引导和鼓励企业以灵活的方式积极向下游深加工延伸，加速培育和发展特钢深加工产业链，推动特钢企业机械化、自动化、信息化、智能化、绿色化建设，实现产业高质量发展。</w:t>
      </w:r>
    </w:p>
    <w:p>
      <w:pPr>
        <w:pStyle w:val="8"/>
        <w:spacing w:after="0" w:line="600" w:lineRule="exact"/>
        <w:ind w:firstLine="622" w:firstLineChars="200"/>
        <w:outlineLvl w:val="1"/>
        <w:rPr>
          <w:rFonts w:ascii="Times New Roman" w:hAnsi="Times New Roman" w:eastAsia="楷体"/>
          <w:b/>
          <w:bCs/>
          <w:kern w:val="0"/>
          <w:sz w:val="31"/>
          <w:szCs w:val="31"/>
        </w:rPr>
      </w:pPr>
      <w:bookmarkStart w:id="22" w:name="_Toc250"/>
      <w:r>
        <w:rPr>
          <w:rFonts w:hint="eastAsia" w:ascii="Times New Roman" w:hAnsi="Times New Roman" w:eastAsia="楷体" w:cs="楷体"/>
          <w:b/>
          <w:bCs/>
          <w:kern w:val="0"/>
          <w:sz w:val="31"/>
          <w:szCs w:val="31"/>
        </w:rPr>
        <w:t>（二）精准发展普通钢</w:t>
      </w:r>
      <w:bookmarkEnd w:id="22"/>
    </w:p>
    <w:p>
      <w:pPr>
        <w:pStyle w:val="14"/>
        <w:widowControl/>
        <w:shd w:val="clear" w:color="auto" w:fill="FFFFFF"/>
        <w:spacing w:beforeAutospacing="0" w:afterAutospacing="0" w:line="600" w:lineRule="exact"/>
        <w:ind w:firstLine="643" w:firstLineChars="200"/>
        <w:rPr>
          <w:rFonts w:ascii="Times New Roman" w:hAnsi="Times New Roman" w:eastAsia="仿宋_GB2312"/>
          <w:b/>
          <w:bCs/>
          <w:color w:val="000000"/>
          <w:kern w:val="2"/>
          <w:sz w:val="32"/>
          <w:szCs w:val="32"/>
        </w:rPr>
      </w:pPr>
      <w:r>
        <w:rPr>
          <w:rFonts w:ascii="Times New Roman" w:hAnsi="Times New Roman" w:eastAsia="仿宋_GB2312" w:cs="Times New Roman"/>
          <w:b/>
          <w:bCs/>
          <w:color w:val="000000"/>
          <w:kern w:val="2"/>
          <w:sz w:val="32"/>
          <w:szCs w:val="32"/>
        </w:rPr>
        <w:t>1.</w:t>
      </w:r>
      <w:r>
        <w:rPr>
          <w:rFonts w:hint="eastAsia" w:ascii="Times New Roman" w:hAnsi="Times New Roman" w:eastAsia="仿宋_GB2312" w:cs="仿宋_GB2312"/>
          <w:b/>
          <w:bCs/>
          <w:color w:val="000000"/>
          <w:kern w:val="2"/>
          <w:sz w:val="32"/>
          <w:szCs w:val="32"/>
        </w:rPr>
        <w:t>发展思路</w:t>
      </w:r>
    </w:p>
    <w:p>
      <w:pPr>
        <w:pStyle w:val="14"/>
        <w:widowControl/>
        <w:shd w:val="clear" w:color="auto" w:fill="FFFFFF"/>
        <w:spacing w:beforeAutospacing="0" w:afterAutospacing="0" w:line="600" w:lineRule="exact"/>
        <w:ind w:firstLine="640" w:firstLineChars="200"/>
        <w:rPr>
          <w:rFonts w:ascii="Times New Roman" w:hAnsi="Times New Roman" w:eastAsia="仿宋_GB2312"/>
          <w:color w:val="000000"/>
          <w:kern w:val="2"/>
          <w:sz w:val="32"/>
          <w:szCs w:val="32"/>
        </w:rPr>
      </w:pPr>
      <w:r>
        <w:rPr>
          <w:rFonts w:hint="eastAsia" w:ascii="Times New Roman" w:hAnsi="Times New Roman" w:eastAsia="仿宋_GB2312" w:cs="仿宋_GB2312"/>
          <w:sz w:val="32"/>
          <w:szCs w:val="32"/>
        </w:rPr>
        <w:t>抚顺市普通钢产业发展将以钢铁建筑材料为核心，打造千亿级新型建筑业生态经济圈，加强与建筑业供应链的顶级企业战略合作；推动信息化、智能化与传统制造业有机结合，研究智能工厂、智能生产、智能物流，实现纵向、横向、端对端的三大集成，应用智能技术，构建集成化、模块化、网络化的智能生产管控体系；依托绿色生产、绿色工艺、绿色产品理念，推动绿色工厂建设；最终实现以企业带动产业，以产业带动园区，推动抚顺市普通钢产业发展实现高效、绿色、智能、高品质转型，形成企业强大、产业发展的良好局面。</w:t>
      </w:r>
    </w:p>
    <w:p>
      <w:pPr>
        <w:pStyle w:val="14"/>
        <w:widowControl/>
        <w:shd w:val="clear" w:color="auto" w:fill="FFFFFF"/>
        <w:spacing w:beforeAutospacing="0" w:afterAutospacing="0" w:line="600" w:lineRule="exact"/>
        <w:ind w:firstLine="643" w:firstLineChars="200"/>
        <w:rPr>
          <w:rFonts w:ascii="Times New Roman" w:hAnsi="Times New Roman" w:eastAsia="仿宋_GB2312"/>
          <w:b/>
          <w:bCs/>
          <w:color w:val="000000"/>
          <w:kern w:val="2"/>
          <w:sz w:val="32"/>
          <w:szCs w:val="32"/>
        </w:rPr>
      </w:pPr>
      <w:r>
        <w:rPr>
          <w:rFonts w:ascii="Times New Roman" w:hAnsi="Times New Roman" w:eastAsia="仿宋_GB2312" w:cs="Times New Roman"/>
          <w:b/>
          <w:bCs/>
          <w:color w:val="000000"/>
          <w:kern w:val="2"/>
          <w:sz w:val="32"/>
          <w:szCs w:val="32"/>
        </w:rPr>
        <w:t>2.</w:t>
      </w:r>
      <w:r>
        <w:rPr>
          <w:rFonts w:hint="eastAsia" w:ascii="Times New Roman" w:hAnsi="Times New Roman" w:eastAsia="仿宋_GB2312" w:cs="仿宋_GB2312"/>
          <w:b/>
          <w:bCs/>
          <w:color w:val="000000"/>
          <w:kern w:val="2"/>
          <w:sz w:val="32"/>
          <w:szCs w:val="32"/>
        </w:rPr>
        <w:t>发展路径</w:t>
      </w:r>
    </w:p>
    <w:p>
      <w:pPr>
        <w:pStyle w:val="14"/>
        <w:widowControl/>
        <w:shd w:val="clear" w:color="auto" w:fill="FFFFFF"/>
        <w:spacing w:beforeAutospacing="0" w:afterAutospacing="0" w:line="60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s="仿宋_GB2312"/>
          <w:color w:val="000000"/>
          <w:kern w:val="2"/>
          <w:sz w:val="32"/>
          <w:szCs w:val="32"/>
        </w:rPr>
        <w:t>以抚顺新钢为龙头，依托“技术创新”和“管理创新”，持续推动“产城融合发展的典范、智能制造的先行者、绿色发展的践行者、建筑业综合服务平台的主导者”四大发展战略，</w:t>
      </w:r>
      <w:r>
        <w:rPr>
          <w:rFonts w:hint="eastAsia" w:ascii="Times New Roman" w:hAnsi="Times New Roman" w:eastAsia="仿宋_GB2312" w:cs="仿宋_GB2312"/>
          <w:color w:val="000000"/>
          <w:sz w:val="32"/>
          <w:szCs w:val="32"/>
        </w:rPr>
        <w:t>围绕“千亿级普钢”目标，聚焦装配式钢结构行业，</w:t>
      </w:r>
      <w:r>
        <w:rPr>
          <w:rFonts w:hint="eastAsia" w:ascii="Times New Roman" w:hAnsi="Times New Roman" w:eastAsia="仿宋_GB2312" w:cs="仿宋_GB2312"/>
          <w:color w:val="000000"/>
          <w:kern w:val="2"/>
          <w:sz w:val="32"/>
          <w:szCs w:val="32"/>
        </w:rPr>
        <w:t>全力推进集设计、装修、装饰和钢构材料一体化的现代化绿色新型建筑材料产业发展。</w:t>
      </w:r>
      <w:r>
        <w:rPr>
          <w:rFonts w:hint="eastAsia" w:ascii="Times New Roman" w:hAnsi="Times New Roman" w:eastAsia="仿宋_GB2312" w:cs="仿宋_GB2312"/>
          <w:color w:val="000000"/>
          <w:sz w:val="32"/>
          <w:szCs w:val="32"/>
        </w:rPr>
        <w:t>加</w:t>
      </w:r>
      <w:r>
        <w:rPr>
          <w:rFonts w:hint="eastAsia" w:ascii="Times New Roman" w:hAnsi="Times New Roman" w:eastAsia="仿宋_GB2312" w:cs="仿宋_GB2312"/>
          <w:sz w:val="32"/>
          <w:szCs w:val="32"/>
        </w:rPr>
        <w:t>快产业聚集效应，结合建筑业重点推广技术，大力发展</w:t>
      </w:r>
      <w:r>
        <w:rPr>
          <w:rFonts w:hint="eastAsia" w:ascii="Times New Roman" w:hAnsi="Times New Roman" w:eastAsia="仿宋_GB2312" w:cs="仿宋_GB2312"/>
          <w:color w:val="000000"/>
          <w:sz w:val="32"/>
          <w:szCs w:val="32"/>
        </w:rPr>
        <w:t>钢结构和装配式建筑等新型建造方式，巩固一批“质优价廉、量大面广”的普钢产品市场优势，</w:t>
      </w:r>
      <w:r>
        <w:rPr>
          <w:rFonts w:hint="eastAsia" w:ascii="Times New Roman" w:hAnsi="Times New Roman" w:eastAsia="仿宋_GB2312" w:cs="仿宋_GB2312"/>
          <w:sz w:val="32"/>
          <w:szCs w:val="32"/>
        </w:rPr>
        <w:t>推进全省乃至国家重要建筑材料工业化产业基地建设</w:t>
      </w:r>
      <w:r>
        <w:rPr>
          <w:rFonts w:hint="eastAsia" w:ascii="Times New Roman" w:hAnsi="Times New Roman" w:eastAsia="仿宋_GB2312" w:cs="仿宋_GB2312"/>
          <w:color w:val="000000"/>
          <w:sz w:val="32"/>
          <w:szCs w:val="32"/>
        </w:rPr>
        <w:t>。结合抚顺冶金高端新材料产业发展供给侧结构性改革，鼓励普钢企业积极向产业下游延伸拓展，推进智慧建筑产业园建设，进行产品升级，走绿色、智能发展之路，加快智能制造单元、智能生产线、数字化车间建设。</w:t>
      </w:r>
    </w:p>
    <w:p>
      <w:pPr>
        <w:pStyle w:val="8"/>
        <w:spacing w:after="0" w:line="600" w:lineRule="exact"/>
        <w:ind w:firstLine="622" w:firstLineChars="200"/>
        <w:outlineLvl w:val="1"/>
        <w:rPr>
          <w:rFonts w:ascii="Times New Roman" w:hAnsi="Times New Roman" w:eastAsia="楷体"/>
          <w:b/>
          <w:bCs/>
          <w:kern w:val="0"/>
          <w:sz w:val="31"/>
          <w:szCs w:val="31"/>
        </w:rPr>
      </w:pPr>
      <w:bookmarkStart w:id="23" w:name="_Toc25334"/>
      <w:r>
        <w:rPr>
          <w:rFonts w:hint="eastAsia" w:ascii="Times New Roman" w:hAnsi="Times New Roman" w:eastAsia="楷体" w:cs="楷体"/>
          <w:b/>
          <w:bCs/>
          <w:kern w:val="0"/>
          <w:sz w:val="31"/>
          <w:szCs w:val="31"/>
        </w:rPr>
        <w:t>（三）配套发展炭素新材料</w:t>
      </w:r>
      <w:bookmarkEnd w:id="23"/>
    </w:p>
    <w:p>
      <w:pPr>
        <w:pStyle w:val="6"/>
        <w:spacing w:line="600" w:lineRule="exact"/>
        <w:ind w:firstLine="622" w:firstLineChars="200"/>
        <w:rPr>
          <w:rFonts w:ascii="Times New Roman" w:hAnsi="Times New Roman" w:eastAsia="仿宋_GB2312"/>
          <w:b/>
          <w:bCs/>
          <w:kern w:val="0"/>
          <w:sz w:val="31"/>
          <w:szCs w:val="31"/>
        </w:rPr>
      </w:pPr>
      <w:r>
        <w:rPr>
          <w:rFonts w:ascii="Times New Roman" w:hAnsi="Times New Roman" w:eastAsia="仿宋_GB2312" w:cs="Times New Roman"/>
          <w:b/>
          <w:bCs/>
          <w:kern w:val="0"/>
          <w:sz w:val="31"/>
          <w:szCs w:val="31"/>
        </w:rPr>
        <w:t>1.</w:t>
      </w:r>
      <w:r>
        <w:rPr>
          <w:rFonts w:hint="eastAsia" w:ascii="Times New Roman" w:hAnsi="Times New Roman" w:eastAsia="仿宋_GB2312" w:cs="仿宋_GB2312"/>
          <w:b/>
          <w:bCs/>
          <w:kern w:val="0"/>
          <w:sz w:val="31"/>
          <w:szCs w:val="31"/>
        </w:rPr>
        <w:t>发展思路</w:t>
      </w:r>
    </w:p>
    <w:p>
      <w:pPr>
        <w:pStyle w:val="6"/>
        <w:spacing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抚顺市传统炭素新材料主要生</w:t>
      </w:r>
      <w:r>
        <w:rPr>
          <w:rFonts w:hint="eastAsia" w:ascii="Times New Roman" w:hAnsi="Times New Roman" w:eastAsia="仿宋_GB2312" w:cs="仿宋_GB2312"/>
          <w:sz w:val="32"/>
          <w:szCs w:val="32"/>
          <w:shd w:val="clear" w:color="auto" w:fill="FFFFFF"/>
        </w:rPr>
        <w:t>产石墨电极、炭素阳极等。石墨电极为熔化高炉中电流传导介质，用于</w:t>
      </w:r>
      <w:r>
        <w:rPr>
          <w:rFonts w:hint="eastAsia" w:ascii="Times New Roman" w:hAnsi="Times New Roman" w:eastAsia="仿宋_GB2312" w:cs="仿宋_GB2312"/>
          <w:kern w:val="0"/>
          <w:sz w:val="32"/>
          <w:szCs w:val="32"/>
        </w:rPr>
        <w:t>生产钢铁等金属产品；</w:t>
      </w:r>
      <w:r>
        <w:rPr>
          <w:rFonts w:hint="eastAsia" w:ascii="Times New Roman" w:hAnsi="Times New Roman" w:eastAsia="仿宋_GB2312" w:cs="仿宋_GB2312"/>
          <w:sz w:val="32"/>
          <w:szCs w:val="32"/>
          <w:shd w:val="clear" w:color="auto" w:fill="FFFFFF"/>
        </w:rPr>
        <w:t>炭素阳极</w:t>
      </w:r>
      <w:r>
        <w:rPr>
          <w:rFonts w:hint="eastAsia" w:ascii="Times New Roman" w:hAnsi="Times New Roman" w:eastAsia="仿宋_GB2312" w:cs="仿宋_GB2312"/>
          <w:kern w:val="0"/>
          <w:sz w:val="32"/>
          <w:szCs w:val="32"/>
        </w:rPr>
        <w:t>为铝用商品阳极，</w:t>
      </w:r>
      <w:r>
        <w:rPr>
          <w:rFonts w:hint="eastAsia" w:ascii="Times New Roman" w:hAnsi="Times New Roman" w:eastAsia="仿宋_GB2312" w:cs="仿宋_GB2312"/>
          <w:sz w:val="32"/>
          <w:szCs w:val="32"/>
          <w:shd w:val="clear" w:color="auto" w:fill="FFFFFF"/>
        </w:rPr>
        <w:t>用于</w:t>
      </w:r>
      <w:r>
        <w:rPr>
          <w:rFonts w:hint="eastAsia" w:ascii="Times New Roman" w:hAnsi="Times New Roman" w:eastAsia="仿宋_GB2312" w:cs="仿宋_GB2312"/>
          <w:kern w:val="0"/>
          <w:sz w:val="32"/>
          <w:szCs w:val="32"/>
        </w:rPr>
        <w:t>生产电解铝。“十四五”期间，抚顺炭素新材料将瞄</w:t>
      </w:r>
      <w:r>
        <w:rPr>
          <w:rFonts w:hint="eastAsia" w:ascii="Times New Roman" w:hAnsi="Times New Roman" w:eastAsia="仿宋_GB2312" w:cs="仿宋_GB2312"/>
          <w:sz w:val="32"/>
          <w:szCs w:val="32"/>
          <w:shd w:val="clear" w:color="auto" w:fill="FFFFFF"/>
        </w:rPr>
        <w:t>准大规格超高功率石墨电极的研发和生产</w:t>
      </w:r>
      <w:r>
        <w:rPr>
          <w:rFonts w:hint="eastAsia" w:ascii="Times New Roman" w:hAnsi="Times New Roman" w:eastAsia="仿宋_GB2312" w:cs="仿宋_GB2312"/>
          <w:kern w:val="0"/>
          <w:sz w:val="32"/>
          <w:szCs w:val="32"/>
        </w:rPr>
        <w:t>，满足国内大电炉生产的需要，减少进口；持续增强传统</w:t>
      </w:r>
      <w:r>
        <w:rPr>
          <w:rFonts w:hint="eastAsia" w:ascii="Times New Roman" w:hAnsi="Times New Roman" w:eastAsia="仿宋_GB2312" w:cs="仿宋_GB2312"/>
          <w:sz w:val="32"/>
          <w:szCs w:val="32"/>
          <w:shd w:val="clear" w:color="auto" w:fill="FFFFFF"/>
        </w:rPr>
        <w:t>超高功率石墨电极、高功率石墨电极、普通功率石墨电极、炭素阳极的生产销售；超前布局，拓展石墨烯新材料产品，</w:t>
      </w:r>
      <w:r>
        <w:rPr>
          <w:rFonts w:hint="eastAsia" w:ascii="Times New Roman" w:hAnsi="Times New Roman" w:eastAsia="仿宋_GB2312" w:cs="仿宋_GB2312"/>
          <w:kern w:val="0"/>
          <w:sz w:val="32"/>
          <w:szCs w:val="32"/>
        </w:rPr>
        <w:t>调整炭素行业产品结构，适应市场需求，不断增强企业实力。</w:t>
      </w:r>
    </w:p>
    <w:p>
      <w:pPr>
        <w:pStyle w:val="6"/>
        <w:spacing w:line="600" w:lineRule="exact"/>
        <w:ind w:firstLine="622" w:firstLineChars="200"/>
        <w:rPr>
          <w:rFonts w:ascii="Times New Roman" w:hAnsi="Times New Roman" w:eastAsia="仿宋_GB2312"/>
          <w:b/>
          <w:bCs/>
          <w:kern w:val="0"/>
          <w:sz w:val="31"/>
          <w:szCs w:val="31"/>
        </w:rPr>
      </w:pPr>
      <w:r>
        <w:rPr>
          <w:rFonts w:ascii="Times New Roman" w:hAnsi="Times New Roman" w:eastAsia="仿宋_GB2312" w:cs="Times New Roman"/>
          <w:b/>
          <w:bCs/>
          <w:kern w:val="0"/>
          <w:sz w:val="31"/>
          <w:szCs w:val="31"/>
        </w:rPr>
        <w:t>2.</w:t>
      </w:r>
      <w:r>
        <w:rPr>
          <w:rFonts w:hint="eastAsia" w:ascii="Times New Roman" w:hAnsi="Times New Roman" w:eastAsia="仿宋_GB2312" w:cs="仿宋_GB2312"/>
          <w:b/>
          <w:bCs/>
          <w:kern w:val="0"/>
          <w:sz w:val="31"/>
          <w:szCs w:val="31"/>
        </w:rPr>
        <w:t>发展路径</w:t>
      </w:r>
    </w:p>
    <w:p>
      <w:pPr>
        <w:pStyle w:val="6"/>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color w:val="000000"/>
          <w:sz w:val="32"/>
          <w:szCs w:val="32"/>
        </w:rPr>
        <w:t>依托抚顺炭素，盯准高端石墨电极需求市场，推进建设新型的具有国际竞争力的高规格、高功率和超高功率石墨电极生产线；依托抚顺铝业，聚焦建设中铝一流炭素定位</w:t>
      </w:r>
      <w:r>
        <w:rPr>
          <w:rFonts w:hint="eastAsia" w:ascii="Times New Roman" w:hAnsi="Times New Roman" w:eastAsia="仿宋_GB2312" w:cs="仿宋_GB2312"/>
          <w:sz w:val="32"/>
          <w:szCs w:val="32"/>
        </w:rPr>
        <w:t>，推进建设绿色商品阳极进出口生产地；借助抚顺铝业建设炭素</w:t>
      </w:r>
      <w:r>
        <w:rPr>
          <w:rFonts w:hint="eastAsia" w:ascii="Times New Roman" w:hAnsi="Times New Roman" w:eastAsia="仿宋_GB2312" w:cs="仿宋_GB2312"/>
          <w:color w:val="000000"/>
          <w:sz w:val="32"/>
          <w:szCs w:val="32"/>
        </w:rPr>
        <w:t>应用研究和试验、培训中心的契机，向上争取资金，推进抚顺铝业建设中铝集团规模最大，集研发试验、人才培育、产品生产为</w:t>
      </w:r>
      <w:r>
        <w:rPr>
          <w:rFonts w:hint="eastAsia" w:ascii="Times New Roman" w:hAnsi="Times New Roman" w:eastAsia="仿宋_GB2312" w:cs="仿宋_GB2312"/>
          <w:sz w:val="32"/>
          <w:szCs w:val="32"/>
        </w:rPr>
        <w:t>一体的炭素商品阳极生产地。</w:t>
      </w:r>
    </w:p>
    <w:p>
      <w:pPr>
        <w:spacing w:line="600"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cs="仿宋_GB2312"/>
          <w:color w:val="000000"/>
          <w:sz w:val="32"/>
          <w:szCs w:val="32"/>
        </w:rPr>
        <w:t>在现有炭素新材料的基础上，超前布局。鼓励抚顺炭素借助总部方大炭素的技术支持，进军石墨烯在纺织材料领域中的应用，拓展石墨烯口罩、石墨烯防护服等医疗防护用品及适合东北地区需求的石墨烯发热服等。鼓励中小型炭素企业与实力强劲的大型公司进行合作开发，突破石墨烯规模化、大尺寸石墨烯片层制造工艺，形成系统研发，生产技术、工艺装备的改进和突破，构建产业链，实现企业转型，并催生中小型石墨烯高科技企业，弥补抚顺市在新兴产业领域的短板。</w:t>
      </w:r>
    </w:p>
    <w:p>
      <w:pPr>
        <w:pStyle w:val="8"/>
        <w:spacing w:after="0" w:line="600" w:lineRule="exact"/>
        <w:ind w:firstLine="622" w:firstLineChars="200"/>
        <w:outlineLvl w:val="1"/>
        <w:rPr>
          <w:rFonts w:ascii="Times New Roman" w:hAnsi="Times New Roman" w:eastAsia="楷体"/>
          <w:b/>
          <w:bCs/>
          <w:kern w:val="0"/>
          <w:sz w:val="31"/>
          <w:szCs w:val="31"/>
        </w:rPr>
      </w:pPr>
      <w:bookmarkStart w:id="24" w:name="_Toc20187"/>
      <w:r>
        <w:rPr>
          <w:rFonts w:hint="eastAsia" w:ascii="Times New Roman" w:hAnsi="Times New Roman" w:eastAsia="楷体" w:cs="楷体"/>
          <w:b/>
          <w:bCs/>
          <w:kern w:val="0"/>
          <w:sz w:val="31"/>
          <w:szCs w:val="31"/>
        </w:rPr>
        <w:t>（四）拓展下游深加工产品</w:t>
      </w:r>
      <w:bookmarkEnd w:id="24"/>
    </w:p>
    <w:p>
      <w:pPr>
        <w:pStyle w:val="6"/>
        <w:spacing w:line="600" w:lineRule="exact"/>
        <w:ind w:firstLine="622" w:firstLineChars="200"/>
        <w:rPr>
          <w:rFonts w:ascii="Times New Roman" w:hAnsi="Times New Roman" w:eastAsia="仿宋_GB2312"/>
          <w:b/>
          <w:bCs/>
          <w:kern w:val="0"/>
          <w:sz w:val="31"/>
          <w:szCs w:val="31"/>
        </w:rPr>
      </w:pPr>
      <w:r>
        <w:rPr>
          <w:rFonts w:ascii="Times New Roman" w:hAnsi="Times New Roman" w:eastAsia="仿宋_GB2312" w:cs="Times New Roman"/>
          <w:b/>
          <w:bCs/>
          <w:kern w:val="0"/>
          <w:sz w:val="31"/>
          <w:szCs w:val="31"/>
        </w:rPr>
        <w:t>1.</w:t>
      </w:r>
      <w:r>
        <w:rPr>
          <w:rFonts w:hint="eastAsia" w:ascii="Times New Roman" w:hAnsi="Times New Roman" w:eastAsia="仿宋_GB2312" w:cs="仿宋_GB2312"/>
          <w:b/>
          <w:bCs/>
          <w:kern w:val="0"/>
          <w:sz w:val="31"/>
          <w:szCs w:val="31"/>
        </w:rPr>
        <w:t>发展思路</w:t>
      </w:r>
    </w:p>
    <w:p>
      <w:pPr>
        <w:pStyle w:val="14"/>
        <w:widowControl/>
        <w:shd w:val="clear" w:color="auto" w:fill="FFFFFF"/>
        <w:spacing w:beforeAutospacing="0" w:afterAutospacing="0" w:line="600" w:lineRule="exact"/>
        <w:ind w:firstLine="640" w:firstLineChars="200"/>
        <w:rPr>
          <w:rFonts w:ascii="Times New Roman" w:hAnsi="Times New Roman" w:eastAsia="仿宋_GB2312"/>
          <w:color w:val="000000"/>
          <w:kern w:val="2"/>
          <w:sz w:val="32"/>
          <w:szCs w:val="32"/>
        </w:rPr>
      </w:pPr>
      <w:r>
        <w:rPr>
          <w:rFonts w:hint="eastAsia" w:ascii="Times New Roman" w:hAnsi="Times New Roman" w:eastAsia="仿宋_GB2312" w:cs="仿宋_GB2312"/>
          <w:color w:val="000000"/>
          <w:kern w:val="2"/>
          <w:sz w:val="32"/>
          <w:szCs w:val="32"/>
        </w:rPr>
        <w:t>受国家政策对钢铁产能新建的限制，抚顺钢铁冶金高端新材料产业在现有产业发展的基础上，鼓励企业拓展下游钢材深加工，延伸加工钢管、板带材、棒线材等金属制品，加快服务化转型。根据市场需求，搭建连接钢铁企业与终端用户之间的桥梁，发展高质量、高科技、高附加值产品，打造优质板材生产集</w:t>
      </w:r>
      <w:r>
        <w:rPr>
          <w:rFonts w:hint="eastAsia" w:ascii="Times New Roman" w:hAnsi="Times New Roman" w:eastAsia="仿宋_GB2312" w:cs="仿宋_GB2312"/>
          <w:kern w:val="2"/>
          <w:sz w:val="32"/>
          <w:szCs w:val="32"/>
        </w:rPr>
        <w:t>群，推进型钢生产基地建设，</w:t>
      </w:r>
      <w:r>
        <w:rPr>
          <w:rFonts w:hint="eastAsia" w:ascii="Times New Roman" w:hAnsi="Times New Roman" w:eastAsia="仿宋_GB2312" w:cs="仿宋_GB2312"/>
          <w:color w:val="000000"/>
          <w:kern w:val="2"/>
          <w:sz w:val="32"/>
          <w:szCs w:val="32"/>
        </w:rPr>
        <w:t>提高线棒材市场优势，延伸钢材深加工产业链条。带动发展钢材加工配送中心、电子商务等现代服务业，构建大型化、信息化、规范化、专业化的钢材供应链。积极主动融入沈阳区域经济和新兴产业发展，不断提高产品质量、增加产品品种，走特色化、专业化道路，坚持差异化发展，围绕节能环保、新能源、高端装备制造等新兴产业，做好配套服务。依</w:t>
      </w:r>
      <w:r>
        <w:rPr>
          <w:rFonts w:hint="eastAsia" w:ascii="Times New Roman" w:hAnsi="Times New Roman" w:eastAsia="仿宋_GB2312" w:cs="仿宋_GB2312"/>
          <w:kern w:val="2"/>
          <w:sz w:val="32"/>
          <w:szCs w:val="32"/>
        </w:rPr>
        <w:t>托本地铁、铜、铝、硅等金属资源优势，立足于满足周边区域市场需求，探索引进粉末冶金产业</w:t>
      </w:r>
      <w:r>
        <w:rPr>
          <w:rFonts w:hint="eastAsia" w:ascii="Times New Roman" w:hAnsi="Times New Roman" w:eastAsia="仿宋_GB2312" w:cs="仿宋_GB2312"/>
          <w:color w:val="000000"/>
          <w:kern w:val="2"/>
          <w:sz w:val="32"/>
          <w:szCs w:val="32"/>
        </w:rPr>
        <w:t>，</w:t>
      </w:r>
      <w:r>
        <w:rPr>
          <w:rFonts w:hint="eastAsia" w:ascii="Times New Roman" w:hAnsi="Times New Roman" w:eastAsia="仿宋_GB2312" w:cs="仿宋_GB2312"/>
          <w:kern w:val="2"/>
          <w:sz w:val="32"/>
          <w:szCs w:val="32"/>
        </w:rPr>
        <w:t>推动增材制造新材料产业发展。通过</w:t>
      </w:r>
      <w:r>
        <w:rPr>
          <w:rFonts w:hint="eastAsia" w:ascii="Times New Roman" w:hAnsi="Times New Roman" w:eastAsia="仿宋_GB2312" w:cs="仿宋_GB2312"/>
          <w:color w:val="000000"/>
          <w:kern w:val="2"/>
          <w:sz w:val="32"/>
          <w:szCs w:val="32"/>
        </w:rPr>
        <w:t>提高粉末冶金制品的标准化、高精度和形状复杂性，减少机械设备重量，节约能源消耗，减少污染排放，为汽车、家电等行业的产业结构升级服务。</w:t>
      </w:r>
    </w:p>
    <w:p>
      <w:pPr>
        <w:pStyle w:val="6"/>
        <w:spacing w:line="600" w:lineRule="exact"/>
        <w:ind w:firstLine="643" w:firstLineChars="200"/>
        <w:rPr>
          <w:rFonts w:ascii="Times New Roman" w:hAnsi="Times New Roman" w:eastAsia="仿宋_GB2312"/>
          <w:b/>
          <w:bCs/>
          <w:color w:val="000000"/>
          <w:sz w:val="32"/>
          <w:szCs w:val="32"/>
        </w:rPr>
      </w:pPr>
      <w:r>
        <w:rPr>
          <w:rFonts w:ascii="Times New Roman" w:hAnsi="Times New Roman" w:eastAsia="仿宋_GB2312" w:cs="Times New Roman"/>
          <w:b/>
          <w:bCs/>
          <w:color w:val="000000"/>
          <w:sz w:val="32"/>
          <w:szCs w:val="32"/>
        </w:rPr>
        <w:t>2.</w:t>
      </w:r>
      <w:r>
        <w:rPr>
          <w:rFonts w:hint="eastAsia" w:ascii="Times New Roman" w:hAnsi="Times New Roman" w:eastAsia="仿宋_GB2312" w:cs="仿宋_GB2312"/>
          <w:b/>
          <w:bCs/>
          <w:color w:val="000000"/>
          <w:sz w:val="32"/>
          <w:szCs w:val="32"/>
        </w:rPr>
        <w:t>发展路径</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color w:val="000000"/>
          <w:sz w:val="32"/>
          <w:szCs w:val="32"/>
        </w:rPr>
        <w:t>依托抚工工具，发展以高速工具钢、高性能含钴高速钢、超硬型钴高速钢为重点的刀具产业链，围绕管、线、板、带、棒等中间产品，积极引进刀具、刃具、钻探工具、大型装备组件等产品型深加工和高端装备制造项目，</w:t>
      </w:r>
      <w:r>
        <w:rPr>
          <w:rFonts w:hint="eastAsia" w:ascii="Times New Roman" w:hAnsi="Times New Roman" w:eastAsia="仿宋_GB2312" w:cs="仿宋_GB2312"/>
          <w:sz w:val="32"/>
          <w:szCs w:val="32"/>
        </w:rPr>
        <w:t>建立刀具产业集群。依托钢铁企业转型升级、结构调整的有利契机，发展钢材深加工，围绕产业链布局创新链，围绕创新链配置资金链，形成主业与深加工业之间的良性循环；谋划钢材加工配送中心等项目，形成材料生产、材料加工、材料配送之间的有效衔接，共同发展。依托冶金新材料深加工民营企业，</w:t>
      </w:r>
      <w:r>
        <w:rPr>
          <w:rFonts w:hint="eastAsia" w:ascii="Times New Roman" w:hAnsi="Times New Roman" w:eastAsia="仿宋_GB2312" w:cs="仿宋_GB2312"/>
          <w:color w:val="000000"/>
          <w:sz w:val="32"/>
          <w:szCs w:val="32"/>
        </w:rPr>
        <w:t>发展汽车、家电、工业机械等行业生产零部件。加大研发投入力度，鼓励民营企业以资源优势吸引国内知名粉末冶金及制品企业，来抚开展合资合作，实现优势互补。出台政策引导粉末冶金行业健康发展，既要鼓励粉末冶金企业做大做强，又要避免粉末冶金企业遍地开花，造成低端产能过剩及环境破坏</w:t>
      </w:r>
      <w:r>
        <w:rPr>
          <w:rFonts w:hint="eastAsia" w:ascii="Times New Roman" w:hAnsi="Times New Roman" w:eastAsia="仿宋_GB2312" w:cs="仿宋_GB2312"/>
          <w:sz w:val="32"/>
          <w:szCs w:val="32"/>
        </w:rPr>
        <w:t>，实现冶金高端新材料下游深加工产业连续性、稳定性、可持续性发展。</w:t>
      </w:r>
    </w:p>
    <w:p>
      <w:pPr>
        <w:pStyle w:val="8"/>
        <w:spacing w:after="0" w:line="600" w:lineRule="exact"/>
        <w:ind w:firstLine="643" w:firstLineChars="200"/>
        <w:outlineLvl w:val="0"/>
        <w:rPr>
          <w:rFonts w:ascii="Times New Roman" w:hAnsi="Times New Roman" w:eastAsia="黑体"/>
          <w:b/>
          <w:bCs/>
          <w:kern w:val="0"/>
          <w:sz w:val="32"/>
          <w:szCs w:val="32"/>
        </w:rPr>
      </w:pPr>
      <w:bookmarkStart w:id="25" w:name="_Toc5715"/>
      <w:r>
        <w:rPr>
          <w:rFonts w:hint="eastAsia" w:ascii="Times New Roman" w:hAnsi="Times New Roman" w:eastAsia="黑体" w:cs="黑体"/>
          <w:b/>
          <w:bCs/>
          <w:kern w:val="0"/>
          <w:sz w:val="32"/>
          <w:szCs w:val="32"/>
        </w:rPr>
        <w:t>六、主要任务</w:t>
      </w:r>
      <w:bookmarkEnd w:id="25"/>
    </w:p>
    <w:p>
      <w:pPr>
        <w:pStyle w:val="8"/>
        <w:spacing w:after="0" w:line="600" w:lineRule="exact"/>
        <w:ind w:firstLine="620" w:firstLineChars="200"/>
        <w:rPr>
          <w:rFonts w:ascii="Times New Roman" w:hAnsi="Times New Roman" w:eastAsia="仿宋_GB2312"/>
          <w:sz w:val="31"/>
          <w:szCs w:val="31"/>
          <w:shd w:val="clear" w:color="auto" w:fill="FFFFFF"/>
        </w:rPr>
      </w:pPr>
      <w:r>
        <w:rPr>
          <w:rFonts w:hint="eastAsia" w:ascii="Times New Roman" w:hAnsi="Times New Roman" w:eastAsia="仿宋_GB2312" w:cs="仿宋_GB2312"/>
          <w:sz w:val="31"/>
          <w:szCs w:val="31"/>
          <w:shd w:val="clear" w:color="auto" w:fill="FFFFFF"/>
        </w:rPr>
        <w:t>抚顺市冶金高端新材料产业发展将瞄准发展目标，聚焦重点领域，推进绿色智能、技术突破、平台建设，通过产业链打造、布局优化、企业培育和项目建设，实现转型升级、深度开发；强化数字赋能，构筑面向未来的竞争新优势；立足“碳达峰、碳中和”探索高质量发展之路。重点抓好以下八方面工作。</w:t>
      </w:r>
    </w:p>
    <w:p>
      <w:pPr>
        <w:pStyle w:val="8"/>
        <w:spacing w:after="0" w:line="600" w:lineRule="exact"/>
        <w:ind w:firstLine="622" w:firstLineChars="200"/>
        <w:outlineLvl w:val="1"/>
        <w:rPr>
          <w:rFonts w:ascii="Times New Roman" w:hAnsi="Times New Roman" w:eastAsia="楷体"/>
          <w:b/>
          <w:bCs/>
          <w:kern w:val="0"/>
          <w:sz w:val="31"/>
          <w:szCs w:val="31"/>
        </w:rPr>
      </w:pPr>
      <w:bookmarkStart w:id="26" w:name="_Toc7269"/>
      <w:r>
        <w:rPr>
          <w:rFonts w:hint="eastAsia" w:ascii="Times New Roman" w:hAnsi="Times New Roman" w:eastAsia="楷体" w:cs="楷体"/>
          <w:b/>
          <w:bCs/>
          <w:kern w:val="0"/>
          <w:sz w:val="31"/>
          <w:szCs w:val="31"/>
        </w:rPr>
        <w:t>（一）促进产业集群发展</w:t>
      </w:r>
      <w:bookmarkEnd w:id="26"/>
    </w:p>
    <w:p>
      <w:pPr>
        <w:widowControl/>
        <w:shd w:val="clear" w:color="auto" w:fill="FFFFFF"/>
        <w:spacing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以抚顺特钢、抚顺新钢、抚顺铝业、抚顺炭素、抚工工具等一批国内外知名企业为重点，逐步引导企业向冶金新材料产品向下游延伸发展，不断延长产业链，形成上下游产品延伸配套的产业体系。</w:t>
      </w:r>
      <w:r>
        <w:rPr>
          <w:rFonts w:hint="eastAsia" w:ascii="Times New Roman" w:hAnsi="Times New Roman" w:eastAsia="仿宋_GB2312" w:cs="仿宋_GB2312"/>
          <w:kern w:val="0"/>
          <w:sz w:val="32"/>
          <w:szCs w:val="32"/>
          <w:shd w:val="clear" w:color="auto" w:fill="FFFFFF"/>
        </w:rPr>
        <w:t>以优质的冶金新材料供给方案吸引更多下游应用领域相关产业到抚顺发展。以建设新材料产业集群、装备制造产业集群、钢结构建筑产业集群为主要方向，培育下游深加工用钢市场，推进冶金新材料产业纵深发展，打造高端冶金新材料集聚区。</w:t>
      </w:r>
    </w:p>
    <w:p>
      <w:pPr>
        <w:pStyle w:val="8"/>
        <w:spacing w:after="0" w:line="600" w:lineRule="exact"/>
        <w:ind w:firstLine="622" w:firstLineChars="200"/>
        <w:outlineLvl w:val="1"/>
        <w:rPr>
          <w:rFonts w:ascii="Times New Roman" w:hAnsi="Times New Roman" w:eastAsia="楷体"/>
          <w:b/>
          <w:bCs/>
          <w:kern w:val="0"/>
          <w:sz w:val="31"/>
          <w:szCs w:val="31"/>
        </w:rPr>
      </w:pPr>
      <w:bookmarkStart w:id="27" w:name="_Toc15083"/>
      <w:r>
        <w:rPr>
          <w:rFonts w:hint="eastAsia" w:ascii="Times New Roman" w:hAnsi="Times New Roman" w:eastAsia="楷体" w:cs="楷体"/>
          <w:b/>
          <w:bCs/>
          <w:kern w:val="0"/>
          <w:sz w:val="31"/>
          <w:szCs w:val="31"/>
        </w:rPr>
        <w:t>（二）优化调整产业结构</w:t>
      </w:r>
      <w:bookmarkEnd w:id="27"/>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cs="仿宋_GB2312"/>
          <w:sz w:val="32"/>
          <w:szCs w:val="32"/>
          <w:shd w:val="clear" w:color="auto" w:fill="FFFFFF"/>
        </w:rPr>
        <w:t>按照环境保护法、节约能源法、产品质量法、安全生产法以及钢铁、铝、铜等行业规范条件要求，以抚顺市资源优势为基础，以实施技术改造、发展下游深加工产品为途径，充分考虑现有产业规模、结构和特色，从区域特点、产业特色出发，集中力量对重点区域、重点技术、重点产品给予支持，做到特色资源重点开发，重点产品优先支持，加强行业监管，提升科技资源配置和使用效率，积极有序推进企业转型发展，促进抚顺市冶金高端新材料产业结构优化改造提升。</w:t>
      </w:r>
    </w:p>
    <w:p>
      <w:pPr>
        <w:pStyle w:val="8"/>
        <w:spacing w:after="0" w:line="600" w:lineRule="exact"/>
        <w:ind w:firstLine="622" w:firstLineChars="200"/>
        <w:outlineLvl w:val="1"/>
        <w:rPr>
          <w:rFonts w:ascii="Times New Roman" w:hAnsi="Times New Roman" w:eastAsia="楷体"/>
          <w:b/>
          <w:bCs/>
          <w:kern w:val="0"/>
          <w:sz w:val="31"/>
          <w:szCs w:val="31"/>
        </w:rPr>
      </w:pPr>
      <w:bookmarkStart w:id="28" w:name="_Toc14997"/>
      <w:r>
        <w:rPr>
          <w:rFonts w:hint="eastAsia" w:ascii="Times New Roman" w:hAnsi="Times New Roman" w:eastAsia="楷体" w:cs="楷体"/>
          <w:b/>
          <w:bCs/>
          <w:kern w:val="0"/>
          <w:sz w:val="31"/>
          <w:szCs w:val="31"/>
        </w:rPr>
        <w:t>（三）推动龙头引领带动</w:t>
      </w:r>
      <w:bookmarkEnd w:id="28"/>
    </w:p>
    <w:p>
      <w:pPr>
        <w:pStyle w:val="8"/>
        <w:spacing w:after="0" w:line="600" w:lineRule="exact"/>
        <w:ind w:firstLine="640" w:firstLineChars="200"/>
        <w:rPr>
          <w:rFonts w:ascii="Times New Roman" w:hAnsi="Times New Roman" w:eastAsia="仿宋_GB2312"/>
          <w:kern w:val="0"/>
          <w:sz w:val="32"/>
          <w:szCs w:val="32"/>
        </w:rPr>
      </w:pPr>
      <w:r>
        <w:rPr>
          <w:rFonts w:hint="eastAsia" w:ascii="Times New Roman" w:hAnsi="Times New Roman" w:eastAsia="仿宋_GB2312" w:cs="仿宋_GB2312"/>
          <w:kern w:val="0"/>
          <w:sz w:val="32"/>
          <w:szCs w:val="32"/>
        </w:rPr>
        <w:t>围绕钢铁冶炼、炭素阳极等优势领域，整合冶金产业链发展环节，进一步提高冶金高端新材料产业的创新能力及产能规模，在现有龙头企业的基础上，扶持培养一批国内领先的民营龙头企业。并以龙头企业为核心，拓展上下游产业配套能力，推进上下游产业产品结构优化，引领带动一批具有较强实力的撟ň匦</w:t>
      </w:r>
      <w:r>
        <w:rPr>
          <w:rFonts w:hint="eastAsia" w:ascii="宋体" w:hAnsi="宋体" w:eastAsia="仿宋_GB2312" w:cs="仿宋_GB2312"/>
          <w:kern w:val="0"/>
          <w:sz w:val="32"/>
          <w:szCs w:val="32"/>
        </w:rPr>
        <w:t>聰</w:t>
      </w:r>
      <w:r>
        <w:rPr>
          <w:rFonts w:hint="eastAsia" w:ascii="Times New Roman" w:hAnsi="Times New Roman" w:eastAsia="仿宋_GB2312" w:cs="仿宋_GB2312"/>
          <w:kern w:val="0"/>
          <w:sz w:val="32"/>
          <w:szCs w:val="32"/>
        </w:rPr>
        <w:t>冶金产业精深加工中小企业，形成多品种精深加工、伴生共生产品资源综合利用以及短流程加工利用的冶金高端新材料产业链。</w:t>
      </w:r>
    </w:p>
    <w:p>
      <w:pPr>
        <w:pStyle w:val="8"/>
        <w:spacing w:after="0" w:line="600" w:lineRule="exact"/>
        <w:ind w:firstLine="622" w:firstLineChars="200"/>
        <w:outlineLvl w:val="1"/>
        <w:rPr>
          <w:rFonts w:ascii="Times New Roman" w:hAnsi="Times New Roman" w:eastAsia="楷体"/>
          <w:b/>
          <w:bCs/>
          <w:kern w:val="0"/>
          <w:sz w:val="31"/>
          <w:szCs w:val="31"/>
        </w:rPr>
      </w:pPr>
      <w:bookmarkStart w:id="29" w:name="_Toc8600"/>
      <w:r>
        <w:rPr>
          <w:rFonts w:hint="eastAsia" w:ascii="Times New Roman" w:hAnsi="Times New Roman" w:eastAsia="楷体" w:cs="楷体"/>
          <w:b/>
          <w:bCs/>
          <w:kern w:val="0"/>
          <w:sz w:val="31"/>
          <w:szCs w:val="31"/>
        </w:rPr>
        <w:t>（四）加快创新能力提升</w:t>
      </w:r>
      <w:bookmarkEnd w:id="29"/>
    </w:p>
    <w:p>
      <w:pPr>
        <w:pStyle w:val="14"/>
        <w:widowControl/>
        <w:shd w:val="clear" w:color="auto" w:fill="FFFFFF"/>
        <w:spacing w:beforeAutospacing="0" w:afterAutospacing="0" w:line="600" w:lineRule="exact"/>
        <w:ind w:firstLine="640" w:firstLineChars="200"/>
        <w:jc w:val="both"/>
        <w:rPr>
          <w:rFonts w:ascii="Times New Roman" w:hAnsi="Times New Roman" w:eastAsia="仿宋_GB2312"/>
          <w:sz w:val="32"/>
          <w:szCs w:val="32"/>
          <w:shd w:val="clear" w:color="auto" w:fill="FFFFFF"/>
        </w:rPr>
      </w:pPr>
      <w:r>
        <w:rPr>
          <w:rFonts w:hint="eastAsia" w:ascii="Times New Roman" w:hAnsi="Times New Roman" w:eastAsia="仿宋_GB2312" w:cs="仿宋_GB2312"/>
          <w:sz w:val="32"/>
          <w:szCs w:val="32"/>
          <w:shd w:val="clear" w:color="auto" w:fill="FFFFFF"/>
        </w:rPr>
        <w:t>适应钢铁冶金材料发展新常态，加快研发投入度，发展自主创新能力，加快发展中高端产品，提高发展质量，抢占未来发展制高点。依托东北大学多金属共生矿生态化冶金教育部重点实验室、东北大学特殊钢先进冶金工艺与装备教育部工程研究中心等国家级创新平台，积极对接国家冶金产业重大科技专项，壮大优势领域技术研发实力。依托中国科学院金属研究所、辽宁科技大学、大连理工大学等科研机构和高等院校，整合企业、高等院校及科研机构产学研用资源，加快推动科技成果转化。在钢铁、炭素、有色金属及其二次资源回收等重点领域，推进若干由企业、用户和科研院所共同组建的冶金新材料产业创新平台建设，畅通多方沟通渠道，探索人才、信息等关键资源共享机制。支持企业引进国内外先进产品及生产工艺技术消化吸收再创新，提升冶金产业技术装备水平。整合抚顺现有企业孵化资源，设立创新创业专项资金，引进国内外创新企业和团队，培育一批成长性好、技术前沿的创新型中小企业，鼓励中小型企业实施创新工程项目。</w:t>
      </w:r>
    </w:p>
    <w:p>
      <w:pPr>
        <w:pStyle w:val="8"/>
        <w:spacing w:after="0" w:line="600" w:lineRule="exact"/>
        <w:ind w:firstLine="622" w:firstLineChars="200"/>
        <w:outlineLvl w:val="1"/>
        <w:rPr>
          <w:rFonts w:ascii="Times New Roman" w:hAnsi="Times New Roman" w:eastAsia="楷体"/>
          <w:b/>
          <w:bCs/>
          <w:kern w:val="0"/>
          <w:sz w:val="31"/>
          <w:szCs w:val="31"/>
        </w:rPr>
      </w:pPr>
      <w:bookmarkStart w:id="30" w:name="_Toc4987"/>
      <w:r>
        <w:rPr>
          <w:rFonts w:hint="eastAsia" w:ascii="Times New Roman" w:hAnsi="Times New Roman" w:eastAsia="楷体" w:cs="楷体"/>
          <w:b/>
          <w:bCs/>
          <w:kern w:val="0"/>
          <w:sz w:val="31"/>
          <w:szCs w:val="31"/>
        </w:rPr>
        <w:t>（五）实现产业绿色发展</w:t>
      </w:r>
      <w:bookmarkEnd w:id="30"/>
    </w:p>
    <w:p>
      <w:pPr>
        <w:pStyle w:val="14"/>
        <w:widowControl/>
        <w:shd w:val="clear" w:color="auto" w:fill="FFFFFF"/>
        <w:spacing w:beforeAutospacing="0" w:afterAutospacing="0" w:line="600" w:lineRule="exact"/>
        <w:ind w:firstLine="620" w:firstLineChars="200"/>
        <w:rPr>
          <w:rFonts w:ascii="Times New Roman" w:hAnsi="Times New Roman" w:eastAsia="仿宋_GB2312"/>
          <w:sz w:val="31"/>
          <w:szCs w:val="31"/>
          <w:shd w:val="clear" w:color="auto" w:fill="FFFFFF"/>
        </w:rPr>
      </w:pPr>
      <w:r>
        <w:rPr>
          <w:rFonts w:hint="eastAsia" w:ascii="Times New Roman" w:hAnsi="Times New Roman" w:eastAsia="仿宋_GB2312" w:cs="仿宋_GB2312"/>
          <w:sz w:val="31"/>
          <w:szCs w:val="31"/>
          <w:shd w:val="clear" w:color="auto" w:fill="FFFFFF"/>
        </w:rPr>
        <w:t>大力推进绿色制造，实现节能环保技术全覆盖。新建产能要发挥短流程工艺的低碳绿色优势。钢厂要从依托城市向服务城市转变，努力使钢厂与城市共存、与社会共融，体现钢铁企业的低碳绿色价值。进一步强化绿色发展理念，大力推进冶金产业绿色化、低碳化、循环化和集约化发展，加快推进冶金企业实施绿色化改造、资源循环利用示范、绿色制造技术创新等工作，加快构建高效节能低碳循环的绿色冶金制造体系。加强节能减排，推进冶金产业转型升级，加快绿色化、智能化技术的不断创新和应用，加快新一代可循环工艺技术研发，大力推广具备能源高效利用、污染减量化、废弃物资源化利用和无害化处理等功能的工艺技术。</w:t>
      </w:r>
    </w:p>
    <w:p>
      <w:pPr>
        <w:pStyle w:val="8"/>
        <w:spacing w:after="0" w:line="600" w:lineRule="exact"/>
        <w:ind w:firstLine="622" w:firstLineChars="200"/>
        <w:outlineLvl w:val="1"/>
        <w:rPr>
          <w:rFonts w:ascii="Times New Roman" w:hAnsi="Times New Roman" w:eastAsia="楷体"/>
          <w:b/>
          <w:bCs/>
          <w:kern w:val="0"/>
          <w:sz w:val="31"/>
          <w:szCs w:val="31"/>
        </w:rPr>
      </w:pPr>
      <w:bookmarkStart w:id="31" w:name="_Toc32319"/>
      <w:r>
        <w:rPr>
          <w:rFonts w:hint="eastAsia" w:ascii="Times New Roman" w:hAnsi="Times New Roman" w:eastAsia="楷体" w:cs="楷体"/>
          <w:b/>
          <w:bCs/>
          <w:kern w:val="0"/>
          <w:sz w:val="31"/>
          <w:szCs w:val="31"/>
        </w:rPr>
        <w:t>（六）推进智能化建设</w:t>
      </w:r>
      <w:bookmarkEnd w:id="31"/>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eastAsia="仿宋_GB2312" w:cs="仿宋_GB2312"/>
          <w:kern w:val="0"/>
          <w:sz w:val="32"/>
          <w:szCs w:val="32"/>
        </w:rPr>
        <w:t>目前，工业与数字化、网络化、智能化技术的嫁接催生了一系列新业态、新模式、新动能，通过“智能</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等现代信息技术改造提升，为冶炼智能化提供了有利条件。推广应用冶金新材料产业供应链智能优化技术、协作制造企业信息集成技术等，发展智能冶炼制造、智能冶炼物流，推动冶金新材料产业由钢铁制造向钢铁智造发展、由产业链和价值链低端向中高端迈进。通过“智能</w:t>
      </w:r>
      <w:r>
        <w:rPr>
          <w:rFonts w:ascii="Times New Roman" w:hAnsi="Times New Roman" w:eastAsia="仿宋_GB2312" w:cs="Times New Roman"/>
          <w:kern w:val="0"/>
          <w:sz w:val="32"/>
          <w:szCs w:val="32"/>
        </w:rPr>
        <w:t>+</w:t>
      </w:r>
      <w:r>
        <w:rPr>
          <w:rFonts w:hint="eastAsia" w:ascii="Times New Roman" w:hAnsi="Times New Roman" w:eastAsia="仿宋_GB2312" w:cs="仿宋_GB2312"/>
          <w:kern w:val="0"/>
          <w:sz w:val="32"/>
          <w:szCs w:val="32"/>
        </w:rPr>
        <w:t>”现代信息技术改造提升为冶金新材料产业的低碳化改造提供强有力的技术支撑，推广应用高效绿色冶炼新技术、二氧化碳捕集、利用和储存技术等低碳新技术，加快冶金新材料产业绿色化、低碳化改造进程，加快转型为资源节约型、环境友好型的“两型”产业。</w:t>
      </w:r>
    </w:p>
    <w:p>
      <w:pPr>
        <w:pStyle w:val="4"/>
        <w:widowControl/>
        <w:shd w:val="clear" w:color="auto" w:fill="FFFFFF"/>
        <w:spacing w:beforeAutospacing="0" w:afterAutospacing="0" w:line="600" w:lineRule="exact"/>
        <w:ind w:firstLine="622" w:firstLineChars="200"/>
        <w:rPr>
          <w:rFonts w:ascii="Times New Roman" w:hAnsi="Times New Roman" w:eastAsia="楷体"/>
          <w:kern w:val="2"/>
          <w:sz w:val="31"/>
          <w:szCs w:val="31"/>
          <w:shd w:val="clear" w:color="auto" w:fill="FFFFFF"/>
        </w:rPr>
      </w:pPr>
      <w:bookmarkStart w:id="32" w:name="_Toc7451"/>
      <w:r>
        <w:rPr>
          <w:rFonts w:hint="eastAsia" w:ascii="Times New Roman" w:hAnsi="Times New Roman" w:eastAsia="楷体" w:cs="楷体"/>
          <w:kern w:val="2"/>
          <w:sz w:val="31"/>
          <w:szCs w:val="31"/>
          <w:shd w:val="clear" w:color="auto" w:fill="FFFFFF"/>
        </w:rPr>
        <w:t>（七）强化重大项目建设</w:t>
      </w:r>
      <w:bookmarkEnd w:id="32"/>
    </w:p>
    <w:p>
      <w:pPr>
        <w:pStyle w:val="14"/>
        <w:widowControl/>
        <w:shd w:val="clear" w:color="auto" w:fill="FFFFFF"/>
        <w:spacing w:beforeAutospacing="0" w:afterAutospacing="0" w:line="600" w:lineRule="exact"/>
        <w:ind w:firstLine="640" w:firstLineChars="200"/>
        <w:jc w:val="both"/>
        <w:rPr>
          <w:rFonts w:ascii="Times New Roman" w:hAnsi="Times New Roman" w:eastAsia="微软雅黑"/>
          <w:sz w:val="32"/>
          <w:szCs w:val="32"/>
        </w:rPr>
      </w:pPr>
      <w:r>
        <w:rPr>
          <w:rFonts w:hint="eastAsia" w:ascii="Times New Roman" w:hAnsi="Times New Roman" w:eastAsia="仿宋_GB2312" w:cs="仿宋_GB2312"/>
          <w:sz w:val="32"/>
          <w:szCs w:val="32"/>
          <w:shd w:val="clear" w:color="auto" w:fill="FFFFFF"/>
        </w:rPr>
        <w:t>健全重大项目推进机制，实行全过程服务、指导与跟踪，推进重大项目落地、投产达产。以引导一批基础材料转型升级为目标，针对抚顺市冶金新材料领域重点企业需求，鼓励引导企业实施一批升级改造项目。以培育关键战略材料为目标，推进实施一批企业创新及市场拓展、规模提升项目。鼓励各类冶金产业主体实施信息化改造，提升冶金产业信息化水平。</w:t>
      </w:r>
    </w:p>
    <w:p>
      <w:pPr>
        <w:pStyle w:val="4"/>
        <w:widowControl/>
        <w:shd w:val="clear" w:color="auto" w:fill="FFFFFF"/>
        <w:spacing w:beforeAutospacing="0" w:afterAutospacing="0" w:line="600" w:lineRule="exact"/>
        <w:ind w:firstLine="622" w:firstLineChars="200"/>
        <w:rPr>
          <w:rFonts w:ascii="Times New Roman" w:hAnsi="Times New Roman" w:eastAsia="楷体"/>
          <w:kern w:val="2"/>
          <w:sz w:val="31"/>
          <w:szCs w:val="31"/>
          <w:shd w:val="clear" w:color="auto" w:fill="FFFFFF"/>
        </w:rPr>
      </w:pPr>
      <w:bookmarkStart w:id="33" w:name="_Toc447"/>
      <w:r>
        <w:rPr>
          <w:rFonts w:hint="eastAsia" w:ascii="Times New Roman" w:hAnsi="Times New Roman" w:eastAsia="楷体" w:cs="楷体"/>
          <w:kern w:val="2"/>
          <w:sz w:val="31"/>
          <w:szCs w:val="31"/>
          <w:shd w:val="clear" w:color="auto" w:fill="FFFFFF"/>
        </w:rPr>
        <w:t>（八）深化对外开放</w:t>
      </w:r>
      <w:bookmarkEnd w:id="33"/>
    </w:p>
    <w:p>
      <w:pPr>
        <w:pStyle w:val="14"/>
        <w:widowControl/>
        <w:shd w:val="clear" w:color="auto" w:fill="FFFFFF"/>
        <w:spacing w:beforeAutospacing="0" w:afterAutospacing="0" w:line="600" w:lineRule="exact"/>
        <w:ind w:firstLine="640" w:firstLineChars="200"/>
        <w:rPr>
          <w:rFonts w:ascii="Times New Roman" w:hAnsi="Times New Roman" w:eastAsia="仿宋_GB2312"/>
          <w:sz w:val="31"/>
          <w:szCs w:val="31"/>
          <w:shd w:val="clear" w:color="auto" w:fill="FFFFFF"/>
        </w:rPr>
      </w:pPr>
      <w:r>
        <w:rPr>
          <w:rFonts w:hint="eastAsia" w:ascii="Times New Roman" w:hAnsi="Times New Roman" w:eastAsia="仿宋_GB2312" w:cs="仿宋_GB2312"/>
          <w:sz w:val="32"/>
          <w:szCs w:val="32"/>
          <w:shd w:val="clear" w:color="auto" w:fill="FFFFFF"/>
        </w:rPr>
        <w:t>发挥抚顺市冶金高端新材料比较优势，推动钢铁冶炼企业深化国际产能合作。以“一带一路”沿线资源条件好、配套能力强、市场潜力大的国家为重点，发挥企业的积极性和创造性，有力有序推动优势产能走出去。以基础设施领域大型成套设备“走出去”为牵引，鼓励龙头钢铁企业到海外建设钢铁生产基地和加工配送中心，带动抚顺市先进装备制造业、先进工艺技术、先进企业管理对外输出。</w:t>
      </w:r>
    </w:p>
    <w:p>
      <w:pPr>
        <w:spacing w:line="600" w:lineRule="exact"/>
        <w:ind w:firstLine="643" w:firstLineChars="200"/>
        <w:outlineLvl w:val="0"/>
        <w:rPr>
          <w:rFonts w:ascii="Times New Roman" w:hAnsi="Times New Roman" w:eastAsia="黑体"/>
          <w:sz w:val="32"/>
          <w:szCs w:val="32"/>
        </w:rPr>
      </w:pPr>
      <w:bookmarkStart w:id="34" w:name="_Toc13338"/>
      <w:r>
        <w:rPr>
          <w:rFonts w:hint="eastAsia" w:ascii="Times New Roman" w:hAnsi="Times New Roman" w:eastAsia="黑体" w:cs="黑体"/>
          <w:b/>
          <w:bCs/>
          <w:kern w:val="0"/>
          <w:sz w:val="32"/>
          <w:szCs w:val="32"/>
        </w:rPr>
        <w:t>七、精准招商</w:t>
      </w:r>
      <w:bookmarkEnd w:id="34"/>
    </w:p>
    <w:p>
      <w:pPr>
        <w:pStyle w:val="8"/>
        <w:spacing w:after="0" w:line="600" w:lineRule="exact"/>
        <w:ind w:firstLine="640" w:firstLineChars="200"/>
        <w:rPr>
          <w:rFonts w:ascii="Times New Roman" w:hAnsi="Times New Roman" w:eastAsia="仿宋_GB2312"/>
          <w:kern w:val="0"/>
          <w:sz w:val="32"/>
          <w:szCs w:val="32"/>
          <w:shd w:val="clear" w:color="auto" w:fill="FFFFFF"/>
        </w:rPr>
      </w:pPr>
      <w:r>
        <w:rPr>
          <w:rFonts w:hint="eastAsia" w:ascii="Times New Roman" w:hAnsi="Times New Roman" w:eastAsia="仿宋_GB2312" w:cs="仿宋_GB2312"/>
          <w:kern w:val="0"/>
          <w:sz w:val="32"/>
          <w:szCs w:val="32"/>
          <w:shd w:val="clear" w:color="auto" w:fill="FFFFFF"/>
        </w:rPr>
        <w:t>按照冶金高端新材料产业高质量发展的要求，以产业链延伸和集群化发展为目标，制定招商策划方案，开展产业链招商，补齐冶金新材料产业发展短板。建立重点招商对象信息库，集中包装和策划一批重大产业项目，针对性遴选和聚焦国内外冶金新材料产业链知名企业，着力引进一批创新能力强、技术水平高、辐射作用大、带动能力强的冶金高端新材料生产及下游精深加工企业，通过精准招商推进产业链延长、产业集群扩大。</w:t>
      </w:r>
    </w:p>
    <w:p>
      <w:pPr>
        <w:pStyle w:val="8"/>
        <w:numPr>
          <w:ilvl w:val="0"/>
          <w:numId w:val="4"/>
        </w:numPr>
        <w:spacing w:after="0" w:line="600" w:lineRule="exact"/>
        <w:ind w:firstLine="622" w:firstLineChars="200"/>
        <w:outlineLvl w:val="1"/>
        <w:rPr>
          <w:rFonts w:ascii="Times New Roman" w:hAnsi="Times New Roman" w:eastAsia="楷体"/>
          <w:b/>
          <w:bCs/>
          <w:kern w:val="0"/>
          <w:sz w:val="31"/>
          <w:szCs w:val="31"/>
          <w:shd w:val="clear" w:color="auto" w:fill="FFFFFF"/>
        </w:rPr>
      </w:pPr>
      <w:bookmarkStart w:id="35" w:name="_Toc20578"/>
      <w:r>
        <w:rPr>
          <w:rFonts w:hint="eastAsia" w:ascii="Times New Roman" w:hAnsi="Times New Roman" w:eastAsia="楷体" w:cs="楷体"/>
          <w:b/>
          <w:bCs/>
          <w:kern w:val="0"/>
          <w:sz w:val="31"/>
          <w:szCs w:val="31"/>
          <w:shd w:val="clear" w:color="auto" w:fill="FFFFFF"/>
        </w:rPr>
        <w:t>科技创新招商</w:t>
      </w:r>
      <w:bookmarkEnd w:id="35"/>
    </w:p>
    <w:p>
      <w:pPr>
        <w:pStyle w:val="8"/>
        <w:spacing w:after="0" w:line="600" w:lineRule="exact"/>
        <w:ind w:firstLine="640" w:firstLineChars="200"/>
        <w:rPr>
          <w:rFonts w:ascii="Times New Roman" w:hAnsi="Times New Roman" w:eastAsia="仿宋_GB2312"/>
          <w:kern w:val="0"/>
          <w:sz w:val="32"/>
          <w:szCs w:val="32"/>
          <w:shd w:val="clear" w:color="auto" w:fill="FFFFFF"/>
        </w:rPr>
      </w:pPr>
      <w:r>
        <w:rPr>
          <w:rFonts w:hint="eastAsia" w:ascii="Times New Roman" w:hAnsi="Times New Roman" w:eastAsia="仿宋_GB2312" w:cs="仿宋_GB2312"/>
          <w:kern w:val="0"/>
          <w:sz w:val="32"/>
          <w:szCs w:val="32"/>
          <w:shd w:val="clear" w:color="auto" w:fill="FFFFFF"/>
        </w:rPr>
        <w:t>围绕完善产业链条，提升自我创新能力为目标，通过创新“科技招商”的模式，挖掘具有较强创新性、领先性且发展前景良好的创新平台建设项目、科技成果孵化项目等，确保抚顺市冶金新材料产业和经济持续健康发展。通过举办创新大赛搭建科技交流互通平台，集聚国内外创新资源。通过“线上</w:t>
      </w:r>
      <w:r>
        <w:rPr>
          <w:rFonts w:ascii="Times New Roman" w:hAnsi="Times New Roman" w:eastAsia="仿宋_GB2312" w:cs="Times New Roman"/>
          <w:kern w:val="0"/>
          <w:sz w:val="32"/>
          <w:szCs w:val="32"/>
          <w:shd w:val="clear" w:color="auto" w:fill="FFFFFF"/>
        </w:rPr>
        <w:t>+</w:t>
      </w:r>
      <w:r>
        <w:rPr>
          <w:rFonts w:hint="eastAsia" w:ascii="Times New Roman" w:hAnsi="Times New Roman" w:eastAsia="仿宋_GB2312" w:cs="仿宋_GB2312"/>
          <w:kern w:val="0"/>
          <w:sz w:val="32"/>
          <w:szCs w:val="32"/>
          <w:shd w:val="clear" w:color="auto" w:fill="FFFFFF"/>
        </w:rPr>
        <w:t>线下”相结合的形式，开展“云赛事发布”、巡回宣讲会、招商对接会等配套服务活动，深入挖掘国内外人才资源和高新技术项目，吸引一批创新创业人才到抚顺创业发展，推动一批科技创新项目落户抚顺。“十四五”期间，计划搭建冶金新材料省级以上技术创新中心</w:t>
      </w:r>
      <w:r>
        <w:rPr>
          <w:rFonts w:ascii="Times New Roman" w:hAnsi="Times New Roman" w:eastAsia="仿宋_GB2312" w:cs="Times New Roman"/>
          <w:kern w:val="0"/>
          <w:sz w:val="32"/>
          <w:szCs w:val="32"/>
          <w:shd w:val="clear" w:color="auto" w:fill="FFFFFF"/>
        </w:rPr>
        <w:t>6</w:t>
      </w:r>
      <w:r>
        <w:rPr>
          <w:rFonts w:hint="eastAsia" w:ascii="Times New Roman" w:hAnsi="Times New Roman" w:eastAsia="仿宋_GB2312" w:cs="仿宋_GB2312"/>
          <w:kern w:val="0"/>
          <w:sz w:val="32"/>
          <w:szCs w:val="32"/>
          <w:shd w:val="clear" w:color="auto" w:fill="FFFFFF"/>
        </w:rPr>
        <w:t>个、新增工程研究中心</w:t>
      </w:r>
      <w:r>
        <w:rPr>
          <w:rFonts w:ascii="Times New Roman" w:hAnsi="Times New Roman" w:eastAsia="仿宋_GB2312" w:cs="Times New Roman"/>
          <w:kern w:val="0"/>
          <w:sz w:val="32"/>
          <w:szCs w:val="32"/>
          <w:shd w:val="clear" w:color="auto" w:fill="FFFFFF"/>
        </w:rPr>
        <w:t>2</w:t>
      </w:r>
      <w:r>
        <w:rPr>
          <w:rFonts w:hint="eastAsia" w:ascii="Times New Roman" w:hAnsi="Times New Roman" w:eastAsia="仿宋_GB2312" w:cs="仿宋_GB2312"/>
          <w:kern w:val="0"/>
          <w:sz w:val="32"/>
          <w:szCs w:val="32"/>
          <w:shd w:val="clear" w:color="auto" w:fill="FFFFFF"/>
        </w:rPr>
        <w:t>个、培育企业技术中心</w:t>
      </w:r>
      <w:r>
        <w:rPr>
          <w:rFonts w:ascii="Times New Roman" w:hAnsi="Times New Roman" w:eastAsia="仿宋_GB2312" w:cs="Times New Roman"/>
          <w:kern w:val="0"/>
          <w:sz w:val="32"/>
          <w:szCs w:val="32"/>
          <w:shd w:val="clear" w:color="auto" w:fill="FFFFFF"/>
        </w:rPr>
        <w:t>5</w:t>
      </w:r>
      <w:r>
        <w:rPr>
          <w:rFonts w:hint="eastAsia" w:ascii="Times New Roman" w:hAnsi="Times New Roman" w:eastAsia="仿宋_GB2312" w:cs="仿宋_GB2312"/>
          <w:kern w:val="0"/>
          <w:sz w:val="32"/>
          <w:szCs w:val="32"/>
          <w:shd w:val="clear" w:color="auto" w:fill="FFFFFF"/>
        </w:rPr>
        <w:t>个。</w:t>
      </w:r>
    </w:p>
    <w:p>
      <w:pPr>
        <w:pStyle w:val="8"/>
        <w:numPr>
          <w:ilvl w:val="0"/>
          <w:numId w:val="4"/>
        </w:numPr>
        <w:spacing w:after="0" w:line="600" w:lineRule="exact"/>
        <w:ind w:firstLine="622" w:firstLineChars="200"/>
        <w:outlineLvl w:val="1"/>
        <w:rPr>
          <w:rFonts w:ascii="Times New Roman" w:hAnsi="Times New Roman" w:eastAsia="楷体"/>
          <w:b/>
          <w:bCs/>
          <w:kern w:val="0"/>
          <w:sz w:val="31"/>
          <w:szCs w:val="31"/>
          <w:shd w:val="clear" w:color="auto" w:fill="FFFFFF"/>
        </w:rPr>
      </w:pPr>
      <w:bookmarkStart w:id="36" w:name="_Toc9453"/>
      <w:r>
        <w:rPr>
          <w:rFonts w:hint="eastAsia" w:ascii="Times New Roman" w:hAnsi="Times New Roman" w:eastAsia="楷体" w:cs="楷体"/>
          <w:b/>
          <w:bCs/>
          <w:kern w:val="0"/>
          <w:sz w:val="31"/>
          <w:szCs w:val="31"/>
          <w:shd w:val="clear" w:color="auto" w:fill="FFFFFF"/>
        </w:rPr>
        <w:t>重点项目招商</w:t>
      </w:r>
      <w:bookmarkEnd w:id="36"/>
    </w:p>
    <w:p>
      <w:pPr>
        <w:pStyle w:val="8"/>
        <w:spacing w:after="0" w:line="600" w:lineRule="exact"/>
        <w:ind w:firstLine="640" w:firstLineChars="200"/>
        <w:rPr>
          <w:rFonts w:ascii="Times New Roman" w:hAnsi="Times New Roman" w:eastAsia="仿宋_GB2312"/>
          <w:sz w:val="32"/>
          <w:szCs w:val="32"/>
        </w:rPr>
      </w:pPr>
      <w:r>
        <w:rPr>
          <w:rFonts w:hint="eastAsia" w:ascii="Times New Roman" w:hAnsi="Times New Roman" w:eastAsia="仿宋_GB2312" w:cs="仿宋_GB2312"/>
          <w:kern w:val="0"/>
          <w:sz w:val="32"/>
          <w:szCs w:val="32"/>
          <w:shd w:val="clear" w:color="auto" w:fill="FFFFFF"/>
        </w:rPr>
        <w:t>牢牢把握“绿色低碳发展”方向，聚焦招商引资“首位工程”不动摇，坚持项目为王，围绕钢铁行业转型升级，全面聚焦项目、全力攻坚项目、全心服务项目，务实精准开展招商引资，以高质量项目带动高质量发展，以高水平项目支持冶金新材料产业绿色低碳发展。“十四五”期间，各类投资项目</w:t>
      </w:r>
      <w:r>
        <w:rPr>
          <w:rFonts w:ascii="Times New Roman" w:hAnsi="Times New Roman" w:eastAsia="仿宋_GB2312" w:cs="Times New Roman"/>
          <w:kern w:val="0"/>
          <w:sz w:val="32"/>
          <w:szCs w:val="32"/>
          <w:shd w:val="clear" w:color="auto" w:fill="FFFFFF"/>
        </w:rPr>
        <w:t>27</w:t>
      </w:r>
      <w:r>
        <w:rPr>
          <w:rFonts w:hint="eastAsia" w:ascii="Times New Roman" w:hAnsi="Times New Roman" w:eastAsia="仿宋_GB2312" w:cs="仿宋_GB2312"/>
          <w:kern w:val="0"/>
          <w:sz w:val="32"/>
          <w:szCs w:val="32"/>
          <w:shd w:val="clear" w:color="auto" w:fill="FFFFFF"/>
        </w:rPr>
        <w:t>个、拓展项目</w:t>
      </w:r>
      <w:r>
        <w:rPr>
          <w:rFonts w:ascii="Times New Roman" w:hAnsi="Times New Roman" w:eastAsia="仿宋_GB2312" w:cs="Times New Roman"/>
          <w:kern w:val="0"/>
          <w:sz w:val="32"/>
          <w:szCs w:val="32"/>
          <w:shd w:val="clear" w:color="auto" w:fill="FFFFFF"/>
        </w:rPr>
        <w:t>4</w:t>
      </w:r>
      <w:r>
        <w:rPr>
          <w:rFonts w:hint="eastAsia" w:ascii="Times New Roman" w:hAnsi="Times New Roman" w:eastAsia="仿宋_GB2312" w:cs="仿宋_GB2312"/>
          <w:kern w:val="0"/>
          <w:sz w:val="32"/>
          <w:szCs w:val="32"/>
          <w:shd w:val="clear" w:color="auto" w:fill="FFFFFF"/>
        </w:rPr>
        <w:t>个。初步测算总投资</w:t>
      </w:r>
      <w:r>
        <w:rPr>
          <w:rFonts w:ascii="Times New Roman" w:hAnsi="Times New Roman" w:eastAsia="仿宋_GB2312" w:cs="Times New Roman"/>
          <w:kern w:val="0"/>
          <w:sz w:val="32"/>
          <w:szCs w:val="32"/>
          <w:shd w:val="clear" w:color="auto" w:fill="FFFFFF"/>
        </w:rPr>
        <w:t>90</w:t>
      </w:r>
      <w:r>
        <w:rPr>
          <w:rFonts w:hint="eastAsia" w:ascii="Times New Roman" w:hAnsi="Times New Roman" w:eastAsia="仿宋_GB2312" w:cs="仿宋_GB2312"/>
          <w:kern w:val="0"/>
          <w:sz w:val="32"/>
          <w:szCs w:val="32"/>
          <w:shd w:val="clear" w:color="auto" w:fill="FFFFFF"/>
        </w:rPr>
        <w:t>亿元以上，预计年新增产值</w:t>
      </w:r>
      <w:r>
        <w:rPr>
          <w:rFonts w:ascii="Times New Roman" w:hAnsi="Times New Roman" w:eastAsia="仿宋_GB2312" w:cs="Times New Roman"/>
          <w:sz w:val="32"/>
          <w:szCs w:val="32"/>
        </w:rPr>
        <w:t>160</w:t>
      </w:r>
      <w:r>
        <w:rPr>
          <w:rFonts w:hint="eastAsia" w:ascii="Times New Roman" w:hAnsi="Times New Roman" w:eastAsia="仿宋_GB2312" w:cs="仿宋_GB2312"/>
          <w:sz w:val="32"/>
          <w:szCs w:val="32"/>
        </w:rPr>
        <w:t>亿元以上，年新增税收</w:t>
      </w:r>
      <w:r>
        <w:rPr>
          <w:rFonts w:ascii="Times New Roman" w:hAnsi="Times New Roman" w:eastAsia="仿宋_GB2312" w:cs="Times New Roman"/>
          <w:sz w:val="32"/>
          <w:szCs w:val="32"/>
        </w:rPr>
        <w:t>5.3</w:t>
      </w:r>
      <w:r>
        <w:rPr>
          <w:rFonts w:hint="eastAsia" w:ascii="Times New Roman" w:hAnsi="Times New Roman" w:eastAsia="仿宋_GB2312" w:cs="仿宋_GB2312"/>
          <w:sz w:val="32"/>
          <w:szCs w:val="32"/>
        </w:rPr>
        <w:t>亿元以上。</w:t>
      </w:r>
    </w:p>
    <w:p>
      <w:pPr>
        <w:pStyle w:val="6"/>
        <w:spacing w:line="360" w:lineRule="auto"/>
        <w:ind w:firstLine="420" w:firstLineChars="200"/>
        <w:rPr>
          <w:rFonts w:ascii="Times New Roman" w:hAnsi="Times New Roman" w:cs="Times New Roman"/>
        </w:rPr>
        <w:sectPr>
          <w:pgSz w:w="11906" w:h="16838"/>
          <w:pgMar w:top="1440" w:right="1800" w:bottom="1440" w:left="1800" w:header="851" w:footer="992" w:gutter="0"/>
          <w:pgNumType w:fmt="numberInDash"/>
          <w:cols w:space="425" w:num="1"/>
          <w:docGrid w:type="lines" w:linePitch="312" w:charSpace="0"/>
        </w:sectPr>
      </w:pPr>
    </w:p>
    <w:p>
      <w:pPr>
        <w:pStyle w:val="6"/>
        <w:spacing w:line="360" w:lineRule="auto"/>
        <w:ind w:firstLine="0"/>
        <w:jc w:val="center"/>
        <w:rPr>
          <w:rFonts w:ascii="Times New Roman" w:hAnsi="Times New Roman" w:eastAsia="仿宋"/>
          <w:b/>
          <w:bCs/>
          <w:kern w:val="0"/>
          <w:sz w:val="24"/>
          <w:szCs w:val="24"/>
          <w:shd w:val="clear" w:color="auto" w:fill="FFFFFF"/>
        </w:rPr>
      </w:pPr>
      <w:r>
        <w:rPr>
          <w:rFonts w:hint="eastAsia" w:ascii="Times New Roman" w:hAnsi="Times New Roman" w:eastAsia="仿宋" w:cs="仿宋"/>
          <w:b/>
          <w:bCs/>
          <w:kern w:val="0"/>
          <w:sz w:val="24"/>
          <w:szCs w:val="24"/>
          <w:shd w:val="clear" w:color="auto" w:fill="FFFFFF"/>
        </w:rPr>
        <w:t>表</w:t>
      </w:r>
      <w:r>
        <w:rPr>
          <w:rFonts w:ascii="Times New Roman" w:hAnsi="Times New Roman" w:eastAsia="仿宋" w:cs="Times New Roman"/>
          <w:b/>
          <w:bCs/>
          <w:kern w:val="0"/>
          <w:sz w:val="24"/>
          <w:szCs w:val="24"/>
          <w:shd w:val="clear" w:color="auto" w:fill="FFFFFF"/>
        </w:rPr>
        <w:t>1</w:t>
      </w:r>
      <w:r>
        <w:rPr>
          <w:rFonts w:hint="eastAsia" w:ascii="Times New Roman" w:hAnsi="Times New Roman" w:eastAsia="仿宋" w:cs="仿宋"/>
          <w:b/>
          <w:bCs/>
          <w:kern w:val="0"/>
          <w:sz w:val="24"/>
          <w:szCs w:val="24"/>
          <w:shd w:val="clear" w:color="auto" w:fill="FFFFFF"/>
        </w:rPr>
        <w:t>：抚顺市冶金高端新材料产业发展重点项目表</w:t>
      </w:r>
    </w:p>
    <w:tbl>
      <w:tblPr>
        <w:tblStyle w:val="16"/>
        <w:tblW w:w="4970" w:type="pct"/>
        <w:tblInd w:w="-106" w:type="dxa"/>
        <w:tblLayout w:type="fixed"/>
        <w:tblCellMar>
          <w:top w:w="0" w:type="dxa"/>
          <w:left w:w="108" w:type="dxa"/>
          <w:bottom w:w="0" w:type="dxa"/>
          <w:right w:w="108" w:type="dxa"/>
        </w:tblCellMar>
      </w:tblPr>
      <w:tblGrid>
        <w:gridCol w:w="15"/>
        <w:gridCol w:w="527"/>
        <w:gridCol w:w="2472"/>
        <w:gridCol w:w="1575"/>
        <w:gridCol w:w="666"/>
        <w:gridCol w:w="3887"/>
        <w:gridCol w:w="999"/>
        <w:gridCol w:w="949"/>
        <w:gridCol w:w="1048"/>
        <w:gridCol w:w="975"/>
        <w:gridCol w:w="1360"/>
      </w:tblGrid>
      <w:tr>
        <w:tblPrEx>
          <w:tblCellMar>
            <w:top w:w="0" w:type="dxa"/>
            <w:left w:w="108" w:type="dxa"/>
            <w:bottom w:w="0" w:type="dxa"/>
            <w:right w:w="108" w:type="dxa"/>
          </w:tblCellMar>
        </w:tblPrEx>
        <w:trPr>
          <w:trHeight w:val="340" w:hRule="atLeast"/>
          <w:tblHeader/>
        </w:trPr>
        <w:tc>
          <w:tcPr>
            <w:tcW w:w="182" w:type="pct"/>
            <w:gridSpan w:val="2"/>
            <w:tcBorders>
              <w:top w:val="single" w:color="000000" w:sz="8" w:space="0"/>
              <w:left w:val="single" w:color="000000" w:sz="8" w:space="0"/>
              <w:bottom w:val="single" w:color="000000" w:sz="8" w:space="0"/>
              <w:right w:val="single" w:color="000000" w:sz="8" w:space="0"/>
            </w:tcBorders>
            <w:vAlign w:val="center"/>
          </w:tcPr>
          <w:p>
            <w:pPr>
              <w:pStyle w:val="31"/>
              <w:spacing w:line="360" w:lineRule="auto"/>
              <w:ind w:firstLine="0" w:firstLineChars="0"/>
              <w:rPr>
                <w:rFonts w:ascii="Times New Roman" w:hAnsi="Times New Roman" w:eastAsia="仿宋"/>
              </w:rPr>
            </w:pPr>
            <w:r>
              <w:rPr>
                <w:rFonts w:hint="eastAsia" w:ascii="Times New Roman" w:hAnsi="Times New Roman" w:eastAsia="仿宋" w:cs="仿宋"/>
                <w:b/>
                <w:bCs/>
                <w:color w:val="000000"/>
                <w:kern w:val="0"/>
              </w:rPr>
              <w:t>序号</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项目名称</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建设单位</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项目性质</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建设内容</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总投资</w:t>
            </w:r>
            <w:r>
              <w:rPr>
                <w:rFonts w:ascii="Times New Roman" w:hAnsi="Times New Roman" w:eastAsia="仿宋" w:cs="Times New Roman"/>
                <w:b/>
                <w:bCs/>
                <w:color w:val="000000"/>
                <w:kern w:val="0"/>
              </w:rPr>
              <w:t xml:space="preserve"> </w:t>
            </w:r>
            <w:r>
              <w:rPr>
                <w:rFonts w:hint="eastAsia" w:ascii="Times New Roman" w:hAnsi="Times New Roman" w:eastAsia="仿宋" w:cs="仿宋"/>
                <w:b/>
                <w:bCs/>
                <w:color w:val="000000"/>
                <w:kern w:val="0"/>
              </w:rPr>
              <w:t>（万元）</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占地面积（亩）</w:t>
            </w:r>
          </w:p>
        </w:tc>
        <w:tc>
          <w:tcPr>
            <w:tcW w:w="362"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年产值</w:t>
            </w:r>
            <w:r>
              <w:rPr>
                <w:rFonts w:ascii="Times New Roman" w:hAnsi="Times New Roman" w:eastAsia="仿宋" w:cs="Times New Roman"/>
                <w:b/>
                <w:bCs/>
                <w:color w:val="000000"/>
                <w:kern w:val="0"/>
              </w:rPr>
              <w:t xml:space="preserve">  </w:t>
            </w:r>
            <w:r>
              <w:rPr>
                <w:rFonts w:hint="eastAsia" w:ascii="Times New Roman" w:hAnsi="Times New Roman" w:eastAsia="仿宋" w:cs="仿宋"/>
                <w:b/>
                <w:bCs/>
                <w:color w:val="000000"/>
                <w:kern w:val="0"/>
              </w:rPr>
              <w:t>（万元）</w:t>
            </w:r>
          </w:p>
        </w:tc>
        <w:tc>
          <w:tcPr>
            <w:tcW w:w="337"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税收</w:t>
            </w:r>
            <w:r>
              <w:rPr>
                <w:rFonts w:ascii="Times New Roman" w:hAnsi="Times New Roman" w:eastAsia="仿宋" w:cs="Times New Roman"/>
                <w:b/>
                <w:bCs/>
                <w:color w:val="000000"/>
                <w:kern w:val="0"/>
              </w:rPr>
              <w:t xml:space="preserve">  </w:t>
            </w:r>
            <w:r>
              <w:rPr>
                <w:rFonts w:hint="eastAsia" w:ascii="Times New Roman" w:hAnsi="Times New Roman" w:eastAsia="仿宋" w:cs="仿宋"/>
                <w:b/>
                <w:bCs/>
                <w:color w:val="000000"/>
                <w:kern w:val="0"/>
              </w:rPr>
              <w:t>（万元）</w:t>
            </w:r>
          </w:p>
        </w:tc>
        <w:tc>
          <w:tcPr>
            <w:tcW w:w="47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投资强度（万元</w:t>
            </w:r>
            <w:r>
              <w:rPr>
                <w:rFonts w:ascii="Times New Roman" w:hAnsi="Times New Roman" w:eastAsia="仿宋" w:cs="Times New Roman"/>
                <w:b/>
                <w:bCs/>
                <w:color w:val="000000"/>
                <w:kern w:val="0"/>
              </w:rPr>
              <w:t>/</w:t>
            </w:r>
            <w:r>
              <w:rPr>
                <w:rFonts w:hint="eastAsia" w:ascii="Times New Roman" w:hAnsi="Times New Roman" w:eastAsia="仿宋" w:cs="仿宋"/>
                <w:b/>
                <w:bCs/>
                <w:color w:val="000000"/>
                <w:kern w:val="0"/>
              </w:rPr>
              <w:t>亩）</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连轧厂加热炉及全线电控系统升级技术改造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对连轧厂加热炉及全线电控系统升级技术改造。</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 xml:space="preserve">4900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第三炼钢厂新建</w:t>
            </w:r>
            <w:r>
              <w:rPr>
                <w:rFonts w:ascii="Times New Roman" w:hAnsi="Times New Roman" w:eastAsia="仿宋" w:cs="Times New Roman"/>
                <w:color w:val="000000"/>
                <w:kern w:val="0"/>
              </w:rPr>
              <w:t>4</w:t>
            </w:r>
            <w:r>
              <w:rPr>
                <w:rFonts w:hint="eastAsia" w:ascii="Times New Roman" w:hAnsi="Times New Roman" w:eastAsia="仿宋" w:cs="仿宋"/>
                <w:color w:val="000000"/>
                <w:kern w:val="0"/>
              </w:rPr>
              <w:t>台</w:t>
            </w:r>
            <w:r>
              <w:rPr>
                <w:rFonts w:ascii="Times New Roman" w:hAnsi="Times New Roman" w:eastAsia="仿宋" w:cs="Times New Roman"/>
                <w:color w:val="000000"/>
                <w:kern w:val="0"/>
              </w:rPr>
              <w:t>3</w:t>
            </w:r>
            <w:r>
              <w:rPr>
                <w:rFonts w:hint="eastAsia" w:ascii="Times New Roman" w:hAnsi="Times New Roman" w:eastAsia="仿宋" w:cs="仿宋"/>
                <w:color w:val="000000"/>
                <w:kern w:val="0"/>
              </w:rPr>
              <w:t>吨电渣炉工程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在第三炼钢厂新建</w:t>
            </w:r>
            <w:r>
              <w:rPr>
                <w:rFonts w:ascii="Times New Roman" w:hAnsi="Times New Roman" w:eastAsia="仿宋" w:cs="Times New Roman"/>
                <w:color w:val="000000"/>
                <w:kern w:val="0"/>
              </w:rPr>
              <w:t>4</w:t>
            </w:r>
            <w:r>
              <w:rPr>
                <w:rFonts w:hint="eastAsia" w:ascii="Times New Roman" w:hAnsi="Times New Roman" w:eastAsia="仿宋" w:cs="仿宋"/>
                <w:color w:val="000000"/>
                <w:kern w:val="0"/>
              </w:rPr>
              <w:t>台</w:t>
            </w:r>
            <w:r>
              <w:rPr>
                <w:rFonts w:ascii="Times New Roman" w:hAnsi="Times New Roman" w:eastAsia="仿宋" w:cs="Times New Roman"/>
                <w:color w:val="000000"/>
                <w:kern w:val="0"/>
              </w:rPr>
              <w:t>3</w:t>
            </w:r>
            <w:r>
              <w:rPr>
                <w:rFonts w:hint="eastAsia" w:ascii="Times New Roman" w:hAnsi="Times New Roman" w:eastAsia="仿宋" w:cs="仿宋"/>
                <w:color w:val="000000"/>
                <w:kern w:val="0"/>
              </w:rPr>
              <w:t>吨电渣炉。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1193</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1728</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239</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精轧机主驱动改造项目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对厂区内精轧机主驱动系统进行改造升级。</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 xml:space="preserve">1200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信息化建设项目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对厂区内设备进行信息化升级，使生产设备更加趋向于信息化和智能化。</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 xml:space="preserve">1615 </w:t>
            </w:r>
          </w:p>
        </w:tc>
        <w:tc>
          <w:tcPr>
            <w:tcW w:w="328" w:type="pct"/>
            <w:tcBorders>
              <w:top w:val="single" w:color="000000" w:sz="8" w:space="0"/>
              <w:left w:val="single" w:color="000000" w:sz="8" w:space="0"/>
              <w:bottom w:val="single" w:color="000000" w:sz="8" w:space="0"/>
              <w:right w:val="single" w:color="000000" w:sz="8" w:space="0"/>
            </w:tcBorders>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均质高强度大规格高温合金及超高强度锻材工程化建设项目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新建一台</w:t>
            </w:r>
            <w:r>
              <w:rPr>
                <w:rFonts w:ascii="Times New Roman" w:hAnsi="Times New Roman" w:eastAsia="仿宋" w:cs="Times New Roman"/>
                <w:color w:val="000000"/>
                <w:kern w:val="0"/>
              </w:rPr>
              <w:t>30</w:t>
            </w:r>
            <w:r>
              <w:rPr>
                <w:rFonts w:hint="eastAsia" w:ascii="Times New Roman" w:hAnsi="Times New Roman" w:eastAsia="仿宋" w:cs="仿宋"/>
                <w:color w:val="000000"/>
                <w:kern w:val="0"/>
              </w:rPr>
              <w:t>吨真空感应炉、一台</w:t>
            </w:r>
            <w:r>
              <w:rPr>
                <w:rFonts w:ascii="Times New Roman" w:hAnsi="Times New Roman" w:eastAsia="仿宋" w:cs="Times New Roman"/>
                <w:color w:val="000000"/>
                <w:kern w:val="0"/>
              </w:rPr>
              <w:t>30</w:t>
            </w:r>
            <w:r>
              <w:rPr>
                <w:rFonts w:hint="eastAsia" w:ascii="Times New Roman" w:hAnsi="Times New Roman" w:eastAsia="仿宋" w:cs="仿宋"/>
                <w:color w:val="000000"/>
                <w:kern w:val="0"/>
              </w:rPr>
              <w:t>真空自耗炉及其附属设施建设项目。包含建筑投资、设备购置及安装</w:t>
            </w:r>
            <w:r>
              <w:rPr>
                <w:rFonts w:ascii="Times New Roman" w:hAnsi="Times New Roman" w:eastAsia="仿宋" w:cs="Times New Roman"/>
                <w:color w:val="000000"/>
                <w:kern w:val="0"/>
              </w:rPr>
              <w:t>,</w:t>
            </w:r>
            <w:r>
              <w:rPr>
                <w:rFonts w:hint="eastAsia" w:ascii="Times New Roman" w:hAnsi="Times New Roman" w:eastAsia="仿宋" w:cs="仿宋"/>
                <w:color w:val="000000"/>
                <w:kern w:val="0"/>
              </w:rPr>
              <w:t>原厂房拆除，新建快锻机等建设内容。</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65954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206405</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5187</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trHeight w:val="1779"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转炉节能环保升级</w:t>
            </w:r>
          </w:p>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kern w:val="0"/>
              </w:rPr>
            </w:pPr>
            <w:r>
              <w:rPr>
                <w:rFonts w:hint="eastAsia" w:ascii="Times New Roman" w:hAnsi="Times New Roman" w:eastAsia="仿宋" w:cs="仿宋"/>
                <w:color w:val="000000"/>
                <w:kern w:val="0"/>
              </w:rPr>
              <w:t>在公司厂区内建设</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座容量</w:t>
            </w:r>
            <w:r>
              <w:rPr>
                <w:rFonts w:ascii="Times New Roman" w:hAnsi="Times New Roman" w:eastAsia="仿宋" w:cs="Times New Roman"/>
                <w:color w:val="000000"/>
                <w:kern w:val="0"/>
              </w:rPr>
              <w:t>120</w:t>
            </w:r>
            <w:r>
              <w:rPr>
                <w:rFonts w:hint="eastAsia" w:ascii="Times New Roman" w:hAnsi="Times New Roman" w:eastAsia="仿宋" w:cs="仿宋"/>
                <w:color w:val="000000"/>
                <w:kern w:val="0"/>
              </w:rPr>
              <w:t>吨转炉及配套升级改造。新项目达产后，将对原有</w:t>
            </w:r>
            <w:r>
              <w:rPr>
                <w:rFonts w:ascii="Times New Roman" w:hAnsi="Times New Roman" w:eastAsia="仿宋" w:cs="Times New Roman"/>
                <w:color w:val="000000"/>
                <w:kern w:val="0"/>
              </w:rPr>
              <w:t>5</w:t>
            </w:r>
            <w:r>
              <w:rPr>
                <w:rFonts w:hint="eastAsia" w:ascii="Times New Roman" w:hAnsi="Times New Roman" w:eastAsia="仿宋" w:cs="仿宋"/>
                <w:color w:val="000000"/>
                <w:kern w:val="0"/>
              </w:rPr>
              <w:t>座转炉进行拆除处理。</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159156</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9</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860524</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5186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7</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物流信息中心</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kern w:val="0"/>
              </w:rPr>
            </w:pPr>
            <w:r>
              <w:rPr>
                <w:rFonts w:hint="eastAsia" w:ascii="Times New Roman" w:hAnsi="Times New Roman" w:eastAsia="仿宋" w:cs="仿宋"/>
                <w:color w:val="000000"/>
                <w:kern w:val="0"/>
              </w:rPr>
              <w:t>本项目占地面积为</w:t>
            </w:r>
            <w:r>
              <w:rPr>
                <w:rFonts w:ascii="Times New Roman" w:hAnsi="Times New Roman" w:eastAsia="仿宋" w:cs="Times New Roman"/>
                <w:color w:val="000000"/>
                <w:kern w:val="0"/>
              </w:rPr>
              <w:t>19355</w:t>
            </w:r>
            <w:r>
              <w:rPr>
                <w:rFonts w:hint="eastAsia" w:ascii="Times New Roman" w:hAnsi="Times New Roman" w:eastAsia="仿宋" w:cs="仿宋"/>
                <w:color w:val="000000"/>
                <w:kern w:val="0"/>
              </w:rPr>
              <w:t>平方米，建筑面积</w:t>
            </w:r>
            <w:r>
              <w:rPr>
                <w:rFonts w:ascii="Times New Roman" w:hAnsi="Times New Roman" w:eastAsia="仿宋" w:cs="Times New Roman"/>
                <w:color w:val="000000"/>
                <w:kern w:val="0"/>
              </w:rPr>
              <w:t xml:space="preserve"> 15643</w:t>
            </w:r>
            <w:r>
              <w:rPr>
                <w:rFonts w:hint="eastAsia" w:ascii="Times New Roman" w:hAnsi="Times New Roman" w:eastAsia="仿宋" w:cs="仿宋"/>
                <w:color w:val="000000"/>
                <w:kern w:val="0"/>
              </w:rPr>
              <w:t>平方米，由办公楼、物流信息中心等组成</w:t>
            </w:r>
            <w:r>
              <w:rPr>
                <w:rFonts w:hint="eastAsia" w:ascii="Times New Roman" w:hAnsi="Times New Roman" w:eastAsia="仿宋" w:cs="仿宋"/>
                <w:kern w:val="0"/>
              </w:rPr>
              <w:t>。</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5700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30</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8500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190</w:t>
            </w:r>
          </w:p>
        </w:tc>
      </w:tr>
      <w:tr>
        <w:tblPrEx>
          <w:tblCellMar>
            <w:top w:w="0" w:type="dxa"/>
            <w:left w:w="108" w:type="dxa"/>
            <w:bottom w:w="0" w:type="dxa"/>
            <w:right w:w="108" w:type="dxa"/>
          </w:tblCellMar>
        </w:tblPrEx>
        <w:trPr>
          <w:trHeight w:val="340"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kern w:val="0"/>
              </w:rPr>
            </w:pPr>
            <w:r>
              <w:rPr>
                <w:rFonts w:ascii="Times New Roman" w:hAnsi="Times New Roman" w:eastAsia="仿宋" w:cs="Times New Roman"/>
                <w:kern w:val="0"/>
              </w:rPr>
              <w:t>8</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智造中心</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kern w:val="0"/>
              </w:rPr>
            </w:pPr>
            <w:r>
              <w:rPr>
                <w:rFonts w:hint="eastAsia" w:ascii="Times New Roman" w:hAnsi="Times New Roman" w:eastAsia="仿宋" w:cs="仿宋"/>
                <w:color w:val="000000"/>
                <w:kern w:val="0"/>
              </w:rPr>
              <w:t>建设四层楼，为公司厂区核心，生产中枢，为集调、集控中</w:t>
            </w:r>
            <w:r>
              <w:rPr>
                <w:rFonts w:hint="eastAsia" w:ascii="Times New Roman" w:hAnsi="Times New Roman" w:eastAsia="仿宋" w:cs="仿宋"/>
                <w:kern w:val="0"/>
              </w:rPr>
              <w:t>心。</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3000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15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200</w:t>
            </w:r>
          </w:p>
        </w:tc>
      </w:tr>
      <w:tr>
        <w:tblPrEx>
          <w:tblCellMar>
            <w:top w:w="0" w:type="dxa"/>
            <w:left w:w="108" w:type="dxa"/>
            <w:bottom w:w="0" w:type="dxa"/>
            <w:right w:w="108" w:type="dxa"/>
          </w:tblCellMar>
        </w:tblPrEx>
        <w:trPr>
          <w:trHeight w:val="788"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9</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抚顺铝业环保综合</w:t>
            </w:r>
          </w:p>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治理项目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kern w:val="0"/>
              </w:rPr>
            </w:pPr>
            <w:r>
              <w:rPr>
                <w:rFonts w:hint="eastAsia" w:ascii="Times New Roman" w:hAnsi="Times New Roman" w:eastAsia="仿宋" w:cs="仿宋"/>
                <w:color w:val="000000"/>
                <w:kern w:val="0"/>
              </w:rPr>
              <w:t>对</w:t>
            </w:r>
            <w:r>
              <w:rPr>
                <w:rFonts w:ascii="Times New Roman" w:hAnsi="Times New Roman" w:eastAsia="仿宋" w:cs="Times New Roman"/>
                <w:color w:val="000000"/>
                <w:kern w:val="0"/>
              </w:rPr>
              <w:t>18</w:t>
            </w:r>
            <w:r>
              <w:rPr>
                <w:rFonts w:hint="eastAsia" w:ascii="Times New Roman" w:hAnsi="Times New Roman" w:eastAsia="仿宋" w:cs="仿宋"/>
                <w:color w:val="000000"/>
                <w:kern w:val="0"/>
              </w:rPr>
              <w:t>万吨阳极炭素生产线进行环保治理升级。</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5500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trHeight w:val="1699"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10</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锦宇隆矿业公司资产</w:t>
            </w:r>
          </w:p>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盘活改造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清原满族自治县锦宇隆矿业有限公司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color w:val="000000"/>
                <w:kern w:val="0"/>
              </w:rPr>
              <w:t>续建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kern w:val="0"/>
              </w:rPr>
            </w:pPr>
            <w:r>
              <w:rPr>
                <w:rFonts w:hint="eastAsia" w:ascii="Times New Roman" w:hAnsi="Times New Roman" w:eastAsia="仿宋" w:cs="仿宋"/>
                <w:color w:val="000000"/>
                <w:kern w:val="0"/>
              </w:rPr>
              <w:t>盘活企业闲置资产，三十万吨选矿厂改造。包括厂房、鄂破、圆锥、球磨、分级、磁选等主要设备及其配套附属设备设施更新</w:t>
            </w:r>
            <w:r>
              <w:rPr>
                <w:rFonts w:hint="eastAsia" w:ascii="Times New Roman" w:hAnsi="Times New Roman" w:eastAsia="仿宋" w:cs="仿宋"/>
                <w:kern w:val="0"/>
              </w:rPr>
              <w:t>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50000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75000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4500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trHeight w:val="1397" w:hRule="atLeast"/>
        </w:trPr>
        <w:tc>
          <w:tcPr>
            <w:tcW w:w="182" w:type="pct"/>
            <w:gridSpan w:val="2"/>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高合金小棒材生产线</w:t>
            </w:r>
          </w:p>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技术改造工程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rPr>
            </w:pPr>
            <w:r>
              <w:rPr>
                <w:rFonts w:hint="eastAsia" w:ascii="Times New Roman" w:hAnsi="Times New Roman" w:eastAsia="仿宋" w:cs="仿宋"/>
                <w:kern w:val="0"/>
              </w:rPr>
              <w:t>布置</w:t>
            </w:r>
            <w:r>
              <w:rPr>
                <w:rFonts w:ascii="Times New Roman" w:hAnsi="Times New Roman" w:eastAsia="仿宋" w:cs="Times New Roman"/>
                <w:kern w:val="0"/>
              </w:rPr>
              <w:t>650</w:t>
            </w:r>
            <w:r>
              <w:rPr>
                <w:rFonts w:hint="eastAsia" w:ascii="Times New Roman" w:hAnsi="Times New Roman" w:eastAsia="仿宋" w:cs="仿宋"/>
                <w:kern w:val="0"/>
              </w:rPr>
              <w:t>初轧机、小圆加热炉、</w:t>
            </w:r>
            <w:r>
              <w:rPr>
                <w:rFonts w:ascii="Times New Roman" w:hAnsi="Times New Roman" w:eastAsia="仿宋" w:cs="Times New Roman"/>
                <w:kern w:val="0"/>
              </w:rPr>
              <w:t>16</w:t>
            </w:r>
            <w:r>
              <w:rPr>
                <w:rFonts w:hint="eastAsia" w:ascii="Times New Roman" w:hAnsi="Times New Roman" w:eastAsia="仿宋" w:cs="仿宋"/>
                <w:kern w:val="0"/>
              </w:rPr>
              <w:t>架连轧机组及线材机组、轧线辅助设备、退火炉、矫直机及探伤设备等设施。</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rPr>
            </w:pPr>
            <w:r>
              <w:rPr>
                <w:rFonts w:ascii="Times New Roman" w:hAnsi="Times New Roman" w:eastAsia="仿宋" w:cs="Times New Roman"/>
                <w:color w:val="000000"/>
                <w:kern w:val="0"/>
              </w:rPr>
              <w:t>18226</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60</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148182</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6481</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304</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rPr>
            </w:pPr>
            <w:r>
              <w:rPr>
                <w:rFonts w:ascii="Times New Roman" w:hAnsi="Times New Roman" w:eastAsia="仿宋" w:cs="Times New Roman"/>
                <w:color w:val="000000"/>
              </w:rPr>
              <w:t>12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抚顺特钢轴承钢项目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该项目为工业技改项目，主要升级技术制造高强度军用轴承钢</w:t>
            </w:r>
            <w:r>
              <w:rPr>
                <w:rFonts w:hint="eastAsia" w:ascii="Times New Roman" w:hAnsi="Times New Roman" w:eastAsia="仿宋" w:cs="仿宋"/>
                <w:kern w:val="0"/>
              </w:rPr>
              <w:t>。</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70544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151880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22285</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rPr>
            </w:pPr>
            <w:r>
              <w:rPr>
                <w:rFonts w:ascii="Times New Roman" w:hAnsi="Times New Roman" w:eastAsia="仿宋" w:cs="Times New Roman"/>
                <w:color w:val="000000"/>
              </w:rPr>
              <w:t>13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物资管理处废钢置厂</w:t>
            </w:r>
          </w:p>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封闭改造工程</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抚顺特殊钢股份有限公司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新建</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启动对</w:t>
            </w:r>
            <w:r>
              <w:rPr>
                <w:rFonts w:ascii="Times New Roman" w:hAnsi="Times New Roman" w:eastAsia="仿宋" w:cs="Times New Roman"/>
                <w:color w:val="000000"/>
                <w:kern w:val="0"/>
              </w:rPr>
              <w:t>11</w:t>
            </w:r>
            <w:r>
              <w:rPr>
                <w:rFonts w:hint="eastAsia" w:ascii="Times New Roman" w:hAnsi="Times New Roman" w:eastAsia="仿宋" w:cs="仿宋"/>
                <w:color w:val="000000"/>
                <w:kern w:val="0"/>
              </w:rPr>
              <w:t>道、</w:t>
            </w:r>
            <w:r>
              <w:rPr>
                <w:rFonts w:ascii="Times New Roman" w:hAnsi="Times New Roman" w:eastAsia="仿宋" w:cs="Times New Roman"/>
                <w:color w:val="000000"/>
                <w:kern w:val="0"/>
              </w:rPr>
              <w:t>12</w:t>
            </w:r>
            <w:r>
              <w:rPr>
                <w:rFonts w:hint="eastAsia" w:ascii="Times New Roman" w:hAnsi="Times New Roman" w:eastAsia="仿宋" w:cs="仿宋"/>
                <w:color w:val="000000"/>
                <w:kern w:val="0"/>
              </w:rPr>
              <w:t>道废钢置场封闭项目</w:t>
            </w:r>
            <w:r>
              <w:rPr>
                <w:rFonts w:ascii="Times New Roman" w:hAnsi="Times New Roman" w:eastAsia="仿宋" w:cs="Times New Roman"/>
                <w:color w:val="000000"/>
                <w:kern w:val="0"/>
              </w:rPr>
              <w:t>,</w:t>
            </w:r>
            <w:r>
              <w:rPr>
                <w:rFonts w:hint="eastAsia" w:ascii="Times New Roman" w:hAnsi="Times New Roman" w:eastAsia="仿宋" w:cs="仿宋"/>
                <w:color w:val="000000"/>
                <w:kern w:val="0"/>
              </w:rPr>
              <w:t>以满足相关法规及排污许可证整改要求，同时对厂区内其它废钢存放场所及新增的露天废钢置场进行整体规划，逐步实施封闭料仓建设。</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1450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121</w:t>
            </w:r>
          </w:p>
        </w:tc>
      </w:tr>
      <w:tr>
        <w:tblPrEx>
          <w:tblCellMar>
            <w:top w:w="0" w:type="dxa"/>
            <w:left w:w="108" w:type="dxa"/>
            <w:bottom w:w="0" w:type="dxa"/>
            <w:right w:w="108" w:type="dxa"/>
          </w:tblCellMar>
        </w:tblPrEx>
        <w:trPr>
          <w:gridBefore w:val="1"/>
          <w:wBefore w:w="15" w:type="dxa"/>
          <w:trHeight w:val="2551"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烧结及带式焙烧球团</w:t>
            </w:r>
          </w:p>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kern w:val="0"/>
                <w:shd w:val="clear" w:color="auto" w:fill="FFFFFF"/>
              </w:rPr>
              <w:t>改</w:t>
            </w:r>
            <w:r>
              <w:rPr>
                <w:rFonts w:ascii="Times New Roman" w:hAnsi="Times New Roman" w:eastAsia="仿宋" w:cs="Times New Roman"/>
                <w:kern w:val="0"/>
                <w:shd w:val="clear" w:color="auto" w:fill="FFFFFF"/>
              </w:rPr>
              <w:t>180</w:t>
            </w:r>
            <w:r>
              <w:rPr>
                <w:rFonts w:hint="eastAsia" w:ascii="Times New Roman" w:hAnsi="Times New Roman" w:eastAsia="仿宋" w:cs="仿宋"/>
                <w:kern w:val="0"/>
                <w:shd w:val="clear" w:color="auto" w:fill="FFFFFF"/>
              </w:rPr>
              <w:t>平烧结机为</w:t>
            </w:r>
            <w:r>
              <w:rPr>
                <w:rFonts w:ascii="Times New Roman" w:hAnsi="Times New Roman" w:eastAsia="仿宋" w:cs="Times New Roman"/>
                <w:kern w:val="0"/>
                <w:shd w:val="clear" w:color="auto" w:fill="FFFFFF"/>
              </w:rPr>
              <w:t>200</w:t>
            </w:r>
            <w:r>
              <w:rPr>
                <w:rFonts w:hint="eastAsia" w:ascii="Times New Roman" w:hAnsi="Times New Roman" w:eastAsia="仿宋" w:cs="仿宋"/>
                <w:kern w:val="0"/>
                <w:shd w:val="clear" w:color="auto" w:fill="FFFFFF"/>
              </w:rPr>
              <w:t>平，同时拆除</w:t>
            </w:r>
            <w:r>
              <w:rPr>
                <w:rFonts w:ascii="Times New Roman" w:hAnsi="Times New Roman" w:eastAsia="仿宋" w:cs="Times New Roman"/>
                <w:kern w:val="0"/>
                <w:shd w:val="clear" w:color="auto" w:fill="FFFFFF"/>
              </w:rPr>
              <w:t>90</w:t>
            </w:r>
            <w:r>
              <w:rPr>
                <w:rFonts w:hint="eastAsia" w:ascii="Times New Roman" w:hAnsi="Times New Roman" w:eastAsia="仿宋" w:cs="仿宋"/>
                <w:kern w:val="0"/>
                <w:shd w:val="clear" w:color="auto" w:fill="FFFFFF"/>
              </w:rPr>
              <w:t>平烧结机，新建</w:t>
            </w:r>
            <w:r>
              <w:rPr>
                <w:rFonts w:ascii="Times New Roman" w:hAnsi="Times New Roman" w:eastAsia="仿宋" w:cs="Times New Roman"/>
                <w:kern w:val="0"/>
                <w:shd w:val="clear" w:color="auto" w:fill="FFFFFF"/>
              </w:rPr>
              <w:t>400</w:t>
            </w:r>
            <w:r>
              <w:rPr>
                <w:rFonts w:hint="eastAsia" w:ascii="Times New Roman" w:hAnsi="Times New Roman" w:eastAsia="仿宋" w:cs="仿宋"/>
                <w:kern w:val="0"/>
                <w:shd w:val="clear" w:color="auto" w:fill="FFFFFF"/>
              </w:rPr>
              <w:t>万</w:t>
            </w:r>
            <w:r>
              <w:rPr>
                <w:rFonts w:ascii="Times New Roman" w:hAnsi="Times New Roman" w:eastAsia="仿宋" w:cs="Times New Roman"/>
                <w:kern w:val="0"/>
                <w:shd w:val="clear" w:color="auto" w:fill="FFFFFF"/>
              </w:rPr>
              <w:t>t</w:t>
            </w:r>
            <w:r>
              <w:rPr>
                <w:rFonts w:hint="eastAsia" w:ascii="Times New Roman" w:hAnsi="Times New Roman" w:eastAsia="仿宋" w:cs="仿宋"/>
                <w:kern w:val="0"/>
                <w:shd w:val="clear" w:color="auto" w:fill="FFFFFF"/>
              </w:rPr>
              <w:t>带式焙烧球团，同时拆除</w:t>
            </w:r>
            <w:r>
              <w:rPr>
                <w:rFonts w:ascii="Times New Roman" w:hAnsi="Times New Roman" w:eastAsia="仿宋" w:cs="Times New Roman"/>
                <w:kern w:val="0"/>
                <w:shd w:val="clear" w:color="auto" w:fill="FFFFFF"/>
              </w:rPr>
              <w:t>3</w:t>
            </w:r>
            <w:r>
              <w:rPr>
                <w:rFonts w:hint="eastAsia" w:ascii="Times New Roman" w:hAnsi="Times New Roman" w:eastAsia="仿宋" w:cs="仿宋"/>
                <w:kern w:val="0"/>
                <w:shd w:val="clear" w:color="auto" w:fill="FFFFFF"/>
              </w:rPr>
              <w:t>台竖炉球团，即降低了污染较重的烧结生产产能，同时根除了污染较重的落后工艺设备。</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82000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32800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1300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125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新建制氧机组</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本项目新建缺氧机组及相关配套设施</w:t>
            </w:r>
            <w:r>
              <w:rPr>
                <w:rFonts w:hint="eastAsia" w:ascii="Times New Roman" w:hAnsi="Times New Roman" w:eastAsia="仿宋" w:cs="仿宋"/>
                <w:kern w:val="0"/>
              </w:rPr>
              <w:t>。</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21000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17600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1056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highlight w:val="red"/>
              </w:rPr>
            </w:pPr>
            <w:r>
              <w:rPr>
                <w:rFonts w:hint="eastAsia" w:ascii="Times New Roman" w:hAnsi="Times New Roman" w:eastAsia="仿宋" w:cs="仿宋"/>
                <w:color w:val="000000"/>
                <w:kern w:val="0"/>
              </w:rPr>
              <w:t>双高线改造</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新建双高线，包括高架式厂房、主体设备、加热炉及上料系统、水电等辅助系统。</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48000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44000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2640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889</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17</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利用转炉放散煤气生产炼钢造渣剂项目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新建</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座活性石灰双膛窑，年产</w:t>
            </w:r>
            <w:r>
              <w:rPr>
                <w:rFonts w:ascii="Times New Roman" w:hAnsi="Times New Roman" w:eastAsia="仿宋" w:cs="Times New Roman"/>
                <w:color w:val="000000"/>
                <w:kern w:val="0"/>
              </w:rPr>
              <w:t>20</w:t>
            </w:r>
            <w:r>
              <w:rPr>
                <w:rFonts w:hint="eastAsia" w:ascii="Times New Roman" w:hAnsi="Times New Roman" w:eastAsia="仿宋" w:cs="仿宋"/>
                <w:color w:val="000000"/>
                <w:kern w:val="0"/>
              </w:rPr>
              <w:t>万吨。</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18</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6600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396</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306</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rPr>
            </w:pPr>
            <w:r>
              <w:rPr>
                <w:rFonts w:ascii="Times New Roman" w:hAnsi="Times New Roman" w:eastAsia="仿宋" w:cs="Times New Roman"/>
                <w:color w:val="000000"/>
              </w:rPr>
              <w:t>18</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高炉升级改造项目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建设</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座有效容积</w:t>
            </w:r>
            <w:r>
              <w:rPr>
                <w:rFonts w:ascii="Times New Roman" w:hAnsi="Times New Roman" w:eastAsia="仿宋" w:cs="Times New Roman"/>
                <w:color w:val="000000"/>
                <w:kern w:val="0"/>
              </w:rPr>
              <w:t>1200m</w:t>
            </w:r>
            <w:r>
              <w:rPr>
                <w:rFonts w:ascii="Times New Roman" w:hAnsi="Times New Roman" w:eastAsia="仿宋" w:cs="Times New Roman"/>
                <w:color w:val="000000"/>
                <w:kern w:val="0"/>
                <w:vertAlign w:val="superscript"/>
              </w:rPr>
              <w:t>3</w:t>
            </w:r>
            <w:r>
              <w:rPr>
                <w:rFonts w:hint="eastAsia" w:ascii="Times New Roman" w:hAnsi="Times New Roman" w:eastAsia="仿宋" w:cs="仿宋"/>
                <w:color w:val="000000"/>
                <w:kern w:val="0"/>
              </w:rPr>
              <w:t>及</w:t>
            </w:r>
            <w:r>
              <w:rPr>
                <w:rFonts w:ascii="Times New Roman" w:hAnsi="Times New Roman" w:eastAsia="仿宋" w:cs="Times New Roman"/>
                <w:color w:val="000000"/>
                <w:kern w:val="0"/>
              </w:rPr>
              <w:t>1</w:t>
            </w:r>
            <w:r>
              <w:rPr>
                <w:rFonts w:hint="eastAsia" w:ascii="Times New Roman" w:hAnsi="Times New Roman" w:eastAsia="仿宋" w:cs="仿宋"/>
                <w:color w:val="000000"/>
                <w:kern w:val="0"/>
              </w:rPr>
              <w:t>座熔融还原炉。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190000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highlight w:val="red"/>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highlight w:val="red"/>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5846"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19</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基于“</w:t>
            </w:r>
            <w:r>
              <w:rPr>
                <w:rFonts w:ascii="Times New Roman" w:hAnsi="Times New Roman" w:eastAsia="仿宋" w:cs="Times New Roman"/>
                <w:color w:val="000000"/>
                <w:kern w:val="0"/>
              </w:rPr>
              <w:t>5G+</w:t>
            </w:r>
            <w:r>
              <w:rPr>
                <w:rFonts w:hint="eastAsia" w:ascii="Times New Roman" w:hAnsi="Times New Roman" w:eastAsia="仿宋" w:cs="仿宋"/>
                <w:color w:val="000000"/>
                <w:kern w:val="0"/>
              </w:rPr>
              <w:t>冶金全流程”的智能制造及控制中心建设项目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以</w:t>
            </w:r>
            <w:r>
              <w:rPr>
                <w:rFonts w:ascii="Times New Roman" w:hAnsi="Times New Roman" w:eastAsia="仿宋" w:cs="Times New Roman"/>
                <w:color w:val="000000"/>
                <w:kern w:val="0"/>
              </w:rPr>
              <w:t>5G</w:t>
            </w:r>
            <w:r>
              <w:rPr>
                <w:rFonts w:hint="eastAsia" w:ascii="Times New Roman" w:hAnsi="Times New Roman" w:eastAsia="仿宋" w:cs="仿宋"/>
                <w:color w:val="000000"/>
                <w:kern w:val="0"/>
              </w:rPr>
              <w:t>和厂区专网改造建设为依托，以集中控制（公司集调、煤气、炼铁、炼钢、轧钢、能源等集控）、冶金协同、专业融合为基本精神，打破厂部级物理边界，实施从原料至产品制造流程化的新管控模式，全面推行“一个中心管到底”。利用</w:t>
            </w:r>
            <w:r>
              <w:rPr>
                <w:rFonts w:ascii="Times New Roman" w:hAnsi="Times New Roman" w:eastAsia="仿宋" w:cs="Times New Roman"/>
                <w:color w:val="000000"/>
                <w:kern w:val="0"/>
              </w:rPr>
              <w:t>5G+</w:t>
            </w:r>
            <w:r>
              <w:rPr>
                <w:rFonts w:hint="eastAsia" w:ascii="Times New Roman" w:hAnsi="Times New Roman" w:eastAsia="仿宋" w:cs="仿宋"/>
                <w:color w:val="000000"/>
                <w:kern w:val="0"/>
              </w:rPr>
              <w:t>物联网的成本优势，采集</w:t>
            </w:r>
            <w:r>
              <w:rPr>
                <w:rFonts w:ascii="Times New Roman" w:hAnsi="Times New Roman" w:eastAsia="仿宋" w:cs="Times New Roman"/>
                <w:color w:val="000000"/>
                <w:kern w:val="0"/>
              </w:rPr>
              <w:t>PLC</w:t>
            </w:r>
            <w:r>
              <w:rPr>
                <w:rFonts w:hint="eastAsia" w:ascii="Times New Roman" w:hAnsi="Times New Roman" w:eastAsia="仿宋" w:cs="仿宋"/>
                <w:color w:val="000000"/>
                <w:kern w:val="0"/>
              </w:rPr>
              <w:t>尚未涉及的设备与生产节奏数据，依据公司内部管理需求与缺口，建设适合自身需要的新领域</w:t>
            </w:r>
            <w:r>
              <w:rPr>
                <w:rFonts w:ascii="Times New Roman" w:hAnsi="Times New Roman" w:eastAsia="仿宋" w:cs="Times New Roman"/>
                <w:color w:val="000000"/>
                <w:kern w:val="0"/>
              </w:rPr>
              <w:t>/</w:t>
            </w:r>
            <w:r>
              <w:rPr>
                <w:rFonts w:hint="eastAsia" w:ascii="Times New Roman" w:hAnsi="Times New Roman" w:eastAsia="仿宋" w:cs="仿宋"/>
                <w:color w:val="000000"/>
                <w:kern w:val="0"/>
              </w:rPr>
              <w:t>维度管理系统工具，同时开始探索新的前沿技术的应用：</w:t>
            </w:r>
            <w:r>
              <w:rPr>
                <w:rFonts w:ascii="Times New Roman" w:hAnsi="Times New Roman" w:eastAsia="仿宋" w:cs="Times New Roman"/>
                <w:color w:val="000000"/>
                <w:kern w:val="0"/>
              </w:rPr>
              <w:t>3D</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HUD</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API</w:t>
            </w:r>
            <w:r>
              <w:rPr>
                <w:rFonts w:hint="eastAsia" w:ascii="Times New Roman" w:hAnsi="Times New Roman" w:eastAsia="仿宋" w:cs="仿宋"/>
                <w:color w:val="000000"/>
                <w:kern w:val="0"/>
              </w:rPr>
              <w:t>、无人车、</w:t>
            </w:r>
            <w:r>
              <w:rPr>
                <w:rFonts w:ascii="Times New Roman" w:hAnsi="Times New Roman" w:eastAsia="仿宋" w:cs="Times New Roman"/>
                <w:color w:val="000000"/>
                <w:kern w:val="0"/>
              </w:rPr>
              <w:t>5G</w:t>
            </w:r>
            <w:r>
              <w:rPr>
                <w:rFonts w:hint="eastAsia" w:ascii="Times New Roman" w:hAnsi="Times New Roman" w:eastAsia="仿宋" w:cs="仿宋"/>
                <w:color w:val="000000"/>
                <w:kern w:val="0"/>
              </w:rPr>
              <w:t>、大数据、</w:t>
            </w:r>
            <w:r>
              <w:rPr>
                <w:rFonts w:ascii="Times New Roman" w:hAnsi="Times New Roman" w:eastAsia="仿宋" w:cs="Times New Roman"/>
                <w:color w:val="000000"/>
                <w:kern w:val="0"/>
              </w:rPr>
              <w:t>AI</w:t>
            </w:r>
            <w:r>
              <w:rPr>
                <w:rFonts w:hint="eastAsia" w:ascii="Times New Roman" w:hAnsi="Times New Roman" w:eastAsia="仿宋" w:cs="仿宋"/>
                <w:color w:val="000000"/>
                <w:kern w:val="0"/>
              </w:rPr>
              <w:t>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5012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2905"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钢筋深加工项目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利用南厂区共计</w:t>
            </w:r>
            <w:r>
              <w:rPr>
                <w:rFonts w:ascii="Times New Roman" w:hAnsi="Times New Roman" w:eastAsia="仿宋" w:cs="Times New Roman"/>
                <w:color w:val="000000"/>
                <w:kern w:val="0"/>
              </w:rPr>
              <w:t>5670</w:t>
            </w:r>
            <w:r>
              <w:rPr>
                <w:rFonts w:hint="eastAsia" w:ascii="Times New Roman" w:hAnsi="Times New Roman" w:eastAsia="仿宋" w:cs="仿宋"/>
                <w:color w:val="000000"/>
                <w:kern w:val="0"/>
              </w:rPr>
              <w:t>㎡厂房，改建钢筋加工厂区（</w:t>
            </w:r>
            <w:r>
              <w:rPr>
                <w:rFonts w:ascii="Times New Roman" w:hAnsi="Times New Roman" w:eastAsia="仿宋" w:cs="Times New Roman"/>
                <w:color w:val="000000"/>
                <w:kern w:val="0"/>
              </w:rPr>
              <w:t>D</w:t>
            </w:r>
            <w:r>
              <w:rPr>
                <w:rFonts w:hint="eastAsia" w:ascii="Times New Roman" w:hAnsi="Times New Roman" w:eastAsia="仿宋" w:cs="仿宋"/>
                <w:color w:val="000000"/>
                <w:kern w:val="0"/>
              </w:rPr>
              <w:t>区、</w:t>
            </w:r>
            <w:r>
              <w:rPr>
                <w:rFonts w:ascii="Times New Roman" w:hAnsi="Times New Roman" w:eastAsia="仿宋" w:cs="Times New Roman"/>
                <w:color w:val="000000"/>
                <w:kern w:val="0"/>
              </w:rPr>
              <w:t>F</w:t>
            </w:r>
            <w:r>
              <w:rPr>
                <w:rFonts w:hint="eastAsia" w:ascii="Times New Roman" w:hAnsi="Times New Roman" w:eastAsia="仿宋" w:cs="仿宋"/>
                <w:color w:val="000000"/>
                <w:kern w:val="0"/>
              </w:rPr>
              <w:t>区），修缮量化厂房，修复原有天车及电力设备、添置新设备，同时新建</w:t>
            </w:r>
            <w:r>
              <w:rPr>
                <w:rFonts w:ascii="Times New Roman" w:hAnsi="Times New Roman" w:eastAsia="仿宋" w:cs="Times New Roman"/>
                <w:color w:val="000000"/>
                <w:kern w:val="0"/>
              </w:rPr>
              <w:t>E</w:t>
            </w:r>
            <w:r>
              <w:rPr>
                <w:rFonts w:hint="eastAsia" w:ascii="Times New Roman" w:hAnsi="Times New Roman" w:eastAsia="仿宋" w:cs="仿宋"/>
                <w:color w:val="000000"/>
                <w:kern w:val="0"/>
              </w:rPr>
              <w:t>厂区</w:t>
            </w:r>
            <w:r>
              <w:rPr>
                <w:rFonts w:ascii="Times New Roman" w:hAnsi="Times New Roman" w:eastAsia="仿宋" w:cs="Times New Roman"/>
                <w:color w:val="000000"/>
                <w:kern w:val="0"/>
              </w:rPr>
              <w:t>2200</w:t>
            </w:r>
            <w:r>
              <w:rPr>
                <w:rFonts w:hint="eastAsia" w:ascii="Times New Roman" w:hAnsi="Times New Roman" w:eastAsia="仿宋" w:cs="仿宋"/>
                <w:color w:val="000000"/>
                <w:kern w:val="0"/>
              </w:rPr>
              <w:t>㎡，使钢筋深加工整体达到年产</w:t>
            </w:r>
            <w:r>
              <w:rPr>
                <w:rFonts w:ascii="Times New Roman" w:hAnsi="Times New Roman" w:eastAsia="仿宋" w:cs="Times New Roman"/>
                <w:color w:val="000000"/>
                <w:kern w:val="0"/>
              </w:rPr>
              <w:t>6</w:t>
            </w:r>
            <w:r>
              <w:rPr>
                <w:rFonts w:hint="eastAsia" w:ascii="Times New Roman" w:hAnsi="Times New Roman" w:eastAsia="仿宋" w:cs="仿宋"/>
                <w:color w:val="000000"/>
                <w:kern w:val="0"/>
              </w:rPr>
              <w:t>万吨成型钢筋的能力。</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1517"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21</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高炉大数据智能降碳关键技术研发与应用</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抚顺新钢铁有限责任公司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项目包含</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部分，</w:t>
            </w:r>
            <w:r>
              <w:rPr>
                <w:rFonts w:ascii="Times New Roman" w:hAnsi="Times New Roman" w:eastAsia="仿宋" w:cs="Times New Roman"/>
                <w:color w:val="000000"/>
                <w:kern w:val="0"/>
              </w:rPr>
              <w:t>1.</w:t>
            </w:r>
            <w:r>
              <w:rPr>
                <w:rFonts w:hint="eastAsia" w:ascii="Times New Roman" w:hAnsi="Times New Roman" w:eastAsia="仿宋" w:cs="仿宋"/>
                <w:color w:val="000000"/>
                <w:kern w:val="0"/>
              </w:rPr>
              <w:t>铁前原燃料系统智能化、节能化及绿色物流升级；</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低碳智能化冶炼平台系统建设。</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127122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1113"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22</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铝</w:t>
            </w:r>
            <w:r>
              <w:rPr>
                <w:rFonts w:hint="eastAsia" w:ascii="Times New Roman" w:hAnsi="Times New Roman" w:eastAsia="仿宋" w:cs="仿宋"/>
                <w:kern w:val="0"/>
              </w:rPr>
              <w:t>用阳极</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利用现有土地、厂房、供电和公辅设施，投资相应生产及运行设备。</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1116"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23</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仓储流通</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抚顺铝业有限公司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利用现有土地、厂房、供电和公辅设施，投资相应生产及运行设备</w:t>
            </w:r>
            <w:r>
              <w:rPr>
                <w:rFonts w:hint="eastAsia" w:ascii="Times New Roman" w:hAnsi="Times New Roman" w:eastAsia="仿宋" w:cs="仿宋"/>
                <w:kern w:val="0"/>
              </w:rPr>
              <w:t>。</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24</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闲置资产盘活项目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抚顺创新特种炭素有限公司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通过设备更新改造，实现闲置资产盘活</w:t>
            </w:r>
            <w:r>
              <w:rPr>
                <w:rFonts w:hint="eastAsia" w:ascii="Times New Roman" w:hAnsi="Times New Roman" w:eastAsia="仿宋" w:cs="仿宋"/>
                <w:kern w:val="0"/>
              </w:rPr>
              <w:t>。</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7000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1500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90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rPr>
            </w:pPr>
            <w:r>
              <w:rPr>
                <w:rFonts w:ascii="Times New Roman" w:hAnsi="Times New Roman" w:eastAsia="仿宋" w:cs="Times New Roman"/>
                <w:color w:val="000000"/>
              </w:rPr>
              <w:t>25</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rPr>
              <w:t>铝合金电弧熔丝增材及智能制造应用产业化</w:t>
            </w:r>
          </w:p>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rPr>
              <w:t>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rPr>
              <w:t>抚顺东工冶金材料技术有限公司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rPr>
              <w:t>新建工业化厂房</w:t>
            </w:r>
            <w:r>
              <w:rPr>
                <w:rFonts w:ascii="Times New Roman" w:hAnsi="Times New Roman" w:eastAsia="仿宋" w:cs="Times New Roman"/>
                <w:color w:val="000000"/>
              </w:rPr>
              <w:t>9200</w:t>
            </w:r>
            <w:r>
              <w:rPr>
                <w:rFonts w:hint="eastAsia" w:ascii="Times New Roman" w:hAnsi="Times New Roman" w:eastAsia="仿宋" w:cs="仿宋"/>
                <w:color w:val="000000"/>
              </w:rPr>
              <w:t>平方米、测试中心</w:t>
            </w:r>
            <w:r>
              <w:rPr>
                <w:rFonts w:ascii="Times New Roman" w:hAnsi="Times New Roman" w:eastAsia="仿宋" w:cs="Times New Roman"/>
                <w:color w:val="000000"/>
              </w:rPr>
              <w:t>2040</w:t>
            </w:r>
            <w:r>
              <w:rPr>
                <w:rFonts w:hint="eastAsia" w:ascii="Times New Roman" w:hAnsi="Times New Roman" w:eastAsia="仿宋" w:cs="仿宋"/>
                <w:color w:val="000000"/>
              </w:rPr>
              <w:t>平方米、生产服务性设施</w:t>
            </w:r>
            <w:r>
              <w:rPr>
                <w:rFonts w:ascii="Times New Roman" w:hAnsi="Times New Roman" w:eastAsia="仿宋" w:cs="Times New Roman"/>
                <w:color w:val="000000"/>
              </w:rPr>
              <w:t>3800</w:t>
            </w:r>
            <w:r>
              <w:rPr>
                <w:rFonts w:hint="eastAsia" w:ascii="Times New Roman" w:hAnsi="Times New Roman" w:eastAsia="仿宋" w:cs="仿宋"/>
                <w:color w:val="000000"/>
              </w:rPr>
              <w:t>平方米；购置电弧熔丝增材制造设备</w:t>
            </w:r>
            <w:r>
              <w:rPr>
                <w:rFonts w:ascii="Times New Roman" w:hAnsi="Times New Roman" w:eastAsia="仿宋" w:cs="Times New Roman"/>
                <w:color w:val="000000"/>
              </w:rPr>
              <w:t>95</w:t>
            </w:r>
            <w:r>
              <w:rPr>
                <w:rFonts w:hint="eastAsia" w:ascii="Times New Roman" w:hAnsi="Times New Roman" w:eastAsia="仿宋" w:cs="仿宋"/>
                <w:color w:val="000000"/>
              </w:rPr>
              <w:t>台套，形成年产电弧熔丝增材制造专用铝合金材料</w:t>
            </w:r>
            <w:r>
              <w:rPr>
                <w:rFonts w:ascii="Times New Roman" w:hAnsi="Times New Roman" w:eastAsia="仿宋" w:cs="Times New Roman"/>
                <w:color w:val="000000"/>
              </w:rPr>
              <w:t>1000</w:t>
            </w:r>
            <w:r>
              <w:rPr>
                <w:rFonts w:hint="eastAsia" w:ascii="Times New Roman" w:hAnsi="Times New Roman" w:eastAsia="仿宋" w:cs="仿宋"/>
                <w:color w:val="000000"/>
              </w:rPr>
              <w:t>吨、电弧熔丝增材制造结构件</w:t>
            </w:r>
            <w:r>
              <w:rPr>
                <w:rFonts w:ascii="Times New Roman" w:hAnsi="Times New Roman" w:eastAsia="仿宋" w:cs="Times New Roman"/>
                <w:color w:val="000000"/>
              </w:rPr>
              <w:t>2500</w:t>
            </w:r>
            <w:r>
              <w:rPr>
                <w:rFonts w:hint="eastAsia" w:ascii="Times New Roman" w:hAnsi="Times New Roman" w:eastAsia="仿宋" w:cs="仿宋"/>
                <w:color w:val="000000"/>
              </w:rPr>
              <w:t>件产业化的生产能力。</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26000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55</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45000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3500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473</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26</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捷通铜丝生产线</w:t>
            </w:r>
          </w:p>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辽宁捷通机械制造有限公司</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rPr>
            </w:pPr>
            <w:r>
              <w:rPr>
                <w:rFonts w:hint="eastAsia" w:ascii="Times New Roman" w:hAnsi="Times New Roman" w:eastAsia="仿宋" w:cs="仿宋"/>
                <w:color w:val="000000"/>
                <w:kern w:val="0"/>
              </w:rPr>
              <w:t>建设</w:t>
            </w:r>
            <w:r>
              <w:rPr>
                <w:rFonts w:ascii="Times New Roman" w:hAnsi="Times New Roman" w:eastAsia="仿宋" w:cs="Times New Roman"/>
                <w:color w:val="000000"/>
                <w:kern w:val="0"/>
              </w:rPr>
              <w:t>2</w:t>
            </w:r>
            <w:r>
              <w:rPr>
                <w:rFonts w:hint="eastAsia" w:ascii="Times New Roman" w:hAnsi="Times New Roman" w:eastAsia="仿宋" w:cs="仿宋"/>
                <w:color w:val="000000"/>
                <w:kern w:val="0"/>
              </w:rPr>
              <w:t>条铜丝生产线，年产铜丝</w:t>
            </w:r>
            <w:r>
              <w:rPr>
                <w:rFonts w:ascii="Times New Roman" w:hAnsi="Times New Roman" w:eastAsia="仿宋" w:cs="Times New Roman"/>
                <w:color w:val="000000"/>
                <w:kern w:val="0"/>
              </w:rPr>
              <w:t>2000</w:t>
            </w:r>
            <w:r>
              <w:rPr>
                <w:rFonts w:hint="eastAsia" w:ascii="Times New Roman" w:hAnsi="Times New Roman" w:eastAsia="仿宋" w:cs="仿宋"/>
                <w:color w:val="000000"/>
                <w:kern w:val="0"/>
              </w:rPr>
              <w:t>吨。</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5000</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22</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7700</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450</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227</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27</w:t>
            </w: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大宗固体废弃物综合利用产业园（一期）基础设施建设项目</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望花</w:t>
            </w:r>
          </w:p>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经济开发区</w:t>
            </w: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kern w:val="0"/>
              </w:rPr>
            </w:pPr>
            <w:r>
              <w:rPr>
                <w:rFonts w:hint="eastAsia" w:ascii="Times New Roman" w:hAnsi="Times New Roman" w:eastAsia="仿宋" w:cs="仿宋"/>
                <w:color w:val="000000"/>
                <w:kern w:val="0"/>
              </w:rPr>
              <w:t>储备</w:t>
            </w: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ind w:firstLine="420" w:firstLineChars="200"/>
              <w:jc w:val="left"/>
              <w:textAlignment w:val="center"/>
              <w:rPr>
                <w:rFonts w:ascii="Times New Roman" w:hAnsi="Times New Roman" w:eastAsia="仿宋"/>
                <w:color w:val="000000"/>
                <w:kern w:val="0"/>
              </w:rPr>
            </w:pPr>
            <w:r>
              <w:rPr>
                <w:rFonts w:hint="eastAsia" w:ascii="Times New Roman" w:hAnsi="Times New Roman" w:eastAsia="仿宋" w:cs="仿宋"/>
                <w:color w:val="000000"/>
                <w:kern w:val="0"/>
              </w:rPr>
              <w:t>大宗固体废弃物综合利用产业园（一期）基础设施建设项目。建设内容：道路、排水、给水、电力、电信、热力、燃气、场地平整等。</w:t>
            </w: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color w:val="000000"/>
                <w:kern w:val="0"/>
              </w:rPr>
            </w:pPr>
            <w:r>
              <w:rPr>
                <w:rFonts w:ascii="Times New Roman" w:hAnsi="Times New Roman" w:eastAsia="仿宋" w:cs="Times New Roman"/>
                <w:color w:val="000000"/>
                <w:kern w:val="0"/>
              </w:rPr>
              <w:t>21912</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w:t>
            </w:r>
          </w:p>
        </w:tc>
      </w:tr>
      <w:tr>
        <w:tblPrEx>
          <w:tblCellMar>
            <w:top w:w="0" w:type="dxa"/>
            <w:left w:w="108" w:type="dxa"/>
            <w:bottom w:w="0" w:type="dxa"/>
            <w:right w:w="108" w:type="dxa"/>
          </w:tblCellMar>
        </w:tblPrEx>
        <w:trPr>
          <w:gridBefore w:val="1"/>
          <w:wBefore w:w="15" w:type="dxa"/>
          <w:trHeight w:val="340" w:hRule="atLeast"/>
        </w:trPr>
        <w:tc>
          <w:tcPr>
            <w:tcW w:w="18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color w:val="000000"/>
                <w:kern w:val="0"/>
              </w:rPr>
            </w:pPr>
          </w:p>
        </w:tc>
        <w:tc>
          <w:tcPr>
            <w:tcW w:w="85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kern w:val="0"/>
              </w:rPr>
            </w:pPr>
            <w:r>
              <w:rPr>
                <w:rFonts w:hint="eastAsia" w:ascii="Times New Roman" w:hAnsi="Times New Roman" w:eastAsia="仿宋" w:cs="仿宋"/>
                <w:b/>
                <w:bCs/>
                <w:color w:val="000000"/>
                <w:kern w:val="0"/>
              </w:rPr>
              <w:t>合</w:t>
            </w:r>
            <w:r>
              <w:rPr>
                <w:rFonts w:ascii="Times New Roman" w:hAnsi="Times New Roman" w:eastAsia="仿宋" w:cs="Times New Roman"/>
                <w:b/>
                <w:bCs/>
                <w:color w:val="000000"/>
                <w:kern w:val="0"/>
              </w:rPr>
              <w:t xml:space="preserve">  </w:t>
            </w:r>
            <w:r>
              <w:rPr>
                <w:rFonts w:hint="eastAsia" w:ascii="Times New Roman" w:hAnsi="Times New Roman" w:eastAsia="仿宋" w:cs="仿宋"/>
                <w:b/>
                <w:bCs/>
                <w:color w:val="000000"/>
                <w:kern w:val="0"/>
              </w:rPr>
              <w:t>计</w:t>
            </w:r>
          </w:p>
        </w:tc>
        <w:tc>
          <w:tcPr>
            <w:tcW w:w="544"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left"/>
              <w:textAlignment w:val="center"/>
              <w:rPr>
                <w:rFonts w:ascii="Times New Roman" w:hAnsi="Times New Roman" w:eastAsia="仿宋"/>
                <w:b/>
                <w:bCs/>
                <w:color w:val="000000"/>
                <w:kern w:val="0"/>
              </w:rPr>
            </w:pPr>
          </w:p>
        </w:tc>
        <w:tc>
          <w:tcPr>
            <w:tcW w:w="230"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kern w:val="0"/>
              </w:rPr>
            </w:pPr>
          </w:p>
        </w:tc>
        <w:tc>
          <w:tcPr>
            <w:tcW w:w="1343"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left"/>
              <w:textAlignment w:val="center"/>
              <w:rPr>
                <w:rFonts w:ascii="Times New Roman" w:hAnsi="Times New Roman" w:eastAsia="仿宋"/>
                <w:b/>
                <w:bCs/>
                <w:color w:val="000000"/>
                <w:kern w:val="0"/>
              </w:rPr>
            </w:pPr>
          </w:p>
        </w:tc>
        <w:tc>
          <w:tcPr>
            <w:tcW w:w="345"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cs="Times New Roman"/>
                <w:b/>
                <w:bCs/>
                <w:color w:val="000000"/>
                <w:kern w:val="0"/>
              </w:rPr>
            </w:pPr>
            <w:r>
              <w:rPr>
                <w:rFonts w:ascii="Times New Roman" w:hAnsi="Times New Roman" w:eastAsia="仿宋" w:cs="Times New Roman"/>
                <w:b/>
                <w:bCs/>
                <w:color w:val="000000"/>
                <w:kern w:val="0"/>
              </w:rPr>
              <w:t>945484</w:t>
            </w:r>
          </w:p>
        </w:tc>
        <w:tc>
          <w:tcPr>
            <w:tcW w:w="328" w:type="pct"/>
            <w:tcBorders>
              <w:top w:val="single" w:color="000000" w:sz="8" w:space="0"/>
              <w:left w:val="single" w:color="000000" w:sz="8" w:space="0"/>
              <w:bottom w:val="single" w:color="000000" w:sz="8" w:space="0"/>
              <w:right w:val="single" w:color="000000" w:sz="8" w:space="0"/>
            </w:tcBorders>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274</w:t>
            </w:r>
          </w:p>
        </w:tc>
        <w:tc>
          <w:tcPr>
            <w:tcW w:w="362"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1607419</w:t>
            </w:r>
          </w:p>
        </w:tc>
        <w:tc>
          <w:tcPr>
            <w:tcW w:w="337"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53711</w:t>
            </w:r>
          </w:p>
        </w:tc>
        <w:tc>
          <w:tcPr>
            <w:tcW w:w="470" w:type="pct"/>
            <w:tcBorders>
              <w:top w:val="single" w:color="000000" w:sz="8" w:space="0"/>
              <w:left w:val="single" w:color="000000" w:sz="8" w:space="0"/>
              <w:bottom w:val="single" w:color="000000" w:sz="8" w:space="0"/>
              <w:right w:val="single" w:color="000000"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318</w:t>
            </w:r>
          </w:p>
        </w:tc>
      </w:tr>
    </w:tbl>
    <w:p>
      <w:pPr>
        <w:pStyle w:val="6"/>
        <w:spacing w:line="360" w:lineRule="auto"/>
        <w:ind w:firstLine="0"/>
        <w:rPr>
          <w:rFonts w:ascii="Times New Roman" w:hAnsi="Times New Roman" w:eastAsia="仿宋"/>
        </w:rPr>
        <w:sectPr>
          <w:pgSz w:w="16838" w:h="11906" w:orient="landscape"/>
          <w:pgMar w:top="1440" w:right="1247" w:bottom="1440" w:left="1247" w:header="851" w:footer="992" w:gutter="0"/>
          <w:pgNumType w:fmt="numberInDash"/>
          <w:cols w:space="425" w:num="1"/>
          <w:docGrid w:type="lines" w:linePitch="312" w:charSpace="0"/>
        </w:sectPr>
      </w:pPr>
    </w:p>
    <w:p>
      <w:pPr>
        <w:tabs>
          <w:tab w:val="left" w:pos="12171"/>
        </w:tabs>
        <w:spacing w:line="360" w:lineRule="auto"/>
        <w:jc w:val="center"/>
        <w:rPr>
          <w:rFonts w:ascii="Times New Roman" w:hAnsi="Times New Roman" w:eastAsia="仿宋"/>
          <w:b/>
          <w:bCs/>
          <w:color w:val="000000"/>
          <w:kern w:val="0"/>
          <w:sz w:val="24"/>
          <w:szCs w:val="24"/>
        </w:rPr>
      </w:pPr>
      <w:r>
        <w:rPr>
          <w:rFonts w:hint="eastAsia" w:ascii="Times New Roman" w:hAnsi="Times New Roman" w:eastAsia="仿宋" w:cs="仿宋"/>
          <w:b/>
          <w:bCs/>
          <w:color w:val="000000"/>
          <w:sz w:val="24"/>
          <w:szCs w:val="24"/>
        </w:rPr>
        <w:t>表</w:t>
      </w:r>
      <w:r>
        <w:rPr>
          <w:rFonts w:ascii="Times New Roman" w:hAnsi="Times New Roman" w:eastAsia="仿宋" w:cs="Times New Roman"/>
          <w:b/>
          <w:bCs/>
          <w:color w:val="000000"/>
          <w:sz w:val="24"/>
          <w:szCs w:val="24"/>
        </w:rPr>
        <w:t>2</w:t>
      </w:r>
      <w:r>
        <w:rPr>
          <w:rFonts w:hint="eastAsia" w:ascii="Times New Roman" w:hAnsi="Times New Roman" w:eastAsia="仿宋" w:cs="仿宋"/>
          <w:b/>
          <w:bCs/>
          <w:color w:val="000000"/>
          <w:sz w:val="24"/>
          <w:szCs w:val="24"/>
        </w:rPr>
        <w:t>：抚顺市冶金高端新材料</w:t>
      </w:r>
      <w:r>
        <w:rPr>
          <w:rFonts w:hint="eastAsia" w:ascii="Times New Roman" w:hAnsi="Times New Roman" w:eastAsia="仿宋" w:cs="仿宋"/>
          <w:b/>
          <w:bCs/>
          <w:color w:val="000000"/>
          <w:kern w:val="0"/>
          <w:sz w:val="24"/>
          <w:szCs w:val="24"/>
        </w:rPr>
        <w:t>产业发展重点项目三年投资计划</w:t>
      </w:r>
    </w:p>
    <w:p>
      <w:pPr>
        <w:pStyle w:val="2"/>
        <w:spacing w:line="360" w:lineRule="auto"/>
        <w:jc w:val="right"/>
        <w:rPr>
          <w:rFonts w:ascii="Times New Roman" w:hAnsi="Times New Roman" w:cs="Times New Roman"/>
        </w:rPr>
      </w:pPr>
      <w:r>
        <w:rPr>
          <w:rFonts w:hint="eastAsia" w:ascii="Times New Roman" w:hAnsi="Times New Roman" w:eastAsia="仿宋" w:cs="仿宋"/>
          <w:b/>
          <w:bCs/>
          <w:color w:val="000000"/>
          <w:kern w:val="0"/>
          <w:sz w:val="21"/>
          <w:szCs w:val="21"/>
        </w:rPr>
        <w:t>单位：万元</w:t>
      </w:r>
    </w:p>
    <w:tbl>
      <w:tblPr>
        <w:tblStyle w:val="16"/>
        <w:tblW w:w="4970" w:type="pct"/>
        <w:tblInd w:w="2" w:type="dxa"/>
        <w:tblLayout w:type="fixed"/>
        <w:tblCellMar>
          <w:top w:w="0" w:type="dxa"/>
          <w:left w:w="108" w:type="dxa"/>
          <w:bottom w:w="0" w:type="dxa"/>
          <w:right w:w="108" w:type="dxa"/>
        </w:tblCellMar>
      </w:tblPr>
      <w:tblGrid>
        <w:gridCol w:w="1243"/>
        <w:gridCol w:w="6679"/>
        <w:gridCol w:w="1275"/>
        <w:gridCol w:w="1755"/>
        <w:gridCol w:w="1214"/>
        <w:gridCol w:w="1109"/>
        <w:gridCol w:w="1198"/>
      </w:tblGrid>
      <w:tr>
        <w:tblPrEx>
          <w:tblCellMar>
            <w:top w:w="0" w:type="dxa"/>
            <w:left w:w="108" w:type="dxa"/>
            <w:bottom w:w="0" w:type="dxa"/>
            <w:right w:w="108" w:type="dxa"/>
          </w:tblCellMar>
        </w:tblPrEx>
        <w:trPr>
          <w:trHeight w:val="397" w:hRule="atLeast"/>
          <w:tblHeader/>
        </w:trPr>
        <w:tc>
          <w:tcPr>
            <w:tcW w:w="429"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序号</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项目名称</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总投资</w:t>
            </w:r>
          </w:p>
        </w:tc>
        <w:tc>
          <w:tcPr>
            <w:tcW w:w="6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起止年限</w:t>
            </w:r>
          </w:p>
        </w:tc>
        <w:tc>
          <w:tcPr>
            <w:tcW w:w="419"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2021</w:t>
            </w:r>
          </w:p>
        </w:tc>
        <w:tc>
          <w:tcPr>
            <w:tcW w:w="383"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2022</w:t>
            </w:r>
          </w:p>
        </w:tc>
        <w:tc>
          <w:tcPr>
            <w:tcW w:w="414"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2023</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连轧厂加热炉及全线电控系统升级技术改造</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4900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2020</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4900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第三炼钢厂新建</w:t>
            </w:r>
            <w:r>
              <w:rPr>
                <w:rFonts w:ascii="Times New Roman" w:hAnsi="Times New Roman" w:eastAsia="仿宋" w:cs="Times New Roman"/>
                <w:color w:val="000000"/>
                <w:kern w:val="0"/>
              </w:rPr>
              <w:t>4</w:t>
            </w:r>
            <w:r>
              <w:rPr>
                <w:rFonts w:hint="eastAsia" w:ascii="Times New Roman" w:hAnsi="Times New Roman" w:eastAsia="仿宋" w:cs="仿宋"/>
                <w:color w:val="000000"/>
                <w:kern w:val="0"/>
              </w:rPr>
              <w:t>台</w:t>
            </w:r>
            <w:r>
              <w:rPr>
                <w:rFonts w:ascii="Times New Roman" w:hAnsi="Times New Roman" w:eastAsia="仿宋" w:cs="Times New Roman"/>
                <w:color w:val="000000"/>
                <w:kern w:val="0"/>
              </w:rPr>
              <w:t>3</w:t>
            </w:r>
            <w:r>
              <w:rPr>
                <w:rFonts w:hint="eastAsia" w:ascii="Times New Roman" w:hAnsi="Times New Roman" w:eastAsia="仿宋" w:cs="仿宋"/>
                <w:color w:val="000000"/>
                <w:kern w:val="0"/>
              </w:rPr>
              <w:t>吨电渣炉工程</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1193</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1193 </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精轧机主驱动改造项目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1200 </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信息化建设项目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1615</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1615 </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均质高强度大规格高温合金及超高强度锻材工程化建设项目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65954</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37802</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16891</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11261</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转炉节能环保升级改造项目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159156</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80888</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50000</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22298</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7</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物流信息中心</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5700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5700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kern w:val="0"/>
              </w:rPr>
              <w:t>智造中心</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3000 </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FF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FF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9</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抚顺铝业环保综合治理项目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5500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2991</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2509</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10</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锦宇隆矿业公司资产盘活改造</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25000 </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15000 </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 xml:space="preserve">10000 </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kern w:val="0"/>
              </w:rPr>
              <w:t>高合金小棒材生产线技术改造工程</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18226</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8027</w:t>
            </w:r>
          </w:p>
        </w:tc>
        <w:tc>
          <w:tcPr>
            <w:tcW w:w="383"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5100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5099</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抚顺特钢轴承钢项目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70544</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31272</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31272</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13</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物资管理处废钢置厂封闭改造工程</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1450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FF0000"/>
              </w:rPr>
            </w:pPr>
            <w:r>
              <w:rPr>
                <w:rFonts w:ascii="Times New Roman" w:hAnsi="Times New Roman" w:eastAsia="仿宋" w:cs="Times New Roman"/>
                <w:color w:val="000000"/>
                <w:kern w:val="0"/>
              </w:rPr>
              <w:t>1450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FF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14</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烧结及带式焙烧球团项目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82000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41000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41000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15</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新建制氧机组</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21000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8400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12600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16</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双高线改造</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48000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24000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24000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17</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利用转炉放散煤气生产炼钢造渣剂项目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11000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6600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4400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18</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高炉升级改造项目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190000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2023</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2025</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s="Times New Roman"/>
                <w:color w:val="000000"/>
              </w:rPr>
            </w:pPr>
            <w:r>
              <w:rPr>
                <w:rFonts w:ascii="Times New Roman" w:hAnsi="Times New Roman" w:eastAsia="仿宋" w:cs="Times New Roman"/>
                <w:color w:val="000000"/>
              </w:rPr>
              <w:t>76000</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19</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基于“</w:t>
            </w:r>
            <w:r>
              <w:rPr>
                <w:rFonts w:ascii="Times New Roman" w:hAnsi="Times New Roman" w:eastAsia="仿宋" w:cs="Times New Roman"/>
                <w:color w:val="000000"/>
                <w:kern w:val="0"/>
              </w:rPr>
              <w:t>5G+</w:t>
            </w:r>
            <w:r>
              <w:rPr>
                <w:rFonts w:hint="eastAsia" w:ascii="Times New Roman" w:hAnsi="Times New Roman" w:eastAsia="仿宋" w:cs="仿宋"/>
                <w:color w:val="000000"/>
                <w:kern w:val="0"/>
              </w:rPr>
              <w:t>冶金全流程”的智能制造及控制中心建设项目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5012</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3007</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2005</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s="Times New Roman"/>
                <w:color w:val="000000"/>
              </w:rPr>
            </w:pPr>
            <w:r>
              <w:rPr>
                <w:rFonts w:ascii="Times New Roman" w:hAnsi="Times New Roman" w:eastAsia="仿宋" w:cs="Times New Roman"/>
                <w:color w:val="000000"/>
              </w:rPr>
              <w:t>20</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钢筋深加工项目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5000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21</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高炉大数据智能降碳关键技术研发与应用</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127122</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2021</w:t>
            </w:r>
            <w:r>
              <w:rPr>
                <w:rFonts w:hint="eastAsia" w:ascii="Times New Roman" w:hAnsi="Times New Roman" w:eastAsia="仿宋" w:cs="仿宋"/>
                <w:color w:val="000000"/>
                <w:kern w:val="0"/>
              </w:rPr>
              <w:t>～</w:t>
            </w:r>
            <w:r>
              <w:rPr>
                <w:rFonts w:ascii="Times New Roman" w:hAnsi="Times New Roman" w:eastAsia="仿宋" w:cs="Times New Roman"/>
                <w:color w:val="000000"/>
                <w:kern w:val="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63561</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38137</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25424</w:t>
            </w:r>
          </w:p>
        </w:tc>
      </w:tr>
      <w:tr>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22</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铝</w:t>
            </w:r>
            <w:r>
              <w:rPr>
                <w:rFonts w:hint="eastAsia" w:ascii="Times New Roman" w:hAnsi="Times New Roman" w:eastAsia="仿宋" w:cs="仿宋"/>
                <w:kern w:val="0"/>
              </w:rPr>
              <w:t>用阳极</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5000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2021</w:t>
            </w:r>
            <w:r>
              <w:rPr>
                <w:rFonts w:hint="eastAsia" w:ascii="Times New Roman" w:hAnsi="Times New Roman" w:eastAsia="仿宋" w:cs="仿宋"/>
                <w:color w:val="000000"/>
                <w:kern w:val="0"/>
                <w:sz w:val="20"/>
                <w:szCs w:val="20"/>
              </w:rPr>
              <w:t>～</w:t>
            </w:r>
            <w:r>
              <w:rPr>
                <w:rFonts w:ascii="Times New Roman" w:hAnsi="Times New Roman" w:eastAsia="仿宋" w:cs="Times New Roman"/>
                <w:color w:val="000000"/>
                <w:kern w:val="0"/>
                <w:sz w:val="20"/>
                <w:szCs w:val="2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3000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23</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仓储流通</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3000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2021</w:t>
            </w:r>
            <w:r>
              <w:rPr>
                <w:rFonts w:hint="eastAsia" w:ascii="Times New Roman" w:hAnsi="Times New Roman" w:eastAsia="仿宋" w:cs="仿宋"/>
                <w:color w:val="000000"/>
                <w:kern w:val="0"/>
                <w:sz w:val="20"/>
                <w:szCs w:val="20"/>
              </w:rPr>
              <w:t>～</w:t>
            </w:r>
            <w:r>
              <w:rPr>
                <w:rFonts w:ascii="Times New Roman" w:hAnsi="Times New Roman" w:eastAsia="仿宋" w:cs="Times New Roman"/>
                <w:color w:val="000000"/>
                <w:kern w:val="0"/>
                <w:sz w:val="20"/>
                <w:szCs w:val="2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1800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1200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24</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闲置资产盘活项目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7000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2023</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r>
              <w:rPr>
                <w:rFonts w:ascii="Times New Roman" w:hAnsi="Times New Roman" w:eastAsia="仿宋" w:cs="Times New Roman"/>
                <w:color w:val="000000"/>
                <w:kern w:val="0"/>
                <w:sz w:val="20"/>
                <w:szCs w:val="20"/>
              </w:rPr>
              <w:t>7000</w:t>
            </w: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25</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rPr>
              <w:t>铝合金电弧熔丝增材及智能制造应用产业化项目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26000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2021</w:t>
            </w:r>
            <w:r>
              <w:rPr>
                <w:rFonts w:hint="eastAsia" w:ascii="Times New Roman" w:hAnsi="Times New Roman" w:eastAsia="仿宋" w:cs="仿宋"/>
                <w:color w:val="000000"/>
                <w:kern w:val="0"/>
                <w:sz w:val="20"/>
                <w:szCs w:val="20"/>
              </w:rPr>
              <w:t>～</w:t>
            </w:r>
            <w:r>
              <w:rPr>
                <w:rFonts w:ascii="Times New Roman" w:hAnsi="Times New Roman" w:eastAsia="仿宋" w:cs="Times New Roman"/>
                <w:color w:val="000000"/>
                <w:kern w:val="0"/>
                <w:sz w:val="20"/>
                <w:szCs w:val="2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21830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4170</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26</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textAlignment w:val="center"/>
              <w:rPr>
                <w:rFonts w:ascii="Times New Roman" w:hAnsi="Times New Roman" w:eastAsia="仿宋"/>
                <w:color w:val="000000"/>
              </w:rPr>
            </w:pPr>
            <w:r>
              <w:rPr>
                <w:rFonts w:hint="eastAsia" w:ascii="Times New Roman" w:hAnsi="Times New Roman" w:eastAsia="仿宋" w:cs="仿宋"/>
                <w:color w:val="000000"/>
                <w:kern w:val="0"/>
              </w:rPr>
              <w:t>捷通铜丝生产线建设项目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5000</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2021</w:t>
            </w:r>
            <w:r>
              <w:rPr>
                <w:rFonts w:hint="eastAsia" w:ascii="Times New Roman" w:hAnsi="Times New Roman" w:eastAsia="仿宋" w:cs="仿宋"/>
                <w:color w:val="000000"/>
                <w:kern w:val="0"/>
                <w:sz w:val="20"/>
                <w:szCs w:val="20"/>
              </w:rPr>
              <w:t>～</w:t>
            </w:r>
            <w:r>
              <w:rPr>
                <w:rFonts w:ascii="Times New Roman" w:hAnsi="Times New Roman" w:eastAsia="仿宋" w:cs="Times New Roman"/>
                <w:color w:val="000000"/>
                <w:kern w:val="0"/>
                <w:sz w:val="20"/>
                <w:szCs w:val="2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3000</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2000</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rPr>
              <w:t>27</w:t>
            </w:r>
          </w:p>
        </w:tc>
        <w:tc>
          <w:tcPr>
            <w:tcW w:w="2306"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left"/>
              <w:textAlignment w:val="center"/>
              <w:rPr>
                <w:rFonts w:ascii="Times New Roman" w:hAnsi="Times New Roman" w:eastAsia="仿宋"/>
                <w:color w:val="000000"/>
              </w:rPr>
            </w:pPr>
            <w:r>
              <w:rPr>
                <w:rFonts w:hint="eastAsia" w:ascii="Times New Roman" w:hAnsi="Times New Roman" w:eastAsia="仿宋" w:cs="仿宋"/>
                <w:color w:val="000000"/>
                <w:kern w:val="0"/>
              </w:rPr>
              <w:t>大宗固体废弃物综合利用产业园（一期）基础设施建设项目</w:t>
            </w:r>
          </w:p>
        </w:tc>
        <w:tc>
          <w:tcPr>
            <w:tcW w:w="440" w:type="pct"/>
            <w:tcBorders>
              <w:top w:val="single" w:color="auto" w:sz="8" w:space="0"/>
              <w:left w:val="single" w:color="auto" w:sz="8" w:space="0"/>
              <w:bottom w:val="single" w:color="auto" w:sz="8" w:space="0"/>
              <w:right w:val="single" w:color="auto" w:sz="8" w:space="0"/>
            </w:tcBorders>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21912</w:t>
            </w:r>
          </w:p>
        </w:tc>
        <w:tc>
          <w:tcPr>
            <w:tcW w:w="6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2021</w:t>
            </w:r>
            <w:r>
              <w:rPr>
                <w:rFonts w:hint="eastAsia" w:ascii="Times New Roman" w:hAnsi="Times New Roman" w:eastAsia="仿宋" w:cs="仿宋"/>
                <w:color w:val="000000"/>
                <w:kern w:val="0"/>
                <w:sz w:val="20"/>
                <w:szCs w:val="20"/>
              </w:rPr>
              <w:t>～</w:t>
            </w:r>
            <w:r>
              <w:rPr>
                <w:rFonts w:ascii="Times New Roman" w:hAnsi="Times New Roman" w:eastAsia="仿宋" w:cs="Times New Roman"/>
                <w:color w:val="000000"/>
                <w:kern w:val="0"/>
                <w:sz w:val="20"/>
                <w:szCs w:val="20"/>
              </w:rPr>
              <w:t>2022</w:t>
            </w: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13147</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olor w:val="000000"/>
              </w:rPr>
            </w:pPr>
            <w:r>
              <w:rPr>
                <w:rFonts w:ascii="Times New Roman" w:hAnsi="Times New Roman" w:eastAsia="仿宋" w:cs="Times New Roman"/>
                <w:color w:val="000000"/>
                <w:kern w:val="0"/>
                <w:sz w:val="20"/>
                <w:szCs w:val="20"/>
              </w:rPr>
              <w:t>8765</w:t>
            </w:r>
          </w:p>
        </w:tc>
        <w:tc>
          <w:tcPr>
            <w:tcW w:w="414"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color w:val="000000"/>
              </w:rPr>
            </w:pPr>
          </w:p>
        </w:tc>
      </w:tr>
      <w:tr>
        <w:tblPrEx>
          <w:tblCellMar>
            <w:top w:w="0" w:type="dxa"/>
            <w:left w:w="108" w:type="dxa"/>
            <w:bottom w:w="0" w:type="dxa"/>
            <w:right w:w="108" w:type="dxa"/>
          </w:tblCellMar>
        </w:tblPrEx>
        <w:trPr>
          <w:trHeight w:val="510" w:hRule="atLeast"/>
        </w:trPr>
        <w:tc>
          <w:tcPr>
            <w:tcW w:w="429"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b/>
                <w:bCs/>
                <w:color w:val="000000"/>
              </w:rPr>
            </w:pPr>
          </w:p>
        </w:tc>
        <w:tc>
          <w:tcPr>
            <w:tcW w:w="2306"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b/>
                <w:bCs/>
                <w:color w:val="000000"/>
              </w:rPr>
            </w:pPr>
            <w:r>
              <w:rPr>
                <w:rFonts w:hint="eastAsia" w:ascii="Times New Roman" w:hAnsi="Times New Roman" w:eastAsia="仿宋" w:cs="仿宋"/>
                <w:b/>
                <w:bCs/>
                <w:color w:val="000000"/>
                <w:kern w:val="0"/>
              </w:rPr>
              <w:t>合</w:t>
            </w:r>
            <w:r>
              <w:rPr>
                <w:rFonts w:ascii="Times New Roman" w:hAnsi="Times New Roman" w:eastAsia="仿宋" w:cs="Times New Roman"/>
                <w:b/>
                <w:bCs/>
                <w:color w:val="000000"/>
                <w:kern w:val="0"/>
              </w:rPr>
              <w:t xml:space="preserve">  </w:t>
            </w:r>
            <w:r>
              <w:rPr>
                <w:rFonts w:hint="eastAsia" w:ascii="Times New Roman" w:hAnsi="Times New Roman" w:eastAsia="仿宋" w:cs="仿宋"/>
                <w:b/>
                <w:bCs/>
                <w:color w:val="000000"/>
                <w:kern w:val="0"/>
              </w:rPr>
              <w:t>计</w:t>
            </w:r>
          </w:p>
        </w:tc>
        <w:tc>
          <w:tcPr>
            <w:tcW w:w="440"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rPr>
              <w:t>945484</w:t>
            </w:r>
          </w:p>
        </w:tc>
        <w:tc>
          <w:tcPr>
            <w:tcW w:w="606" w:type="pct"/>
            <w:tcBorders>
              <w:top w:val="single" w:color="auto" w:sz="8" w:space="0"/>
              <w:left w:val="single" w:color="auto" w:sz="8" w:space="0"/>
              <w:bottom w:val="single" w:color="auto" w:sz="8" w:space="0"/>
              <w:right w:val="single" w:color="auto" w:sz="8" w:space="0"/>
            </w:tcBorders>
            <w:noWrap/>
            <w:vAlign w:val="center"/>
          </w:tcPr>
          <w:p>
            <w:pPr>
              <w:spacing w:line="360" w:lineRule="auto"/>
              <w:jc w:val="center"/>
              <w:rPr>
                <w:rFonts w:ascii="Times New Roman" w:hAnsi="Times New Roman" w:eastAsia="仿宋"/>
                <w:b/>
                <w:bCs/>
                <w:color w:val="000000"/>
              </w:rPr>
            </w:pPr>
          </w:p>
        </w:tc>
        <w:tc>
          <w:tcPr>
            <w:tcW w:w="419"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cs="Times New Roman"/>
                <w:b/>
                <w:bCs/>
                <w:color w:val="000000"/>
              </w:rPr>
            </w:pPr>
            <w:r>
              <w:rPr>
                <w:rFonts w:ascii="Times New Roman" w:hAnsi="Times New Roman" w:eastAsia="仿宋" w:cs="Times New Roman"/>
                <w:b/>
                <w:bCs/>
                <w:color w:val="000000"/>
              </w:rPr>
              <w:t>372661</w:t>
            </w:r>
          </w:p>
        </w:tc>
        <w:tc>
          <w:tcPr>
            <w:tcW w:w="383"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sz w:val="20"/>
                <w:szCs w:val="20"/>
              </w:rPr>
              <w:t>264499</w:t>
            </w:r>
          </w:p>
        </w:tc>
        <w:tc>
          <w:tcPr>
            <w:tcW w:w="414" w:type="pct"/>
            <w:tcBorders>
              <w:top w:val="single" w:color="auto" w:sz="8" w:space="0"/>
              <w:left w:val="single" w:color="auto" w:sz="8" w:space="0"/>
              <w:bottom w:val="single" w:color="auto" w:sz="8" w:space="0"/>
              <w:right w:val="single" w:color="auto" w:sz="8" w:space="0"/>
            </w:tcBorders>
            <w:noWrap/>
            <w:vAlign w:val="center"/>
          </w:tcPr>
          <w:p>
            <w:pPr>
              <w:widowControl/>
              <w:spacing w:line="360" w:lineRule="auto"/>
              <w:jc w:val="center"/>
              <w:textAlignment w:val="center"/>
              <w:rPr>
                <w:rFonts w:ascii="Times New Roman" w:hAnsi="Times New Roman" w:eastAsia="仿宋"/>
                <w:b/>
                <w:bCs/>
                <w:color w:val="000000"/>
              </w:rPr>
            </w:pPr>
            <w:r>
              <w:rPr>
                <w:rFonts w:ascii="Times New Roman" w:hAnsi="Times New Roman" w:eastAsia="仿宋" w:cs="Times New Roman"/>
                <w:b/>
                <w:bCs/>
                <w:color w:val="000000"/>
                <w:kern w:val="0"/>
                <w:sz w:val="20"/>
                <w:szCs w:val="20"/>
              </w:rPr>
              <w:t>188354</w:t>
            </w:r>
          </w:p>
        </w:tc>
      </w:tr>
    </w:tbl>
    <w:p>
      <w:pPr>
        <w:tabs>
          <w:tab w:val="left" w:pos="12171"/>
        </w:tabs>
        <w:spacing w:line="360" w:lineRule="auto"/>
        <w:jc w:val="left"/>
        <w:rPr>
          <w:rFonts w:ascii="Times New Roman" w:hAnsi="Times New Roman" w:cs="Times New Roman"/>
        </w:rPr>
        <w:sectPr>
          <w:pgSz w:w="16838" w:h="11906" w:orient="landscape"/>
          <w:pgMar w:top="1440" w:right="1247" w:bottom="1440" w:left="1247" w:header="851" w:footer="992" w:gutter="0"/>
          <w:pgNumType w:fmt="numberInDash"/>
          <w:cols w:space="425" w:num="1"/>
          <w:docGrid w:type="lines" w:linePitch="312" w:charSpace="0"/>
        </w:sectPr>
      </w:pPr>
      <w:r>
        <w:rPr>
          <w:rFonts w:ascii="Times New Roman" w:hAnsi="Times New Roman" w:cs="Times New Roman"/>
        </w:rPr>
        <w:tab/>
      </w:r>
    </w:p>
    <w:tbl>
      <w:tblPr>
        <w:tblStyle w:val="16"/>
        <w:tblW w:w="0" w:type="auto"/>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522" w:type="dxa"/>
          </w:tcPr>
          <w:p>
            <w:pPr>
              <w:spacing w:line="600" w:lineRule="exact"/>
              <w:ind w:firstLine="482" w:firstLineChars="200"/>
              <w:jc w:val="center"/>
              <w:rPr>
                <w:rFonts w:ascii="Times New Roman" w:hAnsi="Times New Roman" w:eastAsia="仿宋"/>
                <w:b/>
                <w:bCs/>
                <w:sz w:val="24"/>
                <w:szCs w:val="24"/>
              </w:rPr>
            </w:pPr>
            <w:r>
              <w:rPr>
                <w:rFonts w:hint="eastAsia" w:ascii="Times New Roman" w:hAnsi="Times New Roman" w:eastAsia="仿宋" w:cs="仿宋"/>
                <w:b/>
                <w:bCs/>
                <w:sz w:val="24"/>
                <w:szCs w:val="24"/>
              </w:rPr>
              <w:t>表</w:t>
            </w:r>
            <w:r>
              <w:rPr>
                <w:rFonts w:ascii="Times New Roman" w:hAnsi="Times New Roman" w:eastAsia="仿宋" w:cs="Times New Roman"/>
                <w:b/>
                <w:bCs/>
                <w:sz w:val="24"/>
                <w:szCs w:val="24"/>
              </w:rPr>
              <w:t>3</w:t>
            </w:r>
            <w:r>
              <w:rPr>
                <w:rFonts w:hint="eastAsia" w:ascii="Times New Roman" w:hAnsi="Times New Roman" w:eastAsia="仿宋" w:cs="仿宋"/>
                <w:b/>
                <w:bCs/>
                <w:sz w:val="24"/>
                <w:szCs w:val="24"/>
              </w:rPr>
              <w:t>：炭素新材料</w:t>
            </w:r>
            <w:r>
              <w:rPr>
                <w:rFonts w:ascii="Times New Roman" w:hAnsi="Times New Roman" w:eastAsia="仿宋" w:cs="Times New Roman"/>
                <w:b/>
                <w:bCs/>
                <w:sz w:val="24"/>
                <w:szCs w:val="24"/>
              </w:rPr>
              <w:t>——</w:t>
            </w:r>
            <w:r>
              <w:rPr>
                <w:rFonts w:hint="eastAsia" w:ascii="Times New Roman" w:hAnsi="Times New Roman" w:eastAsia="仿宋" w:cs="仿宋"/>
                <w:b/>
                <w:bCs/>
                <w:sz w:val="24"/>
                <w:szCs w:val="24"/>
              </w:rPr>
              <w:t>石墨烯方向（拓展项目）</w:t>
            </w:r>
          </w:p>
          <w:p>
            <w:pPr>
              <w:pStyle w:val="14"/>
              <w:shd w:val="clear" w:color="auto" w:fill="FFFFFF"/>
              <w:spacing w:beforeAutospacing="0" w:afterAutospacing="0" w:line="600" w:lineRule="exact"/>
              <w:ind w:firstLine="420" w:firstLineChars="200"/>
              <w:jc w:val="both"/>
              <w:rPr>
                <w:rFonts w:ascii="Times New Roman" w:hAnsi="Times New Roman" w:eastAsia="仿宋"/>
                <w:kern w:val="2"/>
                <w:sz w:val="21"/>
                <w:szCs w:val="21"/>
              </w:rPr>
            </w:pPr>
            <w:r>
              <w:rPr>
                <w:rFonts w:hint="eastAsia" w:ascii="Times New Roman" w:hAnsi="Times New Roman" w:eastAsia="仿宋" w:cs="仿宋"/>
                <w:kern w:val="2"/>
                <w:sz w:val="21"/>
                <w:szCs w:val="21"/>
              </w:rPr>
              <w:t>（</w:t>
            </w:r>
            <w:r>
              <w:rPr>
                <w:rFonts w:ascii="Times New Roman" w:hAnsi="Times New Roman" w:eastAsia="仿宋" w:cs="Times New Roman"/>
                <w:kern w:val="2"/>
                <w:sz w:val="21"/>
                <w:szCs w:val="21"/>
              </w:rPr>
              <w:t>1</w:t>
            </w:r>
            <w:r>
              <w:rPr>
                <w:rFonts w:hint="eastAsia" w:ascii="Times New Roman" w:hAnsi="Times New Roman" w:eastAsia="仿宋" w:cs="仿宋"/>
                <w:kern w:val="2"/>
                <w:sz w:val="21"/>
                <w:szCs w:val="21"/>
              </w:rPr>
              <w:t>）石墨烯粉体生产项目。针对电解铝及炭素企业石墨电极开发新型机械剥离、电剥离等技术，实现年产上千吨石墨烯或功能化石墨烯粉体制备。产品具有纯度高、产能较大、成本低，材料缺陷少、径厚比大、导电导热性能优异等特性。下游产品明确，如导电油墨、导热膜片、抗静电塑料、生物医疗等多个行业，市场前景明朗。</w:t>
            </w:r>
          </w:p>
          <w:p>
            <w:pPr>
              <w:pStyle w:val="14"/>
              <w:shd w:val="clear" w:color="auto" w:fill="FFFFFF"/>
              <w:spacing w:beforeAutospacing="0" w:afterAutospacing="0" w:line="600" w:lineRule="exact"/>
              <w:ind w:firstLine="420" w:firstLineChars="200"/>
              <w:jc w:val="both"/>
              <w:rPr>
                <w:rFonts w:ascii="Times New Roman" w:hAnsi="Times New Roman" w:eastAsia="仿宋"/>
                <w:kern w:val="2"/>
                <w:sz w:val="21"/>
                <w:szCs w:val="21"/>
              </w:rPr>
            </w:pPr>
            <w:r>
              <w:rPr>
                <w:rFonts w:hint="eastAsia" w:ascii="Times New Roman" w:hAnsi="Times New Roman" w:eastAsia="仿宋" w:cs="仿宋"/>
                <w:kern w:val="2"/>
                <w:sz w:val="21"/>
                <w:szCs w:val="21"/>
              </w:rPr>
              <w:t>（</w:t>
            </w:r>
            <w:r>
              <w:rPr>
                <w:rFonts w:ascii="Times New Roman" w:hAnsi="Times New Roman" w:eastAsia="仿宋" w:cs="Times New Roman"/>
                <w:kern w:val="2"/>
                <w:sz w:val="21"/>
                <w:szCs w:val="21"/>
              </w:rPr>
              <w:t>2</w:t>
            </w:r>
            <w:r>
              <w:rPr>
                <w:rFonts w:hint="eastAsia" w:ascii="Times New Roman" w:hAnsi="Times New Roman" w:eastAsia="仿宋" w:cs="仿宋"/>
                <w:kern w:val="2"/>
                <w:sz w:val="21"/>
                <w:szCs w:val="21"/>
              </w:rPr>
              <w:t>）大尺寸玻璃基石墨烯片层项目。引进</w:t>
            </w:r>
            <w:r>
              <w:rPr>
                <w:rFonts w:ascii="Times New Roman" w:hAnsi="Times New Roman" w:eastAsia="仿宋" w:cs="Times New Roman"/>
                <w:kern w:val="2"/>
                <w:sz w:val="21"/>
                <w:szCs w:val="21"/>
              </w:rPr>
              <w:t>ACS Material</w:t>
            </w:r>
            <w:r>
              <w:rPr>
                <w:rFonts w:hint="eastAsia" w:ascii="Times New Roman" w:hAnsi="Times New Roman" w:eastAsia="仿宋" w:cs="仿宋"/>
                <w:kern w:val="2"/>
                <w:sz w:val="21"/>
                <w:szCs w:val="21"/>
              </w:rPr>
              <w:t>，</w:t>
            </w:r>
            <w:r>
              <w:rPr>
                <w:rFonts w:ascii="Times New Roman" w:hAnsi="Times New Roman" w:eastAsia="仿宋" w:cs="Times New Roman"/>
                <w:kern w:val="2"/>
                <w:sz w:val="21"/>
                <w:szCs w:val="21"/>
              </w:rPr>
              <w:t>2-D Tech</w:t>
            </w:r>
            <w:r>
              <w:rPr>
                <w:rFonts w:hint="eastAsia" w:ascii="Times New Roman" w:hAnsi="Times New Roman" w:eastAsia="仿宋" w:cs="仿宋"/>
                <w:kern w:val="2"/>
                <w:sz w:val="21"/>
                <w:szCs w:val="21"/>
              </w:rPr>
              <w:t>等相关技术，或开发规模化新型</w:t>
            </w:r>
            <w:r>
              <w:rPr>
                <w:rFonts w:ascii="Times New Roman" w:hAnsi="Times New Roman" w:eastAsia="仿宋" w:cs="Times New Roman"/>
                <w:kern w:val="2"/>
                <w:sz w:val="21"/>
                <w:szCs w:val="21"/>
              </w:rPr>
              <w:t>CVD</w:t>
            </w:r>
            <w:r>
              <w:rPr>
                <w:rFonts w:hint="eastAsia" w:ascii="Times New Roman" w:hAnsi="Times New Roman" w:eastAsia="仿宋" w:cs="仿宋"/>
                <w:kern w:val="2"/>
                <w:sz w:val="21"/>
                <w:szCs w:val="21"/>
              </w:rPr>
              <w:t>技术，实现大尺寸玻璃基石墨烯片层制备，可规模化生产。产品用于触摸屏、平板显示、传感器、高性能计算机，能与</w:t>
            </w:r>
            <w:r>
              <w:rPr>
                <w:rFonts w:ascii="Times New Roman" w:hAnsi="Times New Roman" w:eastAsia="仿宋" w:cs="Times New Roman"/>
                <w:kern w:val="2"/>
                <w:sz w:val="21"/>
                <w:szCs w:val="21"/>
              </w:rPr>
              <w:t>LED</w:t>
            </w:r>
            <w:r>
              <w:rPr>
                <w:rFonts w:hint="eastAsia" w:ascii="Times New Roman" w:hAnsi="Times New Roman" w:eastAsia="仿宋" w:cs="仿宋"/>
                <w:kern w:val="2"/>
                <w:sz w:val="21"/>
                <w:szCs w:val="21"/>
              </w:rPr>
              <w:t>、半导体器件应用实现对接，具备流程短、成本收益可观、产品方案灵活等特点。</w:t>
            </w:r>
          </w:p>
          <w:p>
            <w:pPr>
              <w:pStyle w:val="14"/>
              <w:shd w:val="clear" w:color="auto" w:fill="FFFFFF"/>
              <w:spacing w:beforeAutospacing="0" w:afterAutospacing="0" w:line="600" w:lineRule="exact"/>
              <w:ind w:firstLine="420" w:firstLineChars="200"/>
              <w:jc w:val="both"/>
              <w:rPr>
                <w:rFonts w:ascii="Times New Roman" w:hAnsi="Times New Roman" w:eastAsia="仿宋"/>
                <w:kern w:val="2"/>
                <w:sz w:val="21"/>
                <w:szCs w:val="21"/>
              </w:rPr>
            </w:pPr>
            <w:r>
              <w:rPr>
                <w:rFonts w:hint="eastAsia" w:ascii="Times New Roman" w:hAnsi="Times New Roman" w:eastAsia="仿宋" w:cs="仿宋"/>
                <w:kern w:val="2"/>
                <w:sz w:val="21"/>
                <w:szCs w:val="21"/>
              </w:rPr>
              <w:t>（</w:t>
            </w:r>
            <w:r>
              <w:rPr>
                <w:rFonts w:ascii="Times New Roman" w:hAnsi="Times New Roman" w:eastAsia="仿宋" w:cs="Times New Roman"/>
                <w:kern w:val="2"/>
                <w:sz w:val="21"/>
                <w:szCs w:val="21"/>
              </w:rPr>
              <w:t>3</w:t>
            </w:r>
            <w:r>
              <w:rPr>
                <w:rFonts w:hint="eastAsia" w:ascii="Times New Roman" w:hAnsi="Times New Roman" w:eastAsia="仿宋" w:cs="仿宋"/>
                <w:kern w:val="2"/>
                <w:sz w:val="21"/>
                <w:szCs w:val="21"/>
              </w:rPr>
              <w:t>）石墨烯散热、发热器项目。基于石墨烯高导热系数与发热特征，开发石墨烯模组，应用于</w:t>
            </w:r>
            <w:r>
              <w:rPr>
                <w:rFonts w:ascii="Times New Roman" w:hAnsi="Times New Roman" w:eastAsia="仿宋" w:cs="Times New Roman"/>
                <w:kern w:val="2"/>
                <w:sz w:val="21"/>
                <w:szCs w:val="21"/>
              </w:rPr>
              <w:t>LED</w:t>
            </w:r>
            <w:r>
              <w:rPr>
                <w:rFonts w:hint="eastAsia" w:ascii="Times New Roman" w:hAnsi="Times New Roman" w:eastAsia="仿宋" w:cs="仿宋"/>
                <w:kern w:val="2"/>
                <w:sz w:val="21"/>
                <w:szCs w:val="21"/>
              </w:rPr>
              <w:t>户外照明，智能手机及电子器件等微尺寸散热部件，并结合热界面材料、防腐及阻隔涂料与油漆，开发高效石墨烯散热器。针对东北地域特征，开发可穿戴、廉价、实用性强的远程发热衣物，具备智能与信号传输等功能，便于推广使用。</w:t>
            </w:r>
          </w:p>
          <w:p>
            <w:pPr>
              <w:pStyle w:val="14"/>
              <w:shd w:val="clear" w:color="auto" w:fill="FFFFFF"/>
              <w:spacing w:beforeAutospacing="0" w:afterAutospacing="0" w:line="600" w:lineRule="exact"/>
              <w:ind w:firstLine="420" w:firstLineChars="200"/>
              <w:jc w:val="both"/>
              <w:rPr>
                <w:rFonts w:ascii="Times New Roman" w:hAnsi="Times New Roman" w:cs="Times New Roman"/>
                <w:kern w:val="2"/>
              </w:rPr>
            </w:pPr>
            <w:r>
              <w:rPr>
                <w:rFonts w:hint="eastAsia" w:ascii="Times New Roman" w:hAnsi="Times New Roman" w:eastAsia="仿宋" w:cs="仿宋"/>
                <w:kern w:val="2"/>
                <w:sz w:val="21"/>
                <w:szCs w:val="21"/>
              </w:rPr>
              <w:t>（</w:t>
            </w:r>
            <w:r>
              <w:rPr>
                <w:rFonts w:ascii="Times New Roman" w:hAnsi="Times New Roman" w:eastAsia="仿宋" w:cs="Times New Roman"/>
                <w:kern w:val="2"/>
                <w:sz w:val="21"/>
                <w:szCs w:val="21"/>
              </w:rPr>
              <w:t>4</w:t>
            </w:r>
            <w:r>
              <w:rPr>
                <w:rFonts w:hint="eastAsia" w:ascii="Times New Roman" w:hAnsi="Times New Roman" w:eastAsia="仿宋" w:cs="仿宋"/>
                <w:kern w:val="2"/>
                <w:sz w:val="21"/>
                <w:szCs w:val="21"/>
              </w:rPr>
              <w:t>）石墨烯超级电容器电池项目。有针对性采用石墨烯对现有储能设备进行更新换代。优化喷墨色浆、导电薄膜、储能溶液、电池组合开发等工艺，实现快速充电、高容量超级电容器锂电池（</w:t>
            </w:r>
            <w:r>
              <w:rPr>
                <w:rFonts w:ascii="Times New Roman" w:hAnsi="Times New Roman" w:eastAsia="仿宋" w:cs="Times New Roman"/>
                <w:kern w:val="2"/>
                <w:sz w:val="21"/>
                <w:szCs w:val="21"/>
              </w:rPr>
              <w:t>LIC</w:t>
            </w:r>
            <w:r>
              <w:rPr>
                <w:rFonts w:hint="eastAsia" w:ascii="Times New Roman" w:hAnsi="Times New Roman" w:eastAsia="仿宋" w:cs="仿宋"/>
                <w:kern w:val="2"/>
                <w:sz w:val="21"/>
                <w:szCs w:val="21"/>
              </w:rPr>
              <w:t>）的量产，能考虑到军民两用。在柔性储能元件、分布式传感器网络、移动器件、医疗修复工具、大赫兹成像等电子器件等领域具有前景。</w:t>
            </w:r>
          </w:p>
        </w:tc>
      </w:tr>
    </w:tbl>
    <w:p>
      <w:pPr>
        <w:pStyle w:val="6"/>
        <w:spacing w:line="600" w:lineRule="exact"/>
        <w:ind w:firstLine="420" w:firstLineChars="200"/>
        <w:rPr>
          <w:rFonts w:ascii="Times New Roman" w:hAnsi="Times New Roman" w:cs="Times New Roman"/>
        </w:rPr>
        <w:sectPr>
          <w:pgSz w:w="11906" w:h="16838"/>
          <w:pgMar w:top="1247" w:right="1701" w:bottom="1247" w:left="1701" w:header="851" w:footer="992" w:gutter="0"/>
          <w:pgNumType w:fmt="numberInDash"/>
          <w:cols w:space="425" w:num="1"/>
          <w:docGrid w:type="lines" w:linePitch="312" w:charSpace="0"/>
        </w:sectPr>
      </w:pPr>
    </w:p>
    <w:p>
      <w:pPr>
        <w:pStyle w:val="6"/>
        <w:spacing w:line="600" w:lineRule="exact"/>
        <w:ind w:firstLine="420" w:firstLineChars="200"/>
        <w:rPr>
          <w:rFonts w:ascii="Times New Roman" w:hAnsi="Times New Roman" w:cs="Times New Roman"/>
        </w:rPr>
      </w:pPr>
      <w:r>
        <w:pict>
          <v:shape id="图片 2" o:spid="_x0000_s1033" o:spt="75" alt="冶金11.1" type="#_x0000_t75" style="position:absolute;left:0pt;margin-left:1.5pt;margin-top:36.45pt;height:392.25pt;width:713.4pt;mso-wrap-distance-bottom:0pt;mso-wrap-distance-top:0pt;z-index:251666432;mso-width-relative:page;mso-height-relative:page;" filled="f" o:preferrelative="t" stroked="f" coordsize="21600,21600">
            <v:path/>
            <v:fill on="f" focussize="0,0"/>
            <v:stroke on="f" joinstyle="miter"/>
            <v:imagedata r:id="rId9" cropleft="362f" croptop="2701f" cropright="362f" o:title=""/>
            <o:lock v:ext="edit" aspectratio="t"/>
            <w10:wrap type="topAndBottom"/>
          </v:shape>
        </w:pict>
      </w:r>
    </w:p>
    <w:p>
      <w:pPr>
        <w:pStyle w:val="6"/>
        <w:spacing w:line="600" w:lineRule="exact"/>
        <w:ind w:firstLine="420" w:firstLineChars="200"/>
        <w:jc w:val="center"/>
        <w:rPr>
          <w:rFonts w:ascii="Times New Roman" w:hAnsi="Times New Roman" w:cs="Times New Roman"/>
        </w:rPr>
        <w:sectPr>
          <w:pgSz w:w="16838" w:h="11906" w:orient="landscape"/>
          <w:pgMar w:top="1701" w:right="1247" w:bottom="1701" w:left="1247" w:header="851" w:footer="992" w:gutter="0"/>
          <w:pgNumType w:fmt="numberInDash"/>
          <w:cols w:space="425" w:num="1"/>
          <w:docGrid w:type="lines" w:linePitch="312" w:charSpace="0"/>
        </w:sectPr>
      </w:pPr>
      <w:r>
        <w:pict>
          <v:shape id="_x0000_s1034" o:spid="_x0000_s1034" o:spt="202" type="#_x0000_t202" style="position:absolute;left:0pt;margin-left:212.2pt;margin-top:-428.4pt;height:23.75pt;width:326.75pt;z-index:251662336;mso-width-relative:page;mso-height-relative:page;" filled="f" stroked="f" coordsize="21600,21600">
            <v:path/>
            <v:fill on="f" focussize="0,0"/>
            <v:stroke on="f" weight="0.5pt" joinstyle="miter"/>
            <v:imagedata o:title=""/>
            <o:lock v:ext="edit"/>
            <v:textbox>
              <w:txbxContent>
                <w:p>
                  <w:pPr>
                    <w:rPr>
                      <w:rFonts w:ascii="仿宋" w:hAnsi="仿宋" w:eastAsia="仿宋"/>
                      <w:b/>
                      <w:bCs/>
                      <w:sz w:val="24"/>
                      <w:szCs w:val="24"/>
                    </w:rPr>
                  </w:pPr>
                  <w:r>
                    <w:rPr>
                      <w:rFonts w:hint="eastAsia" w:ascii="仿宋" w:hAnsi="仿宋" w:eastAsia="仿宋" w:cs="仿宋"/>
                      <w:b/>
                      <w:bCs/>
                      <w:sz w:val="24"/>
                      <w:szCs w:val="24"/>
                    </w:rPr>
                    <w:t>图</w:t>
                  </w:r>
                  <w:r>
                    <w:rPr>
                      <w:rFonts w:ascii="仿宋" w:hAnsi="仿宋" w:eastAsia="仿宋" w:cs="仿宋"/>
                      <w:b/>
                      <w:bCs/>
                      <w:sz w:val="24"/>
                      <w:szCs w:val="24"/>
                    </w:rPr>
                    <w:t>3</w:t>
                  </w:r>
                  <w:r>
                    <w:rPr>
                      <w:rFonts w:hint="eastAsia" w:ascii="仿宋" w:hAnsi="仿宋" w:eastAsia="仿宋" w:cs="仿宋"/>
                      <w:b/>
                      <w:bCs/>
                      <w:sz w:val="24"/>
                      <w:szCs w:val="24"/>
                    </w:rPr>
                    <w:t>：抚顺市冶金高端新材料产业发展重点项目分布图</w:t>
                  </w:r>
                </w:p>
              </w:txbxContent>
            </v:textbox>
          </v:shape>
        </w:pict>
      </w:r>
    </w:p>
    <w:p>
      <w:pPr>
        <w:spacing w:line="600" w:lineRule="exact"/>
        <w:ind w:firstLine="643" w:firstLineChars="200"/>
        <w:outlineLvl w:val="0"/>
        <w:rPr>
          <w:rFonts w:ascii="Times New Roman" w:hAnsi="Times New Roman" w:eastAsia="黑体"/>
          <w:b/>
          <w:bCs/>
          <w:kern w:val="0"/>
          <w:sz w:val="32"/>
          <w:szCs w:val="32"/>
        </w:rPr>
      </w:pPr>
      <w:bookmarkStart w:id="37" w:name="_Toc8408"/>
      <w:r>
        <w:rPr>
          <w:rFonts w:hint="eastAsia" w:ascii="Times New Roman" w:hAnsi="Times New Roman" w:eastAsia="黑体" w:cs="黑体"/>
          <w:b/>
          <w:bCs/>
          <w:kern w:val="0"/>
          <w:sz w:val="32"/>
          <w:szCs w:val="32"/>
        </w:rPr>
        <w:t>八、保障措施</w:t>
      </w:r>
      <w:bookmarkEnd w:id="37"/>
    </w:p>
    <w:p>
      <w:pPr>
        <w:pStyle w:val="4"/>
        <w:widowControl/>
        <w:shd w:val="clear" w:color="auto" w:fill="FFFFFF"/>
        <w:spacing w:beforeAutospacing="0" w:afterAutospacing="0" w:line="600" w:lineRule="exact"/>
        <w:ind w:firstLine="643" w:firstLineChars="200"/>
        <w:rPr>
          <w:rFonts w:ascii="Times New Roman" w:hAnsi="Times New Roman" w:eastAsia="楷体"/>
          <w:kern w:val="2"/>
          <w:sz w:val="32"/>
          <w:szCs w:val="32"/>
        </w:rPr>
      </w:pPr>
      <w:bookmarkStart w:id="38" w:name="_Toc8037"/>
      <w:r>
        <w:rPr>
          <w:rFonts w:hint="eastAsia" w:ascii="Times New Roman" w:hAnsi="Times New Roman" w:eastAsia="楷体" w:cs="楷体"/>
          <w:kern w:val="2"/>
          <w:sz w:val="32"/>
          <w:szCs w:val="32"/>
        </w:rPr>
        <w:t>（一）落实主体责任</w:t>
      </w:r>
      <w:bookmarkEnd w:id="38"/>
    </w:p>
    <w:p>
      <w:pPr>
        <w:widowControl/>
        <w:shd w:val="clear" w:color="auto" w:fill="FFFFFF"/>
        <w:spacing w:line="600" w:lineRule="exact"/>
        <w:ind w:firstLine="640" w:firstLineChars="200"/>
        <w:rPr>
          <w:rFonts w:ascii="Times New Roman" w:hAnsi="Times New Roman" w:eastAsia="仿宋_GB2312"/>
          <w:b/>
          <w:bCs/>
          <w:kern w:val="0"/>
          <w:sz w:val="32"/>
          <w:szCs w:val="32"/>
          <w:shd w:val="clear" w:color="auto" w:fill="FFFFFF"/>
        </w:rPr>
      </w:pPr>
      <w:r>
        <w:rPr>
          <w:rFonts w:ascii="Times New Roman" w:hAnsi="Times New Roman" w:cs="Times New Roman"/>
          <w:b/>
          <w:bCs/>
          <w:color w:val="333333"/>
          <w:sz w:val="32"/>
          <w:szCs w:val="32"/>
          <w:shd w:val="clear" w:color="auto" w:fill="FFFFFF"/>
        </w:rPr>
        <w:t>1.</w:t>
      </w:r>
      <w:r>
        <w:rPr>
          <w:rFonts w:hint="eastAsia" w:ascii="Times New Roman" w:hAnsi="Times New Roman" w:eastAsia="仿宋_GB2312" w:cs="仿宋_GB2312"/>
          <w:b/>
          <w:bCs/>
          <w:kern w:val="0"/>
          <w:sz w:val="32"/>
          <w:szCs w:val="32"/>
          <w:shd w:val="clear" w:color="auto" w:fill="FFFFFF"/>
        </w:rPr>
        <w:t>加强部门协作，推进产业稳步发展</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cs="仿宋_GB2312"/>
          <w:sz w:val="32"/>
          <w:szCs w:val="32"/>
          <w:shd w:val="clear" w:color="auto" w:fill="FFFFFF"/>
        </w:rPr>
        <w:t>成立抚顺市冶金高端新材料产业发展推进领导小组，成员由工业和信息化、发展改革、科技、财政、生态环境、自然资源、应急管理等市直部门和相关县区的主要领导组成，对抚顺市冶金产业发展及规划工作进行统一领导，统筹推进。领导小组下设办公室在望花经济开发区，由开发区管委会具体负责产业发展推进相关工作落实，由市工业和信息化局负责组织协调，并明确相关人员责任，实行定期报告制度，切实做到措施明确，责任到人。各级相关部门按职责分工，共同推进全市冶金产业发展。</w:t>
      </w:r>
    </w:p>
    <w:p>
      <w:pPr>
        <w:widowControl/>
        <w:shd w:val="clear" w:color="auto" w:fill="FFFFFF"/>
        <w:spacing w:line="600" w:lineRule="exact"/>
        <w:ind w:firstLine="643" w:firstLineChars="200"/>
        <w:rPr>
          <w:rFonts w:ascii="Times New Roman" w:hAnsi="Times New Roman" w:eastAsia="仿宋_GB2312"/>
          <w:b/>
          <w:bCs/>
          <w:kern w:val="0"/>
          <w:sz w:val="32"/>
          <w:szCs w:val="32"/>
          <w:shd w:val="clear" w:color="auto" w:fill="FFFFFF"/>
        </w:rPr>
      </w:pPr>
      <w:r>
        <w:rPr>
          <w:rFonts w:ascii="Times New Roman" w:hAnsi="Times New Roman" w:eastAsia="仿宋_GB2312" w:cs="Times New Roman"/>
          <w:b/>
          <w:bCs/>
          <w:kern w:val="0"/>
          <w:sz w:val="32"/>
          <w:szCs w:val="32"/>
          <w:shd w:val="clear" w:color="auto" w:fill="FFFFFF"/>
        </w:rPr>
        <w:t>2.</w:t>
      </w:r>
      <w:r>
        <w:rPr>
          <w:rFonts w:hint="eastAsia" w:ascii="Times New Roman" w:hAnsi="Times New Roman" w:eastAsia="仿宋_GB2312" w:cs="仿宋_GB2312"/>
          <w:b/>
          <w:bCs/>
          <w:kern w:val="0"/>
          <w:sz w:val="32"/>
          <w:szCs w:val="32"/>
          <w:shd w:val="clear" w:color="auto" w:fill="FFFFFF"/>
        </w:rPr>
        <w:t>做好规划跟踪，完善考核考评机制</w:t>
      </w:r>
    </w:p>
    <w:p>
      <w:pPr>
        <w:widowControl/>
        <w:shd w:val="clear" w:color="auto" w:fill="FFFFFF"/>
        <w:spacing w:line="600" w:lineRule="exact"/>
        <w:ind w:firstLine="620" w:firstLineChars="200"/>
        <w:rPr>
          <w:rFonts w:ascii="Times New Roman" w:hAnsi="Times New Roman" w:eastAsia="仿宋_GB2312"/>
          <w:sz w:val="31"/>
          <w:szCs w:val="31"/>
          <w:shd w:val="clear" w:color="auto" w:fill="FFFFFF"/>
        </w:rPr>
      </w:pPr>
      <w:r>
        <w:rPr>
          <w:rFonts w:hint="eastAsia" w:ascii="Times New Roman" w:hAnsi="Times New Roman" w:eastAsia="仿宋_GB2312" w:cs="仿宋_GB2312"/>
          <w:sz w:val="31"/>
          <w:szCs w:val="31"/>
          <w:shd w:val="clear" w:color="auto" w:fill="FFFFFF"/>
        </w:rPr>
        <w:t>强化产业发展经济运行监测和重点项目推进分析制度，准确研判和把握发展形势，及时提出产业发展对策建议。全市各级各部门要把强化规划管理作为推进产业发展的重要内容，将规划确定的目标任务列入市级对各县区、开发区的监督考核管理。在规划实施过程中，各级政府部门、开发区要相互支持形成合力，凡列入本规划的项目，优先给予相应政策倾斜和扶持，并做好规划实施的跟踪研究，根据发展形势变化，及时进行调整。对成绩突出的，由市政府按照有关规定给予表彰奖励，对工作推诿、敷衍塞责、未完成目标任务的单位和个人实行问责。</w:t>
      </w:r>
    </w:p>
    <w:p>
      <w:pPr>
        <w:pStyle w:val="4"/>
        <w:widowControl/>
        <w:shd w:val="clear" w:color="auto" w:fill="FFFFFF"/>
        <w:spacing w:beforeAutospacing="0" w:afterAutospacing="0" w:line="600" w:lineRule="exact"/>
        <w:ind w:firstLine="643" w:firstLineChars="200"/>
        <w:rPr>
          <w:rFonts w:ascii="Times New Roman" w:hAnsi="Times New Roman" w:eastAsia="楷体"/>
          <w:kern w:val="2"/>
          <w:sz w:val="32"/>
          <w:szCs w:val="32"/>
        </w:rPr>
      </w:pPr>
      <w:bookmarkStart w:id="39" w:name="_Toc28673"/>
      <w:r>
        <w:rPr>
          <w:rFonts w:hint="eastAsia" w:ascii="Times New Roman" w:hAnsi="Times New Roman" w:eastAsia="楷体" w:cs="楷体"/>
          <w:kern w:val="2"/>
          <w:sz w:val="32"/>
          <w:szCs w:val="32"/>
        </w:rPr>
        <w:t>（二）提升服务效能</w:t>
      </w:r>
      <w:bookmarkEnd w:id="39"/>
    </w:p>
    <w:p>
      <w:pPr>
        <w:widowControl/>
        <w:shd w:val="clear" w:color="auto" w:fill="FFFFFF"/>
        <w:spacing w:line="600" w:lineRule="exact"/>
        <w:ind w:firstLine="622" w:firstLineChars="200"/>
        <w:rPr>
          <w:rFonts w:ascii="Times New Roman" w:hAnsi="Times New Roman" w:eastAsia="仿宋_GB2312"/>
          <w:b/>
          <w:bCs/>
          <w:kern w:val="0"/>
          <w:sz w:val="31"/>
          <w:szCs w:val="31"/>
          <w:shd w:val="clear" w:color="auto" w:fill="FFFFFF"/>
        </w:rPr>
      </w:pPr>
      <w:r>
        <w:rPr>
          <w:rFonts w:ascii="Times New Roman" w:hAnsi="Times New Roman" w:eastAsia="仿宋_GB2312" w:cs="Times New Roman"/>
          <w:b/>
          <w:bCs/>
          <w:kern w:val="0"/>
          <w:sz w:val="31"/>
          <w:szCs w:val="31"/>
          <w:shd w:val="clear" w:color="auto" w:fill="FFFFFF"/>
        </w:rPr>
        <w:t>1.</w:t>
      </w:r>
      <w:r>
        <w:rPr>
          <w:rFonts w:hint="eastAsia" w:ascii="Times New Roman" w:hAnsi="Times New Roman" w:eastAsia="仿宋_GB2312" w:cs="仿宋_GB2312"/>
          <w:b/>
          <w:bCs/>
          <w:kern w:val="0"/>
          <w:sz w:val="31"/>
          <w:szCs w:val="31"/>
          <w:shd w:val="clear" w:color="auto" w:fill="FFFFFF"/>
        </w:rPr>
        <w:t>优化营商环境，激发市场主体活力</w:t>
      </w:r>
    </w:p>
    <w:p>
      <w:pPr>
        <w:spacing w:line="600" w:lineRule="exact"/>
        <w:ind w:firstLine="620" w:firstLineChars="200"/>
        <w:rPr>
          <w:rFonts w:ascii="Times New Roman" w:hAnsi="Times New Roman" w:eastAsia="仿宋_GB2312"/>
          <w:kern w:val="0"/>
          <w:sz w:val="31"/>
          <w:szCs w:val="31"/>
          <w:shd w:val="clear" w:color="auto" w:fill="FFFFFF"/>
        </w:rPr>
      </w:pPr>
      <w:r>
        <w:rPr>
          <w:rFonts w:hint="eastAsia" w:ascii="Times New Roman" w:hAnsi="Times New Roman" w:eastAsia="仿宋_GB2312" w:cs="仿宋_GB2312"/>
          <w:kern w:val="0"/>
          <w:sz w:val="31"/>
          <w:szCs w:val="31"/>
          <w:shd w:val="clear" w:color="auto" w:fill="FFFFFF"/>
        </w:rPr>
        <w:t>深化放管服改革，营造“兴商”发展环境。通过改革提升服务品质，激发市场主体活力，发挥驱动效应，扩大资本吸引力。不断优化行政审批，通过简化、合并或取消等方式精简行政审批事项，促进行政审批提质增效；着力提升服务能力和质量，以服务促管理，为企业发展创造条件；加强政策配套措施与实施细则的建设，强化重点领域改革的谋划和推进，严格落实《抚顺市促进民营经济发展条例》《抚顺市促进民营经济发展条例实施细则》及国家、省、市关于支持民营企业发展的政策措施，结合职能千方百计为企业分忧解难，提高民营经济发展质量。</w:t>
      </w:r>
    </w:p>
    <w:p>
      <w:pPr>
        <w:widowControl/>
        <w:shd w:val="clear" w:color="auto" w:fill="FFFFFF"/>
        <w:spacing w:line="600" w:lineRule="exact"/>
        <w:ind w:firstLine="622" w:firstLineChars="200"/>
        <w:rPr>
          <w:rFonts w:ascii="Times New Roman" w:hAnsi="Times New Roman" w:eastAsia="仿宋_GB2312"/>
          <w:b/>
          <w:bCs/>
          <w:kern w:val="0"/>
          <w:sz w:val="31"/>
          <w:szCs w:val="31"/>
          <w:shd w:val="clear" w:color="auto" w:fill="FFFFFF"/>
        </w:rPr>
      </w:pPr>
      <w:r>
        <w:rPr>
          <w:rFonts w:ascii="Times New Roman" w:hAnsi="Times New Roman" w:eastAsia="仿宋_GB2312" w:cs="Times New Roman"/>
          <w:b/>
          <w:bCs/>
          <w:kern w:val="0"/>
          <w:sz w:val="31"/>
          <w:szCs w:val="31"/>
          <w:shd w:val="clear" w:color="auto" w:fill="FFFFFF"/>
        </w:rPr>
        <w:t>2.</w:t>
      </w:r>
      <w:r>
        <w:rPr>
          <w:rFonts w:hint="eastAsia" w:ascii="Times New Roman" w:hAnsi="Times New Roman" w:eastAsia="仿宋_GB2312" w:cs="仿宋_GB2312"/>
          <w:b/>
          <w:bCs/>
          <w:kern w:val="0"/>
          <w:sz w:val="31"/>
          <w:szCs w:val="31"/>
          <w:shd w:val="clear" w:color="auto" w:fill="FFFFFF"/>
        </w:rPr>
        <w:t>严格行业管理，推进行业健康发展</w:t>
      </w:r>
    </w:p>
    <w:p>
      <w:pPr>
        <w:pStyle w:val="14"/>
        <w:widowControl/>
        <w:shd w:val="clear" w:color="auto" w:fill="FFFFFF"/>
        <w:spacing w:beforeAutospacing="0" w:afterAutospacing="0" w:line="600" w:lineRule="exact"/>
        <w:ind w:firstLine="620" w:firstLineChars="200"/>
        <w:rPr>
          <w:rFonts w:ascii="Times New Roman" w:hAnsi="Times New Roman" w:eastAsia="微软雅黑"/>
          <w:sz w:val="21"/>
          <w:szCs w:val="21"/>
        </w:rPr>
      </w:pPr>
      <w:r>
        <w:rPr>
          <w:rFonts w:hint="eastAsia" w:ascii="Times New Roman" w:hAnsi="Times New Roman" w:eastAsia="仿宋_GB2312" w:cs="仿宋_GB2312"/>
          <w:sz w:val="31"/>
          <w:szCs w:val="31"/>
          <w:shd w:val="clear" w:color="auto" w:fill="FFFFFF"/>
        </w:rPr>
        <w:t>根据国家和省、市产业政策，组织和实施冶金产业企业行业准入或生产经营规范条件公告管理。切实把好冶金产业准入关口，严把项目审批或备案关，严把环境、土地、规划、安全、质量等关口。对不符合行业准入条件或规范经营条件，以及不符合冶金产业结构调整和化解过剩产能要求的现有企业及新建、改扩建项目，一律不予办理相关证照。加强和引导冶金产业行业自律管理，促进冶金产业向规范化和健康化发展。</w:t>
      </w:r>
    </w:p>
    <w:p>
      <w:pPr>
        <w:pStyle w:val="4"/>
        <w:widowControl/>
        <w:shd w:val="clear" w:color="auto" w:fill="FFFFFF"/>
        <w:spacing w:beforeAutospacing="0" w:afterAutospacing="0" w:line="600" w:lineRule="exact"/>
        <w:ind w:firstLine="643" w:firstLineChars="200"/>
        <w:rPr>
          <w:rFonts w:ascii="Times New Roman" w:hAnsi="Times New Roman" w:eastAsia="楷体"/>
          <w:kern w:val="2"/>
          <w:sz w:val="32"/>
          <w:szCs w:val="32"/>
        </w:rPr>
      </w:pPr>
      <w:bookmarkStart w:id="40" w:name="_Toc28629"/>
      <w:r>
        <w:rPr>
          <w:rFonts w:hint="eastAsia" w:ascii="Times New Roman" w:hAnsi="Times New Roman" w:eastAsia="楷体" w:cs="楷体"/>
          <w:kern w:val="2"/>
          <w:sz w:val="32"/>
          <w:szCs w:val="32"/>
        </w:rPr>
        <w:t>（三）加强要素保障</w:t>
      </w:r>
      <w:bookmarkEnd w:id="40"/>
    </w:p>
    <w:p>
      <w:pPr>
        <w:widowControl/>
        <w:shd w:val="clear" w:color="auto" w:fill="FFFFFF"/>
        <w:spacing w:line="600" w:lineRule="exact"/>
        <w:ind w:firstLine="622" w:firstLineChars="200"/>
        <w:rPr>
          <w:rFonts w:ascii="Times New Roman" w:hAnsi="Times New Roman" w:eastAsia="仿宋_GB2312"/>
          <w:b/>
          <w:bCs/>
          <w:color w:val="FF0000"/>
          <w:kern w:val="0"/>
          <w:sz w:val="31"/>
          <w:szCs w:val="31"/>
          <w:shd w:val="clear" w:color="auto" w:fill="FFFFFF"/>
        </w:rPr>
      </w:pPr>
      <w:r>
        <w:rPr>
          <w:rFonts w:ascii="Times New Roman" w:hAnsi="Times New Roman" w:eastAsia="仿宋_GB2312" w:cs="Times New Roman"/>
          <w:b/>
          <w:bCs/>
          <w:kern w:val="0"/>
          <w:sz w:val="31"/>
          <w:szCs w:val="31"/>
          <w:shd w:val="clear" w:color="auto" w:fill="FFFFFF"/>
        </w:rPr>
        <w:t>1.</w:t>
      </w:r>
      <w:r>
        <w:rPr>
          <w:rFonts w:hint="eastAsia" w:ascii="Times New Roman" w:hAnsi="Times New Roman" w:eastAsia="仿宋_GB2312" w:cs="仿宋_GB2312"/>
          <w:b/>
          <w:bCs/>
          <w:kern w:val="0"/>
          <w:sz w:val="31"/>
          <w:szCs w:val="31"/>
          <w:shd w:val="clear" w:color="auto" w:fill="FFFFFF"/>
        </w:rPr>
        <w:t>配套政策保障，改善产业发展环境</w:t>
      </w:r>
    </w:p>
    <w:p>
      <w:pPr>
        <w:pStyle w:val="14"/>
        <w:widowControl/>
        <w:shd w:val="clear" w:color="auto" w:fill="FFFFFF"/>
        <w:spacing w:beforeAutospacing="0" w:afterAutospacing="0" w:line="600" w:lineRule="exact"/>
        <w:ind w:firstLine="640" w:firstLineChars="200"/>
        <w:jc w:val="both"/>
        <w:rPr>
          <w:rFonts w:ascii="Times New Roman" w:hAnsi="Times New Roman" w:eastAsia="仿宋_GB2312"/>
          <w:b/>
          <w:bCs/>
          <w:color w:val="FF0000"/>
          <w:sz w:val="31"/>
          <w:szCs w:val="31"/>
          <w:shd w:val="clear" w:color="auto" w:fill="FFFFFF"/>
        </w:rPr>
      </w:pPr>
      <w:r>
        <w:rPr>
          <w:rFonts w:hint="eastAsia" w:ascii="Times New Roman" w:hAnsi="Times New Roman" w:eastAsia="仿宋_GB2312" w:cs="仿宋_GB2312"/>
          <w:kern w:val="2"/>
          <w:sz w:val="32"/>
          <w:szCs w:val="32"/>
        </w:rPr>
        <w:t>紧抓抚顺市大力发展实体经济契机，加强顶层设计和产业政策引导。各级工业和信息化部门要积极协调落实财政、税收、金融、用地等扶持冶金新材料产业发展的相关政策，构建冶金新材料产业发展政策体系。优先为促进自主创新、发展壮大冶金产业企业发展、推进创新成果产业化、开展应用示范工程、优化布局冶金新材料产业集聚区、培养高素质人才队伍、开拓市场份额等方面的需求，予以政策扶持，营造良好产业发展政策环境。</w:t>
      </w:r>
    </w:p>
    <w:p>
      <w:pPr>
        <w:widowControl/>
        <w:shd w:val="clear" w:color="auto" w:fill="FFFFFF"/>
        <w:spacing w:line="600" w:lineRule="exact"/>
        <w:ind w:firstLine="622" w:firstLineChars="200"/>
        <w:rPr>
          <w:rFonts w:ascii="Times New Roman" w:hAnsi="Times New Roman" w:eastAsia="仿宋_GB2312"/>
          <w:b/>
          <w:bCs/>
          <w:kern w:val="0"/>
          <w:sz w:val="31"/>
          <w:szCs w:val="31"/>
          <w:shd w:val="clear" w:color="auto" w:fill="FFFFFF"/>
        </w:rPr>
      </w:pPr>
      <w:r>
        <w:rPr>
          <w:rFonts w:ascii="Times New Roman" w:hAnsi="Times New Roman" w:eastAsia="仿宋_GB2312" w:cs="Times New Roman"/>
          <w:b/>
          <w:bCs/>
          <w:kern w:val="0"/>
          <w:sz w:val="31"/>
          <w:szCs w:val="31"/>
          <w:shd w:val="clear" w:color="auto" w:fill="FFFFFF"/>
        </w:rPr>
        <w:t>2.</w:t>
      </w:r>
      <w:r>
        <w:rPr>
          <w:rFonts w:hint="eastAsia" w:ascii="Times New Roman" w:hAnsi="Times New Roman" w:eastAsia="仿宋_GB2312" w:cs="仿宋_GB2312"/>
          <w:b/>
          <w:bCs/>
          <w:kern w:val="0"/>
          <w:sz w:val="31"/>
          <w:szCs w:val="31"/>
          <w:shd w:val="clear" w:color="auto" w:fill="FFFFFF"/>
        </w:rPr>
        <w:t>加大财政支持，创新金融支持方式</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1"/>
          <w:szCs w:val="31"/>
          <w:shd w:val="clear" w:color="auto" w:fill="FFFFFF"/>
        </w:rPr>
      </w:pPr>
      <w:r>
        <w:rPr>
          <w:rFonts w:hint="eastAsia" w:ascii="Times New Roman" w:hAnsi="Times New Roman" w:eastAsia="仿宋_GB2312" w:cs="仿宋_GB2312"/>
          <w:kern w:val="2"/>
          <w:sz w:val="32"/>
          <w:szCs w:val="32"/>
        </w:rPr>
        <w:t>创新金融支持方式，建立多元化投融资机制，吸引社会资本投资冶金新材料产业建设。</w:t>
      </w:r>
      <w:r>
        <w:rPr>
          <w:rFonts w:hint="eastAsia" w:ascii="Times New Roman" w:hAnsi="Times New Roman" w:eastAsia="仿宋_GB2312" w:cs="仿宋_GB2312"/>
          <w:sz w:val="31"/>
          <w:szCs w:val="31"/>
          <w:shd w:val="clear" w:color="auto" w:fill="FFFFFF"/>
        </w:rPr>
        <w:t>积极争取国家和省级工业发展扶持资金，建立冶金新材料产业发展项目库，并对符合产业政策和结构调整方向、具有先进示范带动作用、精深加工、技术引进消化吸收再创新、延伸产业链急需重点突破的产品、技术研发、产业化项目，给予重点扶持。鼓励金融机构加大对冶金新材料产业转型升级的信贷支持。加大直接融资渠道的拓展力度，优先支持重点企业通过发行企业债券、短期融资券、中期票据等筹集发展资金。支持冶金企业通过融资租赁、经营租赁等形式，拓宽融资渠道。</w:t>
      </w:r>
    </w:p>
    <w:p>
      <w:pPr>
        <w:pStyle w:val="14"/>
        <w:widowControl/>
        <w:shd w:val="clear" w:color="auto" w:fill="FFFFFF"/>
        <w:spacing w:beforeAutospacing="0" w:afterAutospacing="0" w:line="600" w:lineRule="exact"/>
        <w:ind w:firstLine="643" w:firstLineChars="200"/>
        <w:rPr>
          <w:rFonts w:ascii="Times New Roman" w:hAnsi="Times New Roman" w:eastAsia="仿宋_GB2312"/>
          <w:b/>
          <w:bCs/>
          <w:sz w:val="32"/>
          <w:szCs w:val="32"/>
          <w:shd w:val="clear" w:color="auto" w:fill="FFFFFF"/>
        </w:rPr>
      </w:pPr>
      <w:r>
        <w:rPr>
          <w:rFonts w:ascii="Times New Roman" w:hAnsi="Times New Roman" w:eastAsia="仿宋_GB2312" w:cs="Times New Roman"/>
          <w:b/>
          <w:bCs/>
          <w:sz w:val="32"/>
          <w:szCs w:val="32"/>
          <w:shd w:val="clear" w:color="auto" w:fill="FFFFFF"/>
        </w:rPr>
        <w:t>3.</w:t>
      </w:r>
      <w:r>
        <w:rPr>
          <w:rFonts w:hint="eastAsia" w:ascii="Times New Roman" w:hAnsi="Times New Roman" w:eastAsia="仿宋_GB2312" w:cs="仿宋_GB2312"/>
          <w:b/>
          <w:bCs/>
          <w:sz w:val="32"/>
          <w:szCs w:val="32"/>
          <w:shd w:val="clear" w:color="auto" w:fill="FFFFFF"/>
        </w:rPr>
        <w:t>优化土地供给，助推重大项目落地</w:t>
      </w:r>
    </w:p>
    <w:p>
      <w:pPr>
        <w:pStyle w:val="14"/>
        <w:widowControl/>
        <w:shd w:val="clear" w:color="auto" w:fill="FFFFFF"/>
        <w:spacing w:beforeAutospacing="0" w:afterAutospacing="0" w:line="600" w:lineRule="exact"/>
        <w:ind w:firstLine="620" w:firstLineChars="200"/>
        <w:jc w:val="both"/>
        <w:rPr>
          <w:rFonts w:ascii="Times New Roman" w:hAnsi="Times New Roman" w:eastAsia="仿宋_GB2312"/>
          <w:sz w:val="31"/>
          <w:szCs w:val="31"/>
          <w:shd w:val="clear" w:color="auto" w:fill="FFFFFF"/>
        </w:rPr>
      </w:pPr>
      <w:r>
        <w:rPr>
          <w:rFonts w:hint="eastAsia" w:ascii="Times New Roman" w:hAnsi="Times New Roman" w:eastAsia="仿宋_GB2312" w:cs="仿宋_GB2312"/>
          <w:sz w:val="31"/>
          <w:szCs w:val="31"/>
          <w:shd w:val="clear" w:color="auto" w:fill="FFFFFF"/>
        </w:rPr>
        <w:t>市自然资源部门、国土空间规划单位要统筹安排城市产业发展用地，将优化土地供给作为产业发展要素保障的重点工作。综合运用经济、行政、法律等手段开展土地供给管理，着力稳定工业用地规划保障，土地利用年度计划倾斜安排冶金新材料产业发展</w:t>
      </w:r>
      <w:r>
        <w:rPr>
          <w:rFonts w:hint="eastAsia" w:ascii="Times New Roman" w:hAnsi="Times New Roman" w:eastAsia="仿宋_GB2312" w:cs="仿宋_GB2312"/>
          <w:kern w:val="2"/>
          <w:sz w:val="32"/>
          <w:szCs w:val="32"/>
        </w:rPr>
        <w:t>优势项目和重点项目落地</w:t>
      </w:r>
      <w:r>
        <w:rPr>
          <w:rFonts w:hint="eastAsia" w:ascii="Times New Roman" w:hAnsi="Times New Roman" w:eastAsia="仿宋_GB2312" w:cs="仿宋_GB2312"/>
          <w:sz w:val="31"/>
          <w:szCs w:val="31"/>
          <w:shd w:val="clear" w:color="auto" w:fill="FFFFFF"/>
        </w:rPr>
        <w:t>。</w:t>
      </w:r>
      <w:r>
        <w:rPr>
          <w:rFonts w:hint="eastAsia" w:ascii="Times New Roman" w:hAnsi="Times New Roman" w:eastAsia="仿宋_GB2312" w:cs="仿宋_GB2312"/>
          <w:kern w:val="2"/>
          <w:sz w:val="32"/>
          <w:szCs w:val="32"/>
        </w:rPr>
        <w:t>着力解决历史形成的产业用地布局与资源环境承载力不相适应、产出效率低、闲置浪费等问题，引导各类市场主体参与存量用地盘活，全面优化产业发展土地供给政策，提高土地利用率，实现抚顺市土地供应的合理化、精准化和集约转型化。</w:t>
      </w:r>
    </w:p>
    <w:p>
      <w:pPr>
        <w:pStyle w:val="14"/>
        <w:widowControl/>
        <w:shd w:val="clear" w:color="auto" w:fill="FFFFFF"/>
        <w:spacing w:beforeAutospacing="0" w:afterAutospacing="0" w:line="600" w:lineRule="exact"/>
        <w:ind w:firstLine="643" w:firstLineChars="200"/>
        <w:rPr>
          <w:rFonts w:ascii="Times New Roman" w:hAnsi="Times New Roman" w:eastAsia="仿宋_GB2312"/>
          <w:b/>
          <w:bCs/>
          <w:sz w:val="32"/>
          <w:szCs w:val="32"/>
          <w:shd w:val="clear" w:color="auto" w:fill="FFFFFF"/>
        </w:rPr>
      </w:pPr>
      <w:r>
        <w:rPr>
          <w:rFonts w:ascii="Times New Roman" w:hAnsi="Times New Roman" w:eastAsia="仿宋_GB2312" w:cs="Times New Roman"/>
          <w:b/>
          <w:bCs/>
          <w:sz w:val="32"/>
          <w:szCs w:val="32"/>
          <w:shd w:val="clear" w:color="auto" w:fill="FFFFFF"/>
        </w:rPr>
        <w:t>4.</w:t>
      </w:r>
      <w:r>
        <w:rPr>
          <w:rFonts w:hint="eastAsia" w:ascii="Times New Roman" w:hAnsi="Times New Roman" w:eastAsia="仿宋_GB2312" w:cs="仿宋_GB2312"/>
          <w:b/>
          <w:bCs/>
          <w:sz w:val="32"/>
          <w:szCs w:val="32"/>
          <w:shd w:val="clear" w:color="auto" w:fill="FFFFFF"/>
        </w:rPr>
        <w:t>加强人才支撑，驱动创新发展模式</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shd w:val="clear" w:color="auto" w:fill="FFFFFF"/>
        </w:rPr>
      </w:pPr>
      <w:r>
        <w:rPr>
          <w:rFonts w:hint="eastAsia" w:ascii="Times New Roman" w:hAnsi="Times New Roman" w:eastAsia="仿宋_GB2312" w:cs="仿宋_GB2312"/>
          <w:sz w:val="32"/>
          <w:szCs w:val="32"/>
          <w:shd w:val="clear" w:color="auto" w:fill="FFFFFF"/>
        </w:rPr>
        <w:t>充分利用中央省属企业和辽宁省大专院校、科研院所，以及技术中心、试验研究基地、院士专家工作站等一批企业科技创新平台，积极培养人才，深入研究处于行业领先、具有自主知识产权的专有核心技术。结合抚顺市人才引进相关政策，通过搭建创新创业平台，引进一批冶金行业国内外高端研究人才、管理人才及高技能人才。鼓励企业承办或参与冶金新材料产业论坛和各类交流活动，推进冶金新材料交流合作平台建设。建立以企业为主体、市场为导向、产学研结合的技术创新体系，大力培养和引进产业领军人才，着力培养一批高技能人才。加强产业技术人才需求预测，依托高等院校、职业院校、技工学校，建设一批专业人才培养培训基地。鼓励企事业单位人才通过参与项目研发、技术攻关、技术咨询服务等多种形式，为全市冶金新材料产业发展提供服务。</w:t>
      </w:r>
    </w:p>
    <w:p>
      <w:pPr>
        <w:pStyle w:val="14"/>
        <w:widowControl/>
        <w:shd w:val="clear" w:color="auto" w:fill="FFFFFF"/>
        <w:spacing w:beforeAutospacing="0" w:afterAutospacing="0" w:line="600" w:lineRule="exact"/>
        <w:ind w:firstLine="640" w:firstLineChars="200"/>
        <w:rPr>
          <w:rFonts w:ascii="Times New Roman" w:hAnsi="Times New Roman" w:eastAsia="仿宋_GB2312"/>
          <w:sz w:val="32"/>
          <w:szCs w:val="32"/>
          <w:shd w:val="clear" w:color="auto" w:fill="FFFFFF"/>
        </w:rPr>
      </w:pPr>
    </w:p>
    <w:p>
      <w:pPr>
        <w:spacing w:line="600" w:lineRule="exact"/>
        <w:ind w:firstLine="643" w:firstLineChars="200"/>
        <w:outlineLvl w:val="0"/>
        <w:rPr>
          <w:rFonts w:ascii="Times New Roman" w:hAnsi="Times New Roman" w:eastAsia="仿宋"/>
          <w:b/>
          <w:bCs/>
          <w:color w:val="000000"/>
          <w:kern w:val="0"/>
          <w:sz w:val="32"/>
          <w:szCs w:val="32"/>
        </w:rPr>
      </w:pPr>
      <w:bookmarkStart w:id="41" w:name="_Toc22545"/>
      <w:bookmarkStart w:id="42" w:name="_Toc26826"/>
      <w:r>
        <w:rPr>
          <w:rFonts w:hint="eastAsia" w:ascii="Times New Roman" w:hAnsi="Times New Roman" w:eastAsia="仿宋" w:cs="仿宋"/>
          <w:b/>
          <w:bCs/>
          <w:color w:val="000000"/>
          <w:kern w:val="0"/>
          <w:sz w:val="32"/>
          <w:szCs w:val="32"/>
        </w:rPr>
        <w:t>附件：近五年冶金新材料产业发展相关政策</w:t>
      </w:r>
      <w:bookmarkEnd w:id="41"/>
      <w:bookmarkEnd w:id="42"/>
    </w:p>
    <w:p>
      <w:pPr>
        <w:pStyle w:val="31"/>
        <w:spacing w:line="600" w:lineRule="exact"/>
        <w:ind w:firstLine="31680"/>
        <w:rPr>
          <w:rFonts w:ascii="Times New Roman" w:hAnsi="Times New Roman" w:eastAsia="楷体_GB2312"/>
          <w:b/>
          <w:bCs/>
          <w:color w:val="000000"/>
          <w:kern w:val="0"/>
          <w:sz w:val="32"/>
          <w:szCs w:val="32"/>
        </w:rPr>
        <w:sectPr>
          <w:pgSz w:w="11906" w:h="16838"/>
          <w:pgMar w:top="1440" w:right="1800" w:bottom="1440" w:left="1800" w:header="851" w:footer="992" w:gutter="0"/>
          <w:pgNumType w:fmt="numberInDash"/>
          <w:cols w:space="425" w:num="1"/>
          <w:docGrid w:type="lines" w:linePitch="312" w:charSpace="0"/>
        </w:sectPr>
      </w:pPr>
    </w:p>
    <w:p>
      <w:pPr>
        <w:pStyle w:val="31"/>
        <w:spacing w:line="360" w:lineRule="auto"/>
        <w:ind w:firstLine="0" w:firstLineChars="0"/>
        <w:rPr>
          <w:rFonts w:ascii="Times New Roman" w:hAnsi="Times New Roman" w:cs="Times New Roman"/>
          <w:b/>
          <w:bCs/>
          <w:kern w:val="0"/>
          <w:sz w:val="32"/>
          <w:szCs w:val="32"/>
        </w:rPr>
      </w:pPr>
      <w:r>
        <w:rPr>
          <w:rFonts w:hint="eastAsia" w:ascii="Times New Roman" w:hAnsi="Times New Roman" w:eastAsia="黑体" w:cs="黑体"/>
          <w:kern w:val="0"/>
          <w:sz w:val="32"/>
          <w:szCs w:val="32"/>
        </w:rPr>
        <w:t>附件：</w:t>
      </w:r>
    </w:p>
    <w:p>
      <w:pPr>
        <w:pStyle w:val="31"/>
        <w:spacing w:line="360" w:lineRule="auto"/>
        <w:ind w:firstLine="0" w:firstLineChars="0"/>
        <w:jc w:val="center"/>
        <w:rPr>
          <w:rFonts w:ascii="Times New Roman" w:hAnsi="Times New Roman" w:cs="Times New Roman"/>
          <w:sz w:val="32"/>
          <w:szCs w:val="32"/>
        </w:rPr>
      </w:pPr>
      <w:r>
        <w:rPr>
          <w:rFonts w:hint="eastAsia" w:ascii="Times New Roman" w:hAnsi="Times New Roman" w:eastAsia="仿宋" w:cs="仿宋"/>
          <w:b/>
          <w:bCs/>
          <w:sz w:val="32"/>
          <w:szCs w:val="32"/>
        </w:rPr>
        <w:t>近五年冶金新材料产业发展相关政策</w:t>
      </w:r>
    </w:p>
    <w:tbl>
      <w:tblPr>
        <w:tblStyle w:val="16"/>
        <w:tblW w:w="0" w:type="auto"/>
        <w:tblInd w:w="2" w:type="dxa"/>
        <w:tblLayout w:type="autofit"/>
        <w:tblCellMar>
          <w:top w:w="0" w:type="dxa"/>
          <w:left w:w="108" w:type="dxa"/>
          <w:bottom w:w="0" w:type="dxa"/>
          <w:right w:w="108" w:type="dxa"/>
        </w:tblCellMar>
      </w:tblPr>
      <w:tblGrid>
        <w:gridCol w:w="1424"/>
        <w:gridCol w:w="636"/>
        <w:gridCol w:w="2137"/>
        <w:gridCol w:w="4323"/>
      </w:tblGrid>
      <w:tr>
        <w:tblPrEx>
          <w:tblCellMar>
            <w:top w:w="0" w:type="dxa"/>
            <w:left w:w="108" w:type="dxa"/>
            <w:bottom w:w="0" w:type="dxa"/>
            <w:right w:w="108" w:type="dxa"/>
          </w:tblCellMar>
        </w:tblPrEx>
        <w:trPr>
          <w:trHeight w:val="578" w:hRule="atLeast"/>
          <w:tblHeader/>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b/>
                <w:bCs/>
              </w:rPr>
            </w:pPr>
            <w:r>
              <w:rPr>
                <w:rFonts w:hint="eastAsia" w:ascii="Times New Roman" w:hAnsi="Times New Roman" w:eastAsia="仿宋" w:cs="仿宋"/>
                <w:b/>
                <w:bCs/>
                <w:kern w:val="0"/>
              </w:rPr>
              <w:t>发布时间</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b/>
                <w:bCs/>
              </w:rPr>
            </w:pPr>
            <w:r>
              <w:rPr>
                <w:rFonts w:hint="eastAsia" w:ascii="Times New Roman" w:hAnsi="Times New Roman" w:eastAsia="仿宋" w:cs="仿宋"/>
                <w:b/>
                <w:bCs/>
                <w:kern w:val="0"/>
              </w:rPr>
              <w:t>发布部门</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b/>
                <w:bCs/>
              </w:rPr>
            </w:pPr>
            <w:r>
              <w:rPr>
                <w:rFonts w:hint="eastAsia" w:ascii="Times New Roman" w:hAnsi="Times New Roman" w:eastAsia="仿宋" w:cs="仿宋"/>
                <w:b/>
                <w:bCs/>
                <w:kern w:val="0"/>
              </w:rPr>
              <w:t>政策名称</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b/>
                <w:bCs/>
              </w:rPr>
            </w:pPr>
            <w:r>
              <w:rPr>
                <w:rFonts w:hint="eastAsia" w:ascii="Times New Roman" w:hAnsi="Times New Roman" w:eastAsia="仿宋" w:cs="仿宋"/>
                <w:b/>
                <w:bCs/>
                <w:kern w:val="0"/>
              </w:rPr>
              <w:t>内容摘编</w:t>
            </w:r>
          </w:p>
        </w:tc>
      </w:tr>
      <w:tr>
        <w:tblPrEx>
          <w:tblCellMar>
            <w:top w:w="0" w:type="dxa"/>
            <w:left w:w="108" w:type="dxa"/>
            <w:bottom w:w="0" w:type="dxa"/>
            <w:right w:w="108" w:type="dxa"/>
          </w:tblCellMar>
        </w:tblPrEx>
        <w:trPr>
          <w:trHeight w:val="422" w:hRule="atLeast"/>
        </w:trPr>
        <w:tc>
          <w:tcPr>
            <w:tcW w:w="0" w:type="auto"/>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Times New Roman" w:hAnsi="Times New Roman" w:eastAsia="仿宋"/>
                <w:kern w:val="0"/>
              </w:rPr>
            </w:pPr>
            <w:r>
              <w:rPr>
                <w:rFonts w:hint="eastAsia" w:ascii="Times New Roman" w:hAnsi="Times New Roman" w:eastAsia="仿宋" w:cs="仿宋"/>
                <w:b/>
                <w:bCs/>
                <w:kern w:val="0"/>
              </w:rPr>
              <w:t>一、国家层面</w:t>
            </w:r>
          </w:p>
        </w:tc>
      </w:tr>
      <w:tr>
        <w:tblPrEx>
          <w:tblCellMar>
            <w:top w:w="0" w:type="dxa"/>
            <w:left w:w="108" w:type="dxa"/>
            <w:bottom w:w="0" w:type="dxa"/>
            <w:right w:w="108" w:type="dxa"/>
          </w:tblCellMar>
        </w:tblPrEx>
        <w:trPr>
          <w:trHeight w:val="2075"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ascii="Times New Roman" w:hAnsi="Times New Roman" w:eastAsia="仿宋" w:cs="Times New Roman"/>
                <w:kern w:val="0"/>
              </w:rPr>
              <w:t>2017</w:t>
            </w:r>
            <w:r>
              <w:rPr>
                <w:rFonts w:hint="eastAsia" w:ascii="Times New Roman" w:hAnsi="Times New Roman" w:eastAsia="仿宋" w:cs="仿宋"/>
                <w:kern w:val="0"/>
              </w:rPr>
              <w:t>年</w:t>
            </w:r>
            <w:r>
              <w:rPr>
                <w:rFonts w:ascii="Times New Roman" w:hAnsi="Times New Roman" w:eastAsia="仿宋" w:cs="Times New Roman"/>
                <w:kern w:val="0"/>
              </w:rPr>
              <w:t>1</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工信部、国家发改委、科技部、财政部</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《新材料产业发展指南》</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kern w:val="0"/>
              </w:rPr>
            </w:pPr>
            <w:r>
              <w:rPr>
                <w:rFonts w:hint="eastAsia" w:ascii="Times New Roman" w:hAnsi="Times New Roman" w:eastAsia="仿宋" w:cs="仿宋"/>
                <w:kern w:val="0"/>
              </w:rPr>
              <w:t>新材料产业规模化、集聚化发展态势基本形成，突破金属材料、复合材料、先进半导体材料等领域技术装备制约，在碳纤维复合材料、高品质特殊钢、先进轻合金材料等领域实现</w:t>
            </w:r>
            <w:r>
              <w:rPr>
                <w:rFonts w:ascii="Times New Roman" w:hAnsi="Times New Roman" w:eastAsia="仿宋" w:cs="Times New Roman"/>
                <w:kern w:val="0"/>
              </w:rPr>
              <w:t>70</w:t>
            </w:r>
            <w:r>
              <w:rPr>
                <w:rFonts w:hint="eastAsia" w:ascii="Times New Roman" w:hAnsi="Times New Roman" w:eastAsia="仿宋" w:cs="仿宋"/>
                <w:kern w:val="0"/>
              </w:rPr>
              <w:t>种以上重点新材料产业化及应用，建成与我国新材料产业发展水平相匹配的工艺装备保障体系。先进基础材料，应加快推动先进基础材料工业转型升级，以基础零部件用钢、高性能海工用钢等先进钢铁材料。</w:t>
            </w:r>
          </w:p>
        </w:tc>
      </w:tr>
      <w:tr>
        <w:tblPrEx>
          <w:tblCellMar>
            <w:top w:w="0" w:type="dxa"/>
            <w:left w:w="108" w:type="dxa"/>
            <w:bottom w:w="0" w:type="dxa"/>
            <w:right w:w="108" w:type="dxa"/>
          </w:tblCellMar>
        </w:tblPrEx>
        <w:trPr>
          <w:trHeight w:val="1992"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ascii="Times New Roman" w:hAnsi="Times New Roman" w:eastAsia="仿宋" w:cs="Times New Roman"/>
                <w:kern w:val="0"/>
              </w:rPr>
              <w:t>2017</w:t>
            </w:r>
            <w:r>
              <w:rPr>
                <w:rFonts w:hint="eastAsia" w:ascii="Times New Roman" w:hAnsi="Times New Roman" w:eastAsia="仿宋" w:cs="仿宋"/>
                <w:kern w:val="0"/>
              </w:rPr>
              <w:t>年</w:t>
            </w:r>
            <w:r>
              <w:rPr>
                <w:rFonts w:ascii="Times New Roman" w:hAnsi="Times New Roman" w:eastAsia="仿宋" w:cs="Times New Roman"/>
                <w:kern w:val="0"/>
              </w:rPr>
              <w:t>12</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国家发改委</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《新材料关键技术产业化</w:t>
            </w:r>
          </w:p>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实施方案》</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kern w:val="0"/>
              </w:rPr>
            </w:pPr>
            <w:r>
              <w:rPr>
                <w:rFonts w:hint="eastAsia" w:ascii="Times New Roman" w:hAnsi="Times New Roman" w:eastAsia="仿宋" w:cs="仿宋"/>
                <w:kern w:val="0"/>
              </w:rPr>
              <w:t>紧密围绕国民经济社会发展重大需求，按照自主创新、突破重点的思路，开展市场潜力大、附加值高的重点新材料关键技术产业化，加快公共服务平台建设，提升新材料产业发展水平。钢铁材料，重点发展汽车用超高强钢板及零部件用钢，高铁关键零部件用钢，大型严铸模用热作模具钢，极地环境用钢，大型水电用高级别压力钢管及蜗壳用钢，高炉渣提钛产钛白粉等产品。</w:t>
            </w:r>
          </w:p>
        </w:tc>
      </w:tr>
      <w:tr>
        <w:tblPrEx>
          <w:tblCellMar>
            <w:top w:w="0" w:type="dxa"/>
            <w:left w:w="108" w:type="dxa"/>
            <w:bottom w:w="0" w:type="dxa"/>
            <w:right w:w="108" w:type="dxa"/>
          </w:tblCellMar>
        </w:tblPrEx>
        <w:trPr>
          <w:trHeight w:val="3253"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eastAsia="仿宋"/>
              </w:rPr>
            </w:pPr>
            <w:r>
              <w:rPr>
                <w:rFonts w:ascii="Times New Roman" w:hAnsi="Times New Roman" w:eastAsia="仿宋" w:cs="Times New Roman"/>
                <w:kern w:val="0"/>
              </w:rPr>
              <w:t>2018</w:t>
            </w:r>
            <w:r>
              <w:rPr>
                <w:rFonts w:hint="eastAsia" w:ascii="Times New Roman" w:hAnsi="Times New Roman" w:eastAsia="仿宋" w:cs="仿宋"/>
                <w:kern w:val="0"/>
              </w:rPr>
              <w:t>年</w:t>
            </w:r>
            <w:r>
              <w:rPr>
                <w:rFonts w:ascii="Times New Roman" w:hAnsi="Times New Roman" w:eastAsia="仿宋" w:cs="Times New Roman"/>
                <w:kern w:val="0"/>
              </w:rPr>
              <w:t>5</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工信部、</w:t>
            </w:r>
          </w:p>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财政部</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《国家新材料产业资源共享平台建设方案》</w:t>
            </w:r>
          </w:p>
        </w:tc>
        <w:tc>
          <w:tcPr>
            <w:tcW w:w="7603"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left"/>
              <w:rPr>
                <w:rFonts w:ascii="Times New Roman" w:hAnsi="Times New Roman" w:eastAsia="仿宋"/>
              </w:rPr>
            </w:pPr>
            <w:r>
              <w:rPr>
                <w:rFonts w:hint="eastAsia" w:ascii="Times New Roman" w:hAnsi="Times New Roman" w:eastAsia="仿宋" w:cs="仿宋"/>
                <w:kern w:val="0"/>
              </w:rPr>
              <w:t>围绕先进基础材料、关键战略材料和前沿新材料等重点领域和新材料产业链各关键环节，基本形成多方共建、公益为主、高效集成的新材料产业资源共享服务生态体系，初步建成具有较高的资源开放共享程度、安全可控水平和运营服务能力的垂直化、专业化网络平台，以及与之配套的保障有力、服务协同、运行高效的线下基础设施和能力条件。建立技术融合、业务融合、数据融合的新材料产业资源共享门户网络体系。到</w:t>
            </w:r>
            <w:r>
              <w:rPr>
                <w:rFonts w:ascii="Times New Roman" w:hAnsi="Times New Roman" w:eastAsia="仿宋" w:cs="Times New Roman"/>
                <w:kern w:val="0"/>
              </w:rPr>
              <w:t>2025</w:t>
            </w:r>
            <w:r>
              <w:rPr>
                <w:rFonts w:hint="eastAsia" w:ascii="Times New Roman" w:hAnsi="Times New Roman" w:eastAsia="仿宋" w:cs="仿宋"/>
                <w:kern w:val="0"/>
              </w:rPr>
              <w:t>年，新材料产业资源共享服务生态体系更加完善，平台集聚资源总量和覆盖领域、共享开放程度、业务范围和服务能力进一步提升，平台网络体系和线下基础设施条件更加完备，新材料产业资源共享能力整体达到国际先进水平。</w:t>
            </w:r>
          </w:p>
        </w:tc>
      </w:tr>
      <w:tr>
        <w:tblPrEx>
          <w:tblCellMar>
            <w:top w:w="0" w:type="dxa"/>
            <w:left w:w="108" w:type="dxa"/>
            <w:bottom w:w="0" w:type="dxa"/>
            <w:right w:w="108" w:type="dxa"/>
          </w:tblCellMar>
        </w:tblPrEx>
        <w:trPr>
          <w:trHeight w:val="3827"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eastAsia="仿宋"/>
              </w:rPr>
            </w:pPr>
            <w:r>
              <w:rPr>
                <w:rFonts w:ascii="Times New Roman" w:hAnsi="Times New Roman" w:eastAsia="仿宋" w:cs="Times New Roman"/>
                <w:kern w:val="0"/>
              </w:rPr>
              <w:t>2018</w:t>
            </w:r>
            <w:r>
              <w:rPr>
                <w:rFonts w:hint="eastAsia" w:ascii="Times New Roman" w:hAnsi="Times New Roman" w:eastAsia="仿宋" w:cs="仿宋"/>
                <w:kern w:val="0"/>
              </w:rPr>
              <w:t>年</w:t>
            </w:r>
            <w:r>
              <w:rPr>
                <w:rFonts w:ascii="Times New Roman" w:hAnsi="Times New Roman" w:eastAsia="仿宋" w:cs="Times New Roman"/>
                <w:kern w:val="0"/>
              </w:rPr>
              <w:t>10</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工信部、科技部、商务部、国家市场</w:t>
            </w:r>
          </w:p>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监管总局</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《原材料工业质量提升三年行动方案</w:t>
            </w:r>
            <w:r>
              <w:rPr>
                <w:rFonts w:ascii="Times New Roman" w:hAnsi="Times New Roman" w:eastAsia="仿宋" w:cs="Times New Roman"/>
                <w:kern w:val="0"/>
              </w:rPr>
              <w:t>(2018-2020</w:t>
            </w:r>
            <w:r>
              <w:rPr>
                <w:rFonts w:hint="eastAsia" w:ascii="Times New Roman" w:hAnsi="Times New Roman" w:eastAsia="仿宋" w:cs="仿宋"/>
                <w:kern w:val="0"/>
              </w:rPr>
              <w:t>年</w:t>
            </w:r>
            <w:r>
              <w:rPr>
                <w:rFonts w:ascii="Times New Roman" w:hAnsi="Times New Roman" w:eastAsia="仿宋" w:cs="Times New Roman"/>
                <w:kern w:val="0"/>
              </w:rPr>
              <w:t>)</w:t>
            </w:r>
            <w:r>
              <w:rPr>
                <w:rFonts w:hint="eastAsia" w:ascii="Times New Roman" w:hAnsi="Times New Roman" w:eastAsia="仿宋" w:cs="仿宋"/>
                <w:kern w:val="0"/>
              </w:rPr>
              <w:t>》</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rPr>
            </w:pPr>
            <w:r>
              <w:rPr>
                <w:rFonts w:hint="eastAsia" w:ascii="Times New Roman" w:hAnsi="Times New Roman" w:eastAsia="仿宋" w:cs="仿宋"/>
                <w:kern w:val="0"/>
              </w:rPr>
              <w:t>到</w:t>
            </w:r>
            <w:r>
              <w:rPr>
                <w:rFonts w:ascii="Times New Roman" w:hAnsi="Times New Roman" w:eastAsia="仿宋" w:cs="Times New Roman"/>
                <w:kern w:val="0"/>
              </w:rPr>
              <w:t>2020</w:t>
            </w:r>
            <w:r>
              <w:rPr>
                <w:rFonts w:hint="eastAsia" w:ascii="Times New Roman" w:hAnsi="Times New Roman" w:eastAsia="仿宋" w:cs="仿宋"/>
                <w:kern w:val="0"/>
              </w:rPr>
              <w:t>年，我国原材料产品质量明显提高，供给结构得到优化。钢铁行业：通用钢材产品的质量稳定性、可靠性和耐久性明显提高，高性能钢铁材料的批次稳定性和一致性稳步提高，钢材产品实物质量达到国际水平的产品比例超过</w:t>
            </w:r>
            <w:r>
              <w:rPr>
                <w:rFonts w:ascii="Times New Roman" w:hAnsi="Times New Roman" w:eastAsia="仿宋" w:cs="Times New Roman"/>
                <w:kern w:val="0"/>
              </w:rPr>
              <w:t>50%</w:t>
            </w:r>
            <w:r>
              <w:rPr>
                <w:rFonts w:hint="eastAsia" w:ascii="Times New Roman" w:hAnsi="Times New Roman" w:eastAsia="仿宋" w:cs="仿宋"/>
                <w:kern w:val="0"/>
              </w:rPr>
              <w:t>。海洋工程及高技术船舶、先进轨道交通、航空航天等领域用高端钢材的研发和产业化取得积极进展，每年突破</w:t>
            </w:r>
            <w:r>
              <w:rPr>
                <w:rFonts w:ascii="Times New Roman" w:hAnsi="Times New Roman" w:eastAsia="仿宋" w:cs="Times New Roman"/>
                <w:kern w:val="0"/>
              </w:rPr>
              <w:t>3—4</w:t>
            </w:r>
            <w:r>
              <w:rPr>
                <w:rFonts w:hint="eastAsia" w:ascii="Times New Roman" w:hAnsi="Times New Roman" w:eastAsia="仿宋" w:cs="仿宋"/>
                <w:kern w:val="0"/>
              </w:rPr>
              <w:t>个关键钢材品种。有色金属行业：高技术船舶、先进轨道交通、节能与新能源汽车等重点领域用有色金属材料质量均一性提高，中高端产品有效供给能力增强。有色金属产品整体质量水平提高，航空铝材、铜板带材等精深加工产品综合保障能力超过</w:t>
            </w:r>
            <w:r>
              <w:rPr>
                <w:rFonts w:ascii="Times New Roman" w:hAnsi="Times New Roman" w:eastAsia="仿宋" w:cs="Times New Roman"/>
                <w:kern w:val="0"/>
              </w:rPr>
              <w:t>70%</w:t>
            </w:r>
            <w:r>
              <w:rPr>
                <w:rFonts w:hint="eastAsia" w:ascii="Times New Roman" w:hAnsi="Times New Roman" w:eastAsia="仿宋" w:cs="仿宋"/>
                <w:kern w:val="0"/>
              </w:rPr>
              <w:t>。</w:t>
            </w:r>
          </w:p>
        </w:tc>
      </w:tr>
      <w:tr>
        <w:tblPrEx>
          <w:tblCellMar>
            <w:top w:w="0" w:type="dxa"/>
            <w:left w:w="108" w:type="dxa"/>
            <w:bottom w:w="0" w:type="dxa"/>
            <w:right w:w="108" w:type="dxa"/>
          </w:tblCellMar>
        </w:tblPrEx>
        <w:trPr>
          <w:trHeight w:val="192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textAlignment w:val="center"/>
              <w:rPr>
                <w:rFonts w:ascii="Times New Roman" w:hAnsi="Times New Roman" w:eastAsia="仿宋"/>
                <w:kern w:val="0"/>
              </w:rPr>
            </w:pPr>
            <w:r>
              <w:rPr>
                <w:rFonts w:ascii="Times New Roman" w:hAnsi="Times New Roman" w:eastAsia="仿宋" w:cs="Times New Roman"/>
                <w:kern w:val="0"/>
              </w:rPr>
              <w:t>2019</w:t>
            </w:r>
            <w:r>
              <w:rPr>
                <w:rFonts w:hint="eastAsia" w:ascii="Times New Roman" w:hAnsi="Times New Roman" w:eastAsia="仿宋" w:cs="仿宋"/>
                <w:kern w:val="0"/>
              </w:rPr>
              <w:t>年</w:t>
            </w:r>
            <w:r>
              <w:rPr>
                <w:rFonts w:ascii="Times New Roman" w:hAnsi="Times New Roman" w:eastAsia="仿宋" w:cs="Times New Roman"/>
                <w:kern w:val="0"/>
              </w:rPr>
              <w:t>12</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工信部</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《重点新材料首批次应用示范指导目录</w:t>
            </w:r>
            <w:r>
              <w:rPr>
                <w:rFonts w:ascii="Times New Roman" w:hAnsi="Times New Roman" w:eastAsia="仿宋" w:cs="Times New Roman"/>
                <w:kern w:val="0"/>
              </w:rPr>
              <w:t>(2019</w:t>
            </w:r>
            <w:r>
              <w:rPr>
                <w:rFonts w:hint="eastAsia" w:ascii="Times New Roman" w:hAnsi="Times New Roman" w:eastAsia="仿宋" w:cs="仿宋"/>
                <w:kern w:val="0"/>
              </w:rPr>
              <w:t>年版</w:t>
            </w:r>
            <w:r>
              <w:rPr>
                <w:rFonts w:ascii="Times New Roman" w:hAnsi="Times New Roman" w:eastAsia="仿宋" w:cs="Times New Roman"/>
                <w:kern w:val="0"/>
              </w:rPr>
              <w:t>)</w:t>
            </w:r>
            <w:r>
              <w:rPr>
                <w:rFonts w:hint="eastAsia" w:ascii="Times New Roman" w:hAnsi="Times New Roman" w:eastAsia="仿宋" w:cs="仿宋"/>
                <w:kern w:val="0"/>
              </w:rPr>
              <w:t>》</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kern w:val="0"/>
              </w:rPr>
            </w:pPr>
            <w:r>
              <w:rPr>
                <w:rFonts w:hint="eastAsia" w:ascii="Times New Roman" w:hAnsi="Times New Roman" w:eastAsia="仿宋" w:cs="仿宋"/>
                <w:kern w:val="0"/>
              </w:rPr>
              <w:t>为进一步做好重点新材料首批次应用保险补偿试点工作，现发布《重点新材料首批次应用示范指导目录（</w:t>
            </w:r>
            <w:r>
              <w:rPr>
                <w:rFonts w:ascii="Times New Roman" w:hAnsi="Times New Roman" w:eastAsia="仿宋" w:cs="Times New Roman"/>
                <w:kern w:val="0"/>
              </w:rPr>
              <w:t>2019</w:t>
            </w:r>
            <w:r>
              <w:rPr>
                <w:rFonts w:hint="eastAsia" w:ascii="Times New Roman" w:hAnsi="Times New Roman" w:eastAsia="仿宋" w:cs="仿宋"/>
                <w:kern w:val="0"/>
              </w:rPr>
              <w:t>年版）》，自</w:t>
            </w:r>
            <w:r>
              <w:rPr>
                <w:rFonts w:ascii="Times New Roman" w:hAnsi="Times New Roman" w:eastAsia="仿宋" w:cs="Times New Roman"/>
                <w:kern w:val="0"/>
              </w:rPr>
              <w:t>2020</w:t>
            </w:r>
            <w:r>
              <w:rPr>
                <w:rFonts w:hint="eastAsia" w:ascii="Times New Roman" w:hAnsi="Times New Roman" w:eastAsia="仿宋" w:cs="仿宋"/>
                <w:kern w:val="0"/>
              </w:rPr>
              <w:t>年</w:t>
            </w:r>
            <w:r>
              <w:rPr>
                <w:rFonts w:ascii="Times New Roman" w:hAnsi="Times New Roman" w:eastAsia="仿宋" w:cs="Times New Roman"/>
                <w:kern w:val="0"/>
              </w:rPr>
              <w:t>1</w:t>
            </w:r>
            <w:r>
              <w:rPr>
                <w:rFonts w:hint="eastAsia" w:ascii="Times New Roman" w:hAnsi="Times New Roman" w:eastAsia="仿宋" w:cs="仿宋"/>
                <w:kern w:val="0"/>
              </w:rPr>
              <w:t>月</w:t>
            </w:r>
            <w:r>
              <w:rPr>
                <w:rFonts w:ascii="Times New Roman" w:hAnsi="Times New Roman" w:eastAsia="仿宋" w:cs="Times New Roman"/>
                <w:kern w:val="0"/>
              </w:rPr>
              <w:t>1</w:t>
            </w:r>
            <w:r>
              <w:rPr>
                <w:rFonts w:hint="eastAsia" w:ascii="Times New Roman" w:hAnsi="Times New Roman" w:eastAsia="仿宋" w:cs="仿宋"/>
                <w:kern w:val="0"/>
              </w:rPr>
              <w:t>日起施行。包括先进钢铁材料、铜材、铝材料、钛材、先进无机非金属材料等等。</w:t>
            </w:r>
          </w:p>
        </w:tc>
      </w:tr>
      <w:tr>
        <w:tblPrEx>
          <w:tblCellMar>
            <w:top w:w="0" w:type="dxa"/>
            <w:left w:w="108" w:type="dxa"/>
            <w:bottom w:w="0" w:type="dxa"/>
            <w:right w:w="108" w:type="dxa"/>
          </w:tblCellMar>
        </w:tblPrEx>
        <w:trPr>
          <w:trHeight w:val="483" w:hRule="atLeast"/>
        </w:trPr>
        <w:tc>
          <w:tcPr>
            <w:tcW w:w="0" w:type="auto"/>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Times New Roman" w:hAnsi="Times New Roman" w:eastAsia="仿宋"/>
                <w:kern w:val="0"/>
              </w:rPr>
            </w:pPr>
            <w:r>
              <w:rPr>
                <w:rFonts w:hint="eastAsia" w:ascii="Times New Roman" w:hAnsi="Times New Roman" w:eastAsia="仿宋" w:cs="仿宋"/>
                <w:b/>
                <w:bCs/>
                <w:kern w:val="0"/>
              </w:rPr>
              <w:t>二、省、市层面</w:t>
            </w:r>
          </w:p>
        </w:tc>
      </w:tr>
      <w:tr>
        <w:tblPrEx>
          <w:tblCellMar>
            <w:top w:w="0" w:type="dxa"/>
            <w:left w:w="108" w:type="dxa"/>
            <w:bottom w:w="0" w:type="dxa"/>
            <w:right w:w="108" w:type="dxa"/>
          </w:tblCellMar>
        </w:tblPrEx>
        <w:trPr>
          <w:trHeight w:val="1666"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ascii="Times New Roman" w:hAnsi="Times New Roman" w:eastAsia="仿宋" w:cs="Times New Roman"/>
                <w:kern w:val="0"/>
              </w:rPr>
              <w:t>2017</w:t>
            </w:r>
            <w:r>
              <w:rPr>
                <w:rFonts w:hint="eastAsia" w:ascii="Times New Roman" w:hAnsi="Times New Roman" w:eastAsia="仿宋" w:cs="仿宋"/>
                <w:kern w:val="0"/>
              </w:rPr>
              <w:t>年</w:t>
            </w:r>
            <w:r>
              <w:rPr>
                <w:rFonts w:ascii="Times New Roman" w:hAnsi="Times New Roman" w:eastAsia="仿宋" w:cs="Times New Roman"/>
                <w:kern w:val="0"/>
              </w:rPr>
              <w:t>1</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辽宁省政府</w:t>
            </w:r>
          </w:p>
        </w:tc>
        <w:tc>
          <w:tcPr>
            <w:tcW w:w="29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rPr>
            </w:pPr>
            <w:r>
              <w:rPr>
                <w:rFonts w:hint="eastAsia" w:ascii="Times New Roman" w:hAnsi="Times New Roman" w:eastAsia="仿宋" w:cs="仿宋"/>
                <w:kern w:val="0"/>
              </w:rPr>
              <w:t>《关于发展工业八大门类产业发展政策》</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rPr>
            </w:pPr>
            <w:r>
              <w:rPr>
                <w:rFonts w:hint="eastAsia" w:ascii="Times New Roman" w:hAnsi="Times New Roman" w:eastAsia="仿宋" w:cs="仿宋"/>
                <w:kern w:val="0"/>
              </w:rPr>
              <w:t>在冶金、建材产业中我省将聚焦化解过剩产能、加快推进精深加工；消费品产业将实施“增品种、提品质、创品牌”工程，提升中高端消费品供给能力，培育多点支撑的产业发展格局。</w:t>
            </w:r>
          </w:p>
        </w:tc>
      </w:tr>
      <w:tr>
        <w:tblPrEx>
          <w:tblCellMar>
            <w:top w:w="0" w:type="dxa"/>
            <w:left w:w="108" w:type="dxa"/>
            <w:bottom w:w="0" w:type="dxa"/>
            <w:right w:w="108" w:type="dxa"/>
          </w:tblCellMar>
        </w:tblPrEx>
        <w:trPr>
          <w:trHeight w:val="2673"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ascii="Times New Roman" w:hAnsi="Times New Roman" w:eastAsia="仿宋" w:cs="Times New Roman"/>
                <w:kern w:val="0"/>
              </w:rPr>
              <w:t>2019</w:t>
            </w:r>
            <w:r>
              <w:rPr>
                <w:rFonts w:hint="eastAsia" w:ascii="Times New Roman" w:hAnsi="Times New Roman" w:eastAsia="仿宋" w:cs="仿宋"/>
                <w:kern w:val="0"/>
              </w:rPr>
              <w:t>年</w:t>
            </w:r>
            <w:r>
              <w:rPr>
                <w:rFonts w:ascii="Times New Roman" w:hAnsi="Times New Roman" w:eastAsia="仿宋" w:cs="Times New Roman"/>
                <w:kern w:val="0"/>
              </w:rPr>
              <w:t>1</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shd w:val="clear" w:color="auto" w:fill="FFFFFF"/>
              </w:rPr>
              <w:t>辽宁省政府</w:t>
            </w:r>
          </w:p>
        </w:tc>
        <w:tc>
          <w:tcPr>
            <w:tcW w:w="2940"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Times New Roman" w:hAnsi="Times New Roman" w:eastAsia="仿宋"/>
                <w:kern w:val="0"/>
              </w:rPr>
            </w:pPr>
            <w:r>
              <w:rPr>
                <w:rFonts w:hint="eastAsia" w:ascii="Times New Roman" w:hAnsi="Times New Roman" w:eastAsia="仿宋" w:cs="仿宋"/>
                <w:shd w:val="clear" w:color="auto" w:fill="FFFFFF"/>
              </w:rPr>
              <w:t>《辽宁省建设国家新型原材料基地工程框架实施方案》</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shd w:val="clear" w:color="auto" w:fill="FFFFFF"/>
              </w:rPr>
            </w:pPr>
            <w:r>
              <w:rPr>
                <w:rFonts w:hint="eastAsia" w:ascii="Times New Roman" w:hAnsi="Times New Roman" w:eastAsia="仿宋" w:cs="仿宋"/>
                <w:shd w:val="clear" w:color="auto" w:fill="FFFFFF"/>
              </w:rPr>
              <w:t>基地建设以发展化工新材料、无机非金属新材料及金属新材料三大类为重点。金属新材料重点发展汽车用超高强钢板、关键基础零部件用钢、高性能海洋工程装备及高技术船舶用钢、高性能电力装备用钢、高品质电工钢、以及高品质工模具钢、耐蚀钢等特殊钢材，高温合金、超纯合金、镍基合金等合金材料。发展航空航天、交通运输高性能铝合金材料、电子机新能源用高性能铜合金钢、航空航天、石化、电力等领域高性能钛合金材料，高性能镁合金等轻合金新材料。</w:t>
            </w:r>
          </w:p>
        </w:tc>
      </w:tr>
      <w:tr>
        <w:tblPrEx>
          <w:tblCellMar>
            <w:top w:w="0" w:type="dxa"/>
            <w:left w:w="108" w:type="dxa"/>
            <w:bottom w:w="0" w:type="dxa"/>
            <w:right w:w="108" w:type="dxa"/>
          </w:tblCellMar>
        </w:tblPrEx>
        <w:trPr>
          <w:trHeight w:val="1303"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shd w:val="clear" w:color="auto" w:fill="FFFFFF"/>
              </w:rPr>
            </w:pPr>
            <w:r>
              <w:rPr>
                <w:rFonts w:ascii="Times New Roman" w:hAnsi="Times New Roman" w:eastAsia="仿宋" w:cs="Times New Roman"/>
                <w:kern w:val="0"/>
              </w:rPr>
              <w:t>2021</w:t>
            </w:r>
            <w:r>
              <w:rPr>
                <w:rFonts w:hint="eastAsia" w:ascii="Times New Roman" w:hAnsi="Times New Roman" w:eastAsia="仿宋" w:cs="仿宋"/>
                <w:kern w:val="0"/>
              </w:rPr>
              <w:t>年</w:t>
            </w:r>
            <w:r>
              <w:rPr>
                <w:rFonts w:ascii="Times New Roman" w:hAnsi="Times New Roman" w:eastAsia="仿宋" w:cs="Times New Roman"/>
                <w:kern w:val="0"/>
              </w:rPr>
              <w:t>3</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shd w:val="clear" w:color="auto" w:fill="FFFFFF"/>
              </w:rPr>
            </w:pPr>
            <w:r>
              <w:rPr>
                <w:rFonts w:hint="eastAsia" w:ascii="Times New Roman" w:hAnsi="Times New Roman" w:eastAsia="仿宋" w:cs="仿宋"/>
                <w:shd w:val="clear" w:color="auto" w:fill="FFFFFF"/>
              </w:rPr>
              <w:t>辽宁省政府</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shd w:val="clear" w:color="auto" w:fill="FFFFFF"/>
              </w:rPr>
            </w:pPr>
            <w:r>
              <w:rPr>
                <w:rFonts w:hint="eastAsia" w:ascii="Times New Roman" w:hAnsi="Times New Roman" w:eastAsia="仿宋" w:cs="仿宋"/>
                <w:shd w:val="clear" w:color="auto" w:fill="FFFFFF"/>
              </w:rPr>
              <w:t>《国民经济和社会发展第十四个五年规划和二〇三五年远景目标纲要》</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shd w:val="clear" w:color="auto" w:fill="FFFFFF"/>
              </w:rPr>
            </w:pPr>
            <w:r>
              <w:rPr>
                <w:rFonts w:hint="eastAsia" w:ascii="Times New Roman" w:hAnsi="Times New Roman" w:eastAsia="仿宋" w:cs="仿宋"/>
                <w:shd w:val="clear" w:color="auto" w:fill="FFFFFF"/>
              </w:rPr>
              <w:t>提出深度开发“原字号”着力建链延链补链，优化产业布局。大力淘汰落后产能，化解过剩产能，优化存量产能，建设有国际影响力的冶金新材料产业基地，推进冶金新材料产业精深加工。</w:t>
            </w:r>
          </w:p>
        </w:tc>
      </w:tr>
      <w:tr>
        <w:tblPrEx>
          <w:tblCellMar>
            <w:top w:w="0" w:type="dxa"/>
            <w:left w:w="108" w:type="dxa"/>
            <w:bottom w:w="0" w:type="dxa"/>
            <w:right w:w="108" w:type="dxa"/>
          </w:tblCellMar>
        </w:tblPrEx>
        <w:trPr>
          <w:trHeight w:val="2784"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ascii="Times New Roman" w:hAnsi="Times New Roman" w:eastAsia="仿宋" w:cs="Times New Roman"/>
                <w:kern w:val="0"/>
              </w:rPr>
              <w:t>2021</w:t>
            </w:r>
            <w:r>
              <w:rPr>
                <w:rFonts w:hint="eastAsia" w:ascii="Times New Roman" w:hAnsi="Times New Roman" w:eastAsia="仿宋" w:cs="仿宋"/>
                <w:kern w:val="0"/>
              </w:rPr>
              <w:t>年</w:t>
            </w:r>
            <w:r>
              <w:rPr>
                <w:rFonts w:ascii="Times New Roman" w:hAnsi="Times New Roman" w:eastAsia="仿宋" w:cs="Times New Roman"/>
                <w:kern w:val="0"/>
              </w:rPr>
              <w:t>6</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抚顺市政府</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rPr>
            </w:pPr>
            <w:r>
              <w:rPr>
                <w:rFonts w:hint="eastAsia" w:ascii="Times New Roman" w:hAnsi="Times New Roman" w:eastAsia="仿宋" w:cs="仿宋"/>
                <w:kern w:val="0"/>
              </w:rPr>
              <w:t>《抚顺市国民经济和社会发展第十四个五年规划和</w:t>
            </w:r>
            <w:r>
              <w:rPr>
                <w:rFonts w:ascii="Times New Roman" w:hAnsi="Times New Roman" w:eastAsia="仿宋" w:cs="Times New Roman"/>
                <w:kern w:val="0"/>
              </w:rPr>
              <w:t>2035</w:t>
            </w:r>
            <w:r>
              <w:rPr>
                <w:rFonts w:hint="eastAsia" w:ascii="Times New Roman" w:hAnsi="Times New Roman" w:eastAsia="仿宋" w:cs="仿宋"/>
                <w:kern w:val="0"/>
              </w:rPr>
              <w:t>年远景目标纲要》</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rPr>
            </w:pPr>
            <w:r>
              <w:rPr>
                <w:rFonts w:hint="eastAsia" w:ascii="Times New Roman" w:hAnsi="Times New Roman" w:eastAsia="仿宋" w:cs="仿宋"/>
                <w:shd w:val="clear" w:color="auto" w:fill="FFFFFF"/>
              </w:rPr>
              <w:t>今后五年，抚顺坚持“工业立市、工业强市、产业兴市”，扎实做好改造升级“老字号”，深度开发“原字号”，培育壮大“新字号”，以数字化、网络化、智能化为牵引，强化技术改造和设备更新，做大做强“六大产业”（高端精细化工产业、高端冶金新材料产业、新型清洁能源产业、新型煤化工及煤矸石综合利用产业、先进装备制造产业、特色农产品深加工产业），加强军民、地企深度融合，加快建设国家级高附加值新型原材料基地，构建多元支撑、竞争力强的现代产业体系。</w:t>
            </w:r>
          </w:p>
        </w:tc>
      </w:tr>
      <w:tr>
        <w:tblPrEx>
          <w:tblCellMar>
            <w:top w:w="0" w:type="dxa"/>
            <w:left w:w="108" w:type="dxa"/>
            <w:bottom w:w="0" w:type="dxa"/>
            <w:right w:w="108" w:type="dxa"/>
          </w:tblCellMar>
        </w:tblPrEx>
        <w:trPr>
          <w:trHeight w:val="3033" w:hRule="atLeast"/>
        </w:trPr>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ascii="Times New Roman" w:hAnsi="Times New Roman" w:eastAsia="仿宋" w:cs="Times New Roman"/>
                <w:kern w:val="0"/>
              </w:rPr>
              <w:t>2021</w:t>
            </w:r>
            <w:r>
              <w:rPr>
                <w:rFonts w:hint="eastAsia" w:ascii="Times New Roman" w:hAnsi="Times New Roman" w:eastAsia="仿宋" w:cs="仿宋"/>
                <w:kern w:val="0"/>
              </w:rPr>
              <w:t>年</w:t>
            </w:r>
            <w:r>
              <w:rPr>
                <w:rFonts w:ascii="Times New Roman" w:hAnsi="Times New Roman" w:eastAsia="仿宋" w:cs="Times New Roman"/>
                <w:kern w:val="0"/>
              </w:rPr>
              <w:t>6</w:t>
            </w:r>
            <w:r>
              <w:rPr>
                <w:rFonts w:hint="eastAsia" w:ascii="Times New Roman" w:hAnsi="Times New Roman" w:eastAsia="仿宋" w:cs="仿宋"/>
                <w:kern w:val="0"/>
              </w:rPr>
              <w:t>月</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抚顺市政府</w:t>
            </w:r>
          </w:p>
        </w:tc>
        <w:tc>
          <w:tcPr>
            <w:tcW w:w="29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Times New Roman" w:hAnsi="Times New Roman" w:eastAsia="仿宋"/>
                <w:kern w:val="0"/>
              </w:rPr>
            </w:pPr>
            <w:r>
              <w:rPr>
                <w:rFonts w:hint="eastAsia" w:ascii="Times New Roman" w:hAnsi="Times New Roman" w:eastAsia="仿宋" w:cs="仿宋"/>
                <w:kern w:val="0"/>
              </w:rPr>
              <w:t>《抚顺市深度开发“原字号”专项行动计（</w:t>
            </w:r>
            <w:r>
              <w:rPr>
                <w:rFonts w:ascii="Times New Roman" w:hAnsi="Times New Roman" w:eastAsia="仿宋" w:cs="Times New Roman"/>
                <w:kern w:val="0"/>
              </w:rPr>
              <w:t>2021-2023</w:t>
            </w:r>
            <w:r>
              <w:rPr>
                <w:rFonts w:hint="eastAsia" w:ascii="Times New Roman" w:hAnsi="Times New Roman" w:eastAsia="仿宋" w:cs="仿宋"/>
                <w:kern w:val="0"/>
              </w:rPr>
              <w:t>年）》</w:t>
            </w:r>
          </w:p>
        </w:tc>
        <w:tc>
          <w:tcPr>
            <w:tcW w:w="7603"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20" w:firstLineChars="200"/>
              <w:jc w:val="left"/>
              <w:textAlignment w:val="center"/>
              <w:rPr>
                <w:rFonts w:ascii="Times New Roman" w:hAnsi="Times New Roman" w:eastAsia="仿宋"/>
                <w:shd w:val="clear" w:color="auto" w:fill="FFFFFF"/>
              </w:rPr>
            </w:pPr>
            <w:r>
              <w:rPr>
                <w:rFonts w:hint="eastAsia" w:ascii="Times New Roman" w:hAnsi="Times New Roman" w:eastAsia="仿宋" w:cs="仿宋"/>
                <w:shd w:val="clear" w:color="auto" w:fill="FFFFFF"/>
              </w:rPr>
              <w:t>抚顺市“原字号”产业主要包括石化、冶金、建材行业，是抚顺最大的工业板块。冶金新材料重点以龙头企业为核心，发展高精特战略新材料，壮大高温合金、超高强钢、高档工模具钢、特种不锈钢、耐蚀合金等特种钢新材料。以抚顺特殊钢股份有限公司为龙头，重点发展面向航空航天、军工、核电等战略领域的“三高一特”产品；以抚顺新钢铁有限责任公司为龙头，全力推进集设计、装修、装饰和钢构材料一体化的现代化绿色新型建筑材料产业发展；推动发展基础零部件用钢、汽车用钢、风电减速机用钢及第三代钢结构等先进钢铁材料。</w:t>
            </w:r>
          </w:p>
        </w:tc>
      </w:tr>
    </w:tbl>
    <w:p>
      <w:pPr>
        <w:pStyle w:val="14"/>
        <w:widowControl/>
        <w:shd w:val="clear" w:color="auto" w:fill="FFFFFF"/>
        <w:spacing w:beforeAutospacing="0" w:afterAutospacing="0" w:line="600" w:lineRule="exact"/>
        <w:rPr>
          <w:rFonts w:ascii="Times New Roman" w:hAnsi="Times New Roman" w:eastAsia="仿宋"/>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ahoma"/>
    <w:panose1 w:val="00000000000000000000"/>
    <w:charset w:val="86"/>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- 12 -</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B8A32"/>
    <w:multiLevelType w:val="singleLevel"/>
    <w:tmpl w:val="AB4B8A32"/>
    <w:lvl w:ilvl="0" w:tentative="0">
      <w:start w:val="1"/>
      <w:numFmt w:val="chineseCounting"/>
      <w:suff w:val="nothing"/>
      <w:lvlText w:val="（%1）"/>
      <w:lvlJc w:val="left"/>
      <w:rPr>
        <w:rFonts w:hint="eastAsia"/>
      </w:rPr>
    </w:lvl>
  </w:abstractNum>
  <w:abstractNum w:abstractNumId="1">
    <w:nsid w:val="C0E553BA"/>
    <w:multiLevelType w:val="singleLevel"/>
    <w:tmpl w:val="C0E553BA"/>
    <w:lvl w:ilvl="0" w:tentative="0">
      <w:start w:val="2"/>
      <w:numFmt w:val="chineseCounting"/>
      <w:suff w:val="nothing"/>
      <w:lvlText w:val="（%1）"/>
      <w:lvlJc w:val="left"/>
      <w:rPr>
        <w:rFonts w:hint="eastAsia"/>
      </w:rPr>
    </w:lvl>
  </w:abstractNum>
  <w:abstractNum w:abstractNumId="2">
    <w:nsid w:val="CA925899"/>
    <w:multiLevelType w:val="singleLevel"/>
    <w:tmpl w:val="CA925899"/>
    <w:lvl w:ilvl="0" w:tentative="0">
      <w:start w:val="5"/>
      <w:numFmt w:val="chineseCounting"/>
      <w:suff w:val="nothing"/>
      <w:lvlText w:val="%1、"/>
      <w:lvlJc w:val="left"/>
      <w:rPr>
        <w:rFonts w:hint="eastAsia"/>
      </w:rPr>
    </w:lvl>
  </w:abstractNum>
  <w:abstractNum w:abstractNumId="3">
    <w:nsid w:val="EDD84582"/>
    <w:multiLevelType w:val="singleLevel"/>
    <w:tmpl w:val="EDD84582"/>
    <w:lvl w:ilvl="0" w:tentative="0">
      <w:start w:val="1"/>
      <w:numFmt w:val="chineseCounting"/>
      <w:suff w:val="nothing"/>
      <w:lvlText w:val="（%1）"/>
      <w:lvlJc w:val="left"/>
      <w:pPr>
        <w:ind w:left="-13"/>
      </w:pPr>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isplayBackgroundShape w:val="1"/>
  <w:embedSystemFonts/>
  <w:documentProtection w:enforcement="0"/>
  <w:defaultTabStop w:val="420"/>
  <w:doNotHyphenateCaps/>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49F206D4"/>
    <w:rsid w:val="0015456A"/>
    <w:rsid w:val="00194332"/>
    <w:rsid w:val="001B677B"/>
    <w:rsid w:val="003353DD"/>
    <w:rsid w:val="00366E68"/>
    <w:rsid w:val="004317FE"/>
    <w:rsid w:val="0046782B"/>
    <w:rsid w:val="004D7185"/>
    <w:rsid w:val="00575F19"/>
    <w:rsid w:val="00744E40"/>
    <w:rsid w:val="007746F8"/>
    <w:rsid w:val="008619F7"/>
    <w:rsid w:val="008657ED"/>
    <w:rsid w:val="00BA7898"/>
    <w:rsid w:val="00CB7B23"/>
    <w:rsid w:val="00CD0787"/>
    <w:rsid w:val="00CD53A1"/>
    <w:rsid w:val="00D73B16"/>
    <w:rsid w:val="00DA5D7B"/>
    <w:rsid w:val="00EC4F64"/>
    <w:rsid w:val="00F76CCE"/>
    <w:rsid w:val="00FC1AFE"/>
    <w:rsid w:val="010233AD"/>
    <w:rsid w:val="012145A2"/>
    <w:rsid w:val="01262C5B"/>
    <w:rsid w:val="0127495F"/>
    <w:rsid w:val="014374C3"/>
    <w:rsid w:val="014451BD"/>
    <w:rsid w:val="015F476B"/>
    <w:rsid w:val="01653B8F"/>
    <w:rsid w:val="01705701"/>
    <w:rsid w:val="01756C9F"/>
    <w:rsid w:val="01833DD9"/>
    <w:rsid w:val="01893A8D"/>
    <w:rsid w:val="01947BAB"/>
    <w:rsid w:val="0199528B"/>
    <w:rsid w:val="01C63ACC"/>
    <w:rsid w:val="01C96BC9"/>
    <w:rsid w:val="01D3646A"/>
    <w:rsid w:val="01DC477A"/>
    <w:rsid w:val="02134710"/>
    <w:rsid w:val="02325A20"/>
    <w:rsid w:val="02340BCC"/>
    <w:rsid w:val="023C64FC"/>
    <w:rsid w:val="024F26F3"/>
    <w:rsid w:val="025E0B19"/>
    <w:rsid w:val="02675A9E"/>
    <w:rsid w:val="026800C7"/>
    <w:rsid w:val="026C5DB8"/>
    <w:rsid w:val="026E13AA"/>
    <w:rsid w:val="02A01F00"/>
    <w:rsid w:val="02A8194F"/>
    <w:rsid w:val="02AB5AF9"/>
    <w:rsid w:val="02AC0BDE"/>
    <w:rsid w:val="02C17C16"/>
    <w:rsid w:val="02C5253E"/>
    <w:rsid w:val="02D71879"/>
    <w:rsid w:val="02D741A2"/>
    <w:rsid w:val="02E527D1"/>
    <w:rsid w:val="02EF6275"/>
    <w:rsid w:val="03305CFE"/>
    <w:rsid w:val="033970C4"/>
    <w:rsid w:val="033C3A5F"/>
    <w:rsid w:val="033F1C4C"/>
    <w:rsid w:val="03445C41"/>
    <w:rsid w:val="03481EDB"/>
    <w:rsid w:val="03532AC4"/>
    <w:rsid w:val="0367194F"/>
    <w:rsid w:val="039D30F2"/>
    <w:rsid w:val="039E307A"/>
    <w:rsid w:val="03B91DEB"/>
    <w:rsid w:val="03C42960"/>
    <w:rsid w:val="03DC7ADC"/>
    <w:rsid w:val="03EA7274"/>
    <w:rsid w:val="03F1786F"/>
    <w:rsid w:val="03FA4276"/>
    <w:rsid w:val="0410630E"/>
    <w:rsid w:val="041A04A9"/>
    <w:rsid w:val="041A69C3"/>
    <w:rsid w:val="04262437"/>
    <w:rsid w:val="044750B4"/>
    <w:rsid w:val="04587385"/>
    <w:rsid w:val="0466648D"/>
    <w:rsid w:val="04682979"/>
    <w:rsid w:val="04BD0896"/>
    <w:rsid w:val="04CB0C7B"/>
    <w:rsid w:val="04D53F53"/>
    <w:rsid w:val="04ED0892"/>
    <w:rsid w:val="04FE5F8A"/>
    <w:rsid w:val="05076D71"/>
    <w:rsid w:val="051A6BC4"/>
    <w:rsid w:val="051E0478"/>
    <w:rsid w:val="054261AC"/>
    <w:rsid w:val="054D55C4"/>
    <w:rsid w:val="054E059C"/>
    <w:rsid w:val="05622A27"/>
    <w:rsid w:val="058246B0"/>
    <w:rsid w:val="05AD6C9E"/>
    <w:rsid w:val="05B06757"/>
    <w:rsid w:val="05D9455C"/>
    <w:rsid w:val="05E97632"/>
    <w:rsid w:val="05F568AB"/>
    <w:rsid w:val="061E3B36"/>
    <w:rsid w:val="062E1215"/>
    <w:rsid w:val="06312A46"/>
    <w:rsid w:val="063C75C3"/>
    <w:rsid w:val="06401C41"/>
    <w:rsid w:val="06471144"/>
    <w:rsid w:val="065C6760"/>
    <w:rsid w:val="066C3F6E"/>
    <w:rsid w:val="06731C03"/>
    <w:rsid w:val="068E6920"/>
    <w:rsid w:val="06C2492F"/>
    <w:rsid w:val="06C251C6"/>
    <w:rsid w:val="06DA075B"/>
    <w:rsid w:val="06E13DD7"/>
    <w:rsid w:val="06E569FA"/>
    <w:rsid w:val="073A6880"/>
    <w:rsid w:val="073D0A82"/>
    <w:rsid w:val="073F4AF0"/>
    <w:rsid w:val="0750118E"/>
    <w:rsid w:val="076468D9"/>
    <w:rsid w:val="07661F85"/>
    <w:rsid w:val="076E1628"/>
    <w:rsid w:val="077B58B5"/>
    <w:rsid w:val="078665B3"/>
    <w:rsid w:val="079603C1"/>
    <w:rsid w:val="079843D2"/>
    <w:rsid w:val="07A15597"/>
    <w:rsid w:val="07B612F3"/>
    <w:rsid w:val="07BD287D"/>
    <w:rsid w:val="07C9486A"/>
    <w:rsid w:val="07DF5435"/>
    <w:rsid w:val="07E923A0"/>
    <w:rsid w:val="081746EF"/>
    <w:rsid w:val="08375849"/>
    <w:rsid w:val="08426DAE"/>
    <w:rsid w:val="084A05AE"/>
    <w:rsid w:val="084E1F2B"/>
    <w:rsid w:val="086323CB"/>
    <w:rsid w:val="08724F83"/>
    <w:rsid w:val="08802D49"/>
    <w:rsid w:val="08837FC1"/>
    <w:rsid w:val="08930C30"/>
    <w:rsid w:val="089613DF"/>
    <w:rsid w:val="08B65317"/>
    <w:rsid w:val="08C97683"/>
    <w:rsid w:val="08D07A24"/>
    <w:rsid w:val="08DC7B76"/>
    <w:rsid w:val="08DF1AD8"/>
    <w:rsid w:val="08F2661E"/>
    <w:rsid w:val="08F6435F"/>
    <w:rsid w:val="090324C8"/>
    <w:rsid w:val="091A4F7A"/>
    <w:rsid w:val="09341095"/>
    <w:rsid w:val="0963692F"/>
    <w:rsid w:val="09652D4D"/>
    <w:rsid w:val="09773DF7"/>
    <w:rsid w:val="09814AE3"/>
    <w:rsid w:val="09892AA8"/>
    <w:rsid w:val="099D5189"/>
    <w:rsid w:val="09A27084"/>
    <w:rsid w:val="09B52899"/>
    <w:rsid w:val="09BE3699"/>
    <w:rsid w:val="09C4520D"/>
    <w:rsid w:val="09DF2F84"/>
    <w:rsid w:val="09E83CAE"/>
    <w:rsid w:val="09F60F35"/>
    <w:rsid w:val="0A0F79DD"/>
    <w:rsid w:val="0A183DF1"/>
    <w:rsid w:val="0A1B0466"/>
    <w:rsid w:val="0A4D0508"/>
    <w:rsid w:val="0A6C1546"/>
    <w:rsid w:val="0A813C65"/>
    <w:rsid w:val="0A8561D6"/>
    <w:rsid w:val="0AE45512"/>
    <w:rsid w:val="0AE51F6B"/>
    <w:rsid w:val="0AEC518E"/>
    <w:rsid w:val="0B0E0DFC"/>
    <w:rsid w:val="0B3B5FD3"/>
    <w:rsid w:val="0B4F1FD6"/>
    <w:rsid w:val="0B5B35DB"/>
    <w:rsid w:val="0B6117C8"/>
    <w:rsid w:val="0B6E15C4"/>
    <w:rsid w:val="0B860ACA"/>
    <w:rsid w:val="0B8D4C76"/>
    <w:rsid w:val="0BB16E0F"/>
    <w:rsid w:val="0BC80299"/>
    <w:rsid w:val="0BD12B96"/>
    <w:rsid w:val="0BEA0756"/>
    <w:rsid w:val="0BFD6D51"/>
    <w:rsid w:val="0C0A1639"/>
    <w:rsid w:val="0C110BE6"/>
    <w:rsid w:val="0C1E1EA2"/>
    <w:rsid w:val="0C24028D"/>
    <w:rsid w:val="0C240E2D"/>
    <w:rsid w:val="0C46070A"/>
    <w:rsid w:val="0C5A633B"/>
    <w:rsid w:val="0C6C2E6D"/>
    <w:rsid w:val="0C874397"/>
    <w:rsid w:val="0C897C1E"/>
    <w:rsid w:val="0C982697"/>
    <w:rsid w:val="0CA152AD"/>
    <w:rsid w:val="0CA6572A"/>
    <w:rsid w:val="0CC03EF9"/>
    <w:rsid w:val="0CC76179"/>
    <w:rsid w:val="0CCD60BC"/>
    <w:rsid w:val="0CD021B4"/>
    <w:rsid w:val="0CD118F6"/>
    <w:rsid w:val="0CD604C5"/>
    <w:rsid w:val="0CDA452C"/>
    <w:rsid w:val="0CFA25D8"/>
    <w:rsid w:val="0CFC3B1B"/>
    <w:rsid w:val="0CFE487B"/>
    <w:rsid w:val="0CFE7FF1"/>
    <w:rsid w:val="0D1210FC"/>
    <w:rsid w:val="0D155A93"/>
    <w:rsid w:val="0D1C696E"/>
    <w:rsid w:val="0D1E13BD"/>
    <w:rsid w:val="0D2E5760"/>
    <w:rsid w:val="0D392725"/>
    <w:rsid w:val="0D947D4D"/>
    <w:rsid w:val="0DCF4E5A"/>
    <w:rsid w:val="0DEB0971"/>
    <w:rsid w:val="0DED6F67"/>
    <w:rsid w:val="0DF0619D"/>
    <w:rsid w:val="0DF30B3C"/>
    <w:rsid w:val="0DF81046"/>
    <w:rsid w:val="0DFA0B81"/>
    <w:rsid w:val="0E00433A"/>
    <w:rsid w:val="0E1A2CCC"/>
    <w:rsid w:val="0E377BD6"/>
    <w:rsid w:val="0E4D2811"/>
    <w:rsid w:val="0E597570"/>
    <w:rsid w:val="0E6032B9"/>
    <w:rsid w:val="0E9D06D8"/>
    <w:rsid w:val="0EA526DE"/>
    <w:rsid w:val="0EA645F3"/>
    <w:rsid w:val="0EB55EA4"/>
    <w:rsid w:val="0EB87483"/>
    <w:rsid w:val="0ECC6FA4"/>
    <w:rsid w:val="0ED51164"/>
    <w:rsid w:val="0EDC7E70"/>
    <w:rsid w:val="0EE24733"/>
    <w:rsid w:val="0EE91E5F"/>
    <w:rsid w:val="0EFA437F"/>
    <w:rsid w:val="0F0F58C1"/>
    <w:rsid w:val="0F1A2AF3"/>
    <w:rsid w:val="0F4925C1"/>
    <w:rsid w:val="0F4E09A0"/>
    <w:rsid w:val="0F506AFB"/>
    <w:rsid w:val="0F5679B0"/>
    <w:rsid w:val="0F693CB0"/>
    <w:rsid w:val="0F6F545B"/>
    <w:rsid w:val="0F8737DE"/>
    <w:rsid w:val="0F8D4489"/>
    <w:rsid w:val="0F8D6A26"/>
    <w:rsid w:val="0F9E6317"/>
    <w:rsid w:val="0FAB0E89"/>
    <w:rsid w:val="0FAB3CCC"/>
    <w:rsid w:val="0FDA1A14"/>
    <w:rsid w:val="0FE53F73"/>
    <w:rsid w:val="0FFE2365"/>
    <w:rsid w:val="101F2746"/>
    <w:rsid w:val="10251E83"/>
    <w:rsid w:val="1034103D"/>
    <w:rsid w:val="10341938"/>
    <w:rsid w:val="103526A5"/>
    <w:rsid w:val="105521B2"/>
    <w:rsid w:val="10602AED"/>
    <w:rsid w:val="10A9218B"/>
    <w:rsid w:val="10B34CD6"/>
    <w:rsid w:val="10E10C35"/>
    <w:rsid w:val="10F24A26"/>
    <w:rsid w:val="11072D8F"/>
    <w:rsid w:val="111D2F43"/>
    <w:rsid w:val="11226B32"/>
    <w:rsid w:val="112A51E3"/>
    <w:rsid w:val="112D41E6"/>
    <w:rsid w:val="11350C57"/>
    <w:rsid w:val="114C176A"/>
    <w:rsid w:val="114E3493"/>
    <w:rsid w:val="117B579E"/>
    <w:rsid w:val="11863ADB"/>
    <w:rsid w:val="119D10EC"/>
    <w:rsid w:val="11A240BD"/>
    <w:rsid w:val="11B608A6"/>
    <w:rsid w:val="11C472EA"/>
    <w:rsid w:val="11C75344"/>
    <w:rsid w:val="11D14C10"/>
    <w:rsid w:val="11E62ADD"/>
    <w:rsid w:val="11F05A7E"/>
    <w:rsid w:val="11FA6A2A"/>
    <w:rsid w:val="1203054E"/>
    <w:rsid w:val="12080422"/>
    <w:rsid w:val="12185BD7"/>
    <w:rsid w:val="122A1C0B"/>
    <w:rsid w:val="12512FA2"/>
    <w:rsid w:val="12622B3E"/>
    <w:rsid w:val="128A28A7"/>
    <w:rsid w:val="128D3346"/>
    <w:rsid w:val="12941B8D"/>
    <w:rsid w:val="12977073"/>
    <w:rsid w:val="12A37ABE"/>
    <w:rsid w:val="12A91F69"/>
    <w:rsid w:val="12AE509E"/>
    <w:rsid w:val="12AF307C"/>
    <w:rsid w:val="12B3725A"/>
    <w:rsid w:val="13042036"/>
    <w:rsid w:val="13180D0A"/>
    <w:rsid w:val="13275E2C"/>
    <w:rsid w:val="133F305C"/>
    <w:rsid w:val="13AD5FAB"/>
    <w:rsid w:val="13AE6E02"/>
    <w:rsid w:val="13C9620E"/>
    <w:rsid w:val="13D04929"/>
    <w:rsid w:val="13DD22F6"/>
    <w:rsid w:val="13E424F6"/>
    <w:rsid w:val="13E5141B"/>
    <w:rsid w:val="13E8433C"/>
    <w:rsid w:val="13EA744D"/>
    <w:rsid w:val="13F20C38"/>
    <w:rsid w:val="140C2CC5"/>
    <w:rsid w:val="1418457C"/>
    <w:rsid w:val="141D2634"/>
    <w:rsid w:val="141E002D"/>
    <w:rsid w:val="141F22D6"/>
    <w:rsid w:val="144171D0"/>
    <w:rsid w:val="144370B1"/>
    <w:rsid w:val="14473FF3"/>
    <w:rsid w:val="146D2CCD"/>
    <w:rsid w:val="1470651D"/>
    <w:rsid w:val="14754E7C"/>
    <w:rsid w:val="147B7794"/>
    <w:rsid w:val="147C5209"/>
    <w:rsid w:val="14825593"/>
    <w:rsid w:val="14837F67"/>
    <w:rsid w:val="14844DF6"/>
    <w:rsid w:val="1490499A"/>
    <w:rsid w:val="14A175D7"/>
    <w:rsid w:val="14A81EEB"/>
    <w:rsid w:val="14AB122B"/>
    <w:rsid w:val="14BD2AD0"/>
    <w:rsid w:val="14CF6243"/>
    <w:rsid w:val="14D66F9B"/>
    <w:rsid w:val="14D94228"/>
    <w:rsid w:val="14DD595F"/>
    <w:rsid w:val="14DE284F"/>
    <w:rsid w:val="14ED4232"/>
    <w:rsid w:val="15086E3C"/>
    <w:rsid w:val="150A11D3"/>
    <w:rsid w:val="152A64BA"/>
    <w:rsid w:val="15336830"/>
    <w:rsid w:val="15367D1E"/>
    <w:rsid w:val="1555478C"/>
    <w:rsid w:val="15595409"/>
    <w:rsid w:val="158543CC"/>
    <w:rsid w:val="15A6428B"/>
    <w:rsid w:val="15B159B1"/>
    <w:rsid w:val="15B97C51"/>
    <w:rsid w:val="15CC0F79"/>
    <w:rsid w:val="15DB3773"/>
    <w:rsid w:val="15EB27E8"/>
    <w:rsid w:val="15ED7CB7"/>
    <w:rsid w:val="15F13251"/>
    <w:rsid w:val="160118A6"/>
    <w:rsid w:val="16064428"/>
    <w:rsid w:val="16184290"/>
    <w:rsid w:val="16287735"/>
    <w:rsid w:val="164D780A"/>
    <w:rsid w:val="1669628D"/>
    <w:rsid w:val="16737E05"/>
    <w:rsid w:val="16882B16"/>
    <w:rsid w:val="16906691"/>
    <w:rsid w:val="16971052"/>
    <w:rsid w:val="169F3587"/>
    <w:rsid w:val="16A003A6"/>
    <w:rsid w:val="16D64E84"/>
    <w:rsid w:val="16F27E76"/>
    <w:rsid w:val="16F6456B"/>
    <w:rsid w:val="170733C6"/>
    <w:rsid w:val="172A72AF"/>
    <w:rsid w:val="174516C7"/>
    <w:rsid w:val="174B5765"/>
    <w:rsid w:val="174F143C"/>
    <w:rsid w:val="17533299"/>
    <w:rsid w:val="1766107D"/>
    <w:rsid w:val="176C4035"/>
    <w:rsid w:val="177A4EE3"/>
    <w:rsid w:val="178E4AAF"/>
    <w:rsid w:val="179618E6"/>
    <w:rsid w:val="17CB1AB5"/>
    <w:rsid w:val="17F47085"/>
    <w:rsid w:val="17F50639"/>
    <w:rsid w:val="180E6DBA"/>
    <w:rsid w:val="18233291"/>
    <w:rsid w:val="18292863"/>
    <w:rsid w:val="1853603F"/>
    <w:rsid w:val="18541A7B"/>
    <w:rsid w:val="18AF6FDB"/>
    <w:rsid w:val="18C24F22"/>
    <w:rsid w:val="18CD751B"/>
    <w:rsid w:val="18DA0A4B"/>
    <w:rsid w:val="18DF0987"/>
    <w:rsid w:val="18F77F5F"/>
    <w:rsid w:val="18FA07C4"/>
    <w:rsid w:val="19005FF6"/>
    <w:rsid w:val="190F151D"/>
    <w:rsid w:val="191A6863"/>
    <w:rsid w:val="195D7483"/>
    <w:rsid w:val="197F6F89"/>
    <w:rsid w:val="19A3602E"/>
    <w:rsid w:val="19B30268"/>
    <w:rsid w:val="19CF1712"/>
    <w:rsid w:val="19DF3ACB"/>
    <w:rsid w:val="19E27420"/>
    <w:rsid w:val="19E6768A"/>
    <w:rsid w:val="1A144BED"/>
    <w:rsid w:val="1A176F71"/>
    <w:rsid w:val="1A201783"/>
    <w:rsid w:val="1A307C6C"/>
    <w:rsid w:val="1A342D52"/>
    <w:rsid w:val="1A4E6B6B"/>
    <w:rsid w:val="1A5F3BC4"/>
    <w:rsid w:val="1A783634"/>
    <w:rsid w:val="1A825C1C"/>
    <w:rsid w:val="1A93574E"/>
    <w:rsid w:val="1A9F4E23"/>
    <w:rsid w:val="1AA91003"/>
    <w:rsid w:val="1AA97869"/>
    <w:rsid w:val="1AB02132"/>
    <w:rsid w:val="1AE54D7F"/>
    <w:rsid w:val="1AED43E8"/>
    <w:rsid w:val="1AF522DA"/>
    <w:rsid w:val="1B207004"/>
    <w:rsid w:val="1B2651C9"/>
    <w:rsid w:val="1B274CA3"/>
    <w:rsid w:val="1B544B60"/>
    <w:rsid w:val="1B7C0E5F"/>
    <w:rsid w:val="1B961554"/>
    <w:rsid w:val="1BA302ED"/>
    <w:rsid w:val="1BA479A8"/>
    <w:rsid w:val="1BCD73F6"/>
    <w:rsid w:val="1BD0162C"/>
    <w:rsid w:val="1BDD105E"/>
    <w:rsid w:val="1BE55E72"/>
    <w:rsid w:val="1BFE6842"/>
    <w:rsid w:val="1C0A431C"/>
    <w:rsid w:val="1C0F3E13"/>
    <w:rsid w:val="1C1F0B9C"/>
    <w:rsid w:val="1C2044A3"/>
    <w:rsid w:val="1C303366"/>
    <w:rsid w:val="1C410F82"/>
    <w:rsid w:val="1C423D5E"/>
    <w:rsid w:val="1C565B46"/>
    <w:rsid w:val="1C587897"/>
    <w:rsid w:val="1C680FC9"/>
    <w:rsid w:val="1C826167"/>
    <w:rsid w:val="1CB426CE"/>
    <w:rsid w:val="1CB43D2E"/>
    <w:rsid w:val="1CB94FF8"/>
    <w:rsid w:val="1CC31D6E"/>
    <w:rsid w:val="1CD31A52"/>
    <w:rsid w:val="1CD51A30"/>
    <w:rsid w:val="1CE5312A"/>
    <w:rsid w:val="1CF31A38"/>
    <w:rsid w:val="1D205696"/>
    <w:rsid w:val="1D323322"/>
    <w:rsid w:val="1D3B21F2"/>
    <w:rsid w:val="1D41544E"/>
    <w:rsid w:val="1D4858D1"/>
    <w:rsid w:val="1D5D3E39"/>
    <w:rsid w:val="1D755BC8"/>
    <w:rsid w:val="1D7B4E9B"/>
    <w:rsid w:val="1D8267A2"/>
    <w:rsid w:val="1D8B6988"/>
    <w:rsid w:val="1DB24D65"/>
    <w:rsid w:val="1DBC1A8E"/>
    <w:rsid w:val="1DBE05A7"/>
    <w:rsid w:val="1DF63731"/>
    <w:rsid w:val="1E0422BE"/>
    <w:rsid w:val="1E2402B8"/>
    <w:rsid w:val="1E5420DF"/>
    <w:rsid w:val="1E610ACE"/>
    <w:rsid w:val="1E7974A2"/>
    <w:rsid w:val="1E8B1225"/>
    <w:rsid w:val="1E8B7BEA"/>
    <w:rsid w:val="1E8F1F39"/>
    <w:rsid w:val="1E9A6A31"/>
    <w:rsid w:val="1E9E5260"/>
    <w:rsid w:val="1EA077A8"/>
    <w:rsid w:val="1EBF0EEE"/>
    <w:rsid w:val="1EC1678B"/>
    <w:rsid w:val="1EC425B8"/>
    <w:rsid w:val="1EC66A0B"/>
    <w:rsid w:val="1EC7486A"/>
    <w:rsid w:val="1EDA0752"/>
    <w:rsid w:val="1EE22BC8"/>
    <w:rsid w:val="1F137189"/>
    <w:rsid w:val="1F365EDF"/>
    <w:rsid w:val="1F387AC6"/>
    <w:rsid w:val="1F410C5B"/>
    <w:rsid w:val="1F541D77"/>
    <w:rsid w:val="1F557567"/>
    <w:rsid w:val="1F77492F"/>
    <w:rsid w:val="1F791B85"/>
    <w:rsid w:val="1F7B7D75"/>
    <w:rsid w:val="1F9649FC"/>
    <w:rsid w:val="1FB50992"/>
    <w:rsid w:val="1FBC719E"/>
    <w:rsid w:val="1FD530F3"/>
    <w:rsid w:val="1FDD503C"/>
    <w:rsid w:val="1FF46C76"/>
    <w:rsid w:val="2026520A"/>
    <w:rsid w:val="204B3436"/>
    <w:rsid w:val="204B711B"/>
    <w:rsid w:val="20514973"/>
    <w:rsid w:val="20542A1B"/>
    <w:rsid w:val="207939AC"/>
    <w:rsid w:val="209164DC"/>
    <w:rsid w:val="20B27562"/>
    <w:rsid w:val="20B42E69"/>
    <w:rsid w:val="20BF2812"/>
    <w:rsid w:val="20C40569"/>
    <w:rsid w:val="20D132F5"/>
    <w:rsid w:val="21024030"/>
    <w:rsid w:val="21104C98"/>
    <w:rsid w:val="2130271D"/>
    <w:rsid w:val="213C4F45"/>
    <w:rsid w:val="2155307F"/>
    <w:rsid w:val="21613D53"/>
    <w:rsid w:val="216A2D95"/>
    <w:rsid w:val="216D44CE"/>
    <w:rsid w:val="217B114F"/>
    <w:rsid w:val="219E0BCE"/>
    <w:rsid w:val="2235280E"/>
    <w:rsid w:val="223A6F2D"/>
    <w:rsid w:val="225D3A33"/>
    <w:rsid w:val="2263029F"/>
    <w:rsid w:val="2266370A"/>
    <w:rsid w:val="2267310A"/>
    <w:rsid w:val="22744528"/>
    <w:rsid w:val="22896E61"/>
    <w:rsid w:val="22933A40"/>
    <w:rsid w:val="22935E68"/>
    <w:rsid w:val="22A4334A"/>
    <w:rsid w:val="22A4641C"/>
    <w:rsid w:val="22B4362B"/>
    <w:rsid w:val="22C616EE"/>
    <w:rsid w:val="22C6251A"/>
    <w:rsid w:val="22CA0F30"/>
    <w:rsid w:val="22D1236F"/>
    <w:rsid w:val="22D45946"/>
    <w:rsid w:val="22D76217"/>
    <w:rsid w:val="22E358B0"/>
    <w:rsid w:val="22EE30E9"/>
    <w:rsid w:val="23023775"/>
    <w:rsid w:val="23060A22"/>
    <w:rsid w:val="23062837"/>
    <w:rsid w:val="231D01B5"/>
    <w:rsid w:val="232B47C9"/>
    <w:rsid w:val="232C1854"/>
    <w:rsid w:val="23461996"/>
    <w:rsid w:val="234E6301"/>
    <w:rsid w:val="23504355"/>
    <w:rsid w:val="23520791"/>
    <w:rsid w:val="237C79F8"/>
    <w:rsid w:val="238138D5"/>
    <w:rsid w:val="239A6517"/>
    <w:rsid w:val="23AD71BB"/>
    <w:rsid w:val="23AE664F"/>
    <w:rsid w:val="2414576B"/>
    <w:rsid w:val="24513FF5"/>
    <w:rsid w:val="24726958"/>
    <w:rsid w:val="247A71BC"/>
    <w:rsid w:val="24845779"/>
    <w:rsid w:val="2489616F"/>
    <w:rsid w:val="249C0675"/>
    <w:rsid w:val="24BF223C"/>
    <w:rsid w:val="24C4329C"/>
    <w:rsid w:val="24EA17B6"/>
    <w:rsid w:val="24FA709D"/>
    <w:rsid w:val="24FC730B"/>
    <w:rsid w:val="251954CF"/>
    <w:rsid w:val="253C0133"/>
    <w:rsid w:val="253F3663"/>
    <w:rsid w:val="25473008"/>
    <w:rsid w:val="254F7BA7"/>
    <w:rsid w:val="2552194B"/>
    <w:rsid w:val="255B6B50"/>
    <w:rsid w:val="25605A7F"/>
    <w:rsid w:val="25646DE6"/>
    <w:rsid w:val="2568608D"/>
    <w:rsid w:val="25763B5D"/>
    <w:rsid w:val="25880C44"/>
    <w:rsid w:val="25A37047"/>
    <w:rsid w:val="25A9726C"/>
    <w:rsid w:val="25C14509"/>
    <w:rsid w:val="25C32055"/>
    <w:rsid w:val="25EC51CE"/>
    <w:rsid w:val="25FA2236"/>
    <w:rsid w:val="26065D65"/>
    <w:rsid w:val="261B705F"/>
    <w:rsid w:val="26395045"/>
    <w:rsid w:val="263E407A"/>
    <w:rsid w:val="26445799"/>
    <w:rsid w:val="26690E3E"/>
    <w:rsid w:val="266F40A1"/>
    <w:rsid w:val="26727901"/>
    <w:rsid w:val="268418D0"/>
    <w:rsid w:val="26AC3D6A"/>
    <w:rsid w:val="26C6468F"/>
    <w:rsid w:val="26D62EAC"/>
    <w:rsid w:val="26DC637E"/>
    <w:rsid w:val="26EE360B"/>
    <w:rsid w:val="26FE3D59"/>
    <w:rsid w:val="27025900"/>
    <w:rsid w:val="271D38A2"/>
    <w:rsid w:val="27235474"/>
    <w:rsid w:val="272A484D"/>
    <w:rsid w:val="27467C3E"/>
    <w:rsid w:val="27503363"/>
    <w:rsid w:val="27600D69"/>
    <w:rsid w:val="277160C1"/>
    <w:rsid w:val="27736197"/>
    <w:rsid w:val="2773638A"/>
    <w:rsid w:val="277528A1"/>
    <w:rsid w:val="277D52A0"/>
    <w:rsid w:val="27B87D0D"/>
    <w:rsid w:val="27CB5D52"/>
    <w:rsid w:val="27D375D0"/>
    <w:rsid w:val="27DF3A0D"/>
    <w:rsid w:val="27FA0AD9"/>
    <w:rsid w:val="280F7871"/>
    <w:rsid w:val="28173165"/>
    <w:rsid w:val="282C00B3"/>
    <w:rsid w:val="285353F2"/>
    <w:rsid w:val="2854413E"/>
    <w:rsid w:val="285C361A"/>
    <w:rsid w:val="286C2661"/>
    <w:rsid w:val="286E0E1D"/>
    <w:rsid w:val="28894510"/>
    <w:rsid w:val="288C161E"/>
    <w:rsid w:val="28A41AF6"/>
    <w:rsid w:val="28A96E8A"/>
    <w:rsid w:val="28A96FE2"/>
    <w:rsid w:val="28B23621"/>
    <w:rsid w:val="28C17E1A"/>
    <w:rsid w:val="28C93B19"/>
    <w:rsid w:val="28DB2813"/>
    <w:rsid w:val="28EA5EAD"/>
    <w:rsid w:val="28F04771"/>
    <w:rsid w:val="293635AB"/>
    <w:rsid w:val="293A16C4"/>
    <w:rsid w:val="2960392F"/>
    <w:rsid w:val="296F78C7"/>
    <w:rsid w:val="297F7D5E"/>
    <w:rsid w:val="29834B4F"/>
    <w:rsid w:val="29921F87"/>
    <w:rsid w:val="29A52206"/>
    <w:rsid w:val="29A93E6A"/>
    <w:rsid w:val="29BB50A9"/>
    <w:rsid w:val="29C970A6"/>
    <w:rsid w:val="29CA6F9C"/>
    <w:rsid w:val="29F376E6"/>
    <w:rsid w:val="2A020502"/>
    <w:rsid w:val="2A024919"/>
    <w:rsid w:val="2A073165"/>
    <w:rsid w:val="2A1B3035"/>
    <w:rsid w:val="2A1C14AC"/>
    <w:rsid w:val="2A275047"/>
    <w:rsid w:val="2A45419B"/>
    <w:rsid w:val="2A4F31B7"/>
    <w:rsid w:val="2A636C65"/>
    <w:rsid w:val="2ABC784B"/>
    <w:rsid w:val="2ADE2DCF"/>
    <w:rsid w:val="2AEA048C"/>
    <w:rsid w:val="2AFB4342"/>
    <w:rsid w:val="2B2B44BB"/>
    <w:rsid w:val="2B2F2CF2"/>
    <w:rsid w:val="2B4C1CC1"/>
    <w:rsid w:val="2B4D6A9A"/>
    <w:rsid w:val="2B6C115E"/>
    <w:rsid w:val="2B974952"/>
    <w:rsid w:val="2BA0370C"/>
    <w:rsid w:val="2BA80578"/>
    <w:rsid w:val="2BA85696"/>
    <w:rsid w:val="2BB7442E"/>
    <w:rsid w:val="2BB862D6"/>
    <w:rsid w:val="2BBC4A5D"/>
    <w:rsid w:val="2BC15A55"/>
    <w:rsid w:val="2BC24645"/>
    <w:rsid w:val="2BD50035"/>
    <w:rsid w:val="2BDA666A"/>
    <w:rsid w:val="2BE226A3"/>
    <w:rsid w:val="2BF655BC"/>
    <w:rsid w:val="2BF93551"/>
    <w:rsid w:val="2C0579B2"/>
    <w:rsid w:val="2C293A03"/>
    <w:rsid w:val="2C390E5B"/>
    <w:rsid w:val="2C4F172A"/>
    <w:rsid w:val="2C5B2636"/>
    <w:rsid w:val="2C683BD4"/>
    <w:rsid w:val="2C812B9B"/>
    <w:rsid w:val="2CA20217"/>
    <w:rsid w:val="2CA7145C"/>
    <w:rsid w:val="2CB40C4F"/>
    <w:rsid w:val="2CB57E54"/>
    <w:rsid w:val="2CB81A64"/>
    <w:rsid w:val="2CBB77C0"/>
    <w:rsid w:val="2CBE4DDF"/>
    <w:rsid w:val="2CC205EC"/>
    <w:rsid w:val="2CC26AA7"/>
    <w:rsid w:val="2CD51563"/>
    <w:rsid w:val="2CE468B7"/>
    <w:rsid w:val="2CEE204E"/>
    <w:rsid w:val="2D097C83"/>
    <w:rsid w:val="2D0D51EF"/>
    <w:rsid w:val="2D1553D5"/>
    <w:rsid w:val="2D4163E7"/>
    <w:rsid w:val="2D535822"/>
    <w:rsid w:val="2D546E7F"/>
    <w:rsid w:val="2D686D87"/>
    <w:rsid w:val="2D775688"/>
    <w:rsid w:val="2D884B26"/>
    <w:rsid w:val="2D927AB4"/>
    <w:rsid w:val="2DA11360"/>
    <w:rsid w:val="2DBE75F1"/>
    <w:rsid w:val="2DBF456D"/>
    <w:rsid w:val="2DC7415C"/>
    <w:rsid w:val="2DCD350D"/>
    <w:rsid w:val="2DCD7888"/>
    <w:rsid w:val="2DD3709E"/>
    <w:rsid w:val="2DE86415"/>
    <w:rsid w:val="2DEE2B47"/>
    <w:rsid w:val="2E0242D0"/>
    <w:rsid w:val="2E0913DF"/>
    <w:rsid w:val="2E103A5D"/>
    <w:rsid w:val="2E1E2708"/>
    <w:rsid w:val="2E4C16A8"/>
    <w:rsid w:val="2E4F3CCD"/>
    <w:rsid w:val="2E5326C6"/>
    <w:rsid w:val="2E5A0812"/>
    <w:rsid w:val="2E642DD1"/>
    <w:rsid w:val="2E751AD9"/>
    <w:rsid w:val="2E7D50D3"/>
    <w:rsid w:val="2E865381"/>
    <w:rsid w:val="2EB40F10"/>
    <w:rsid w:val="2EB44C46"/>
    <w:rsid w:val="2EDD1472"/>
    <w:rsid w:val="2EE928C2"/>
    <w:rsid w:val="2F043996"/>
    <w:rsid w:val="2F180ECF"/>
    <w:rsid w:val="2F22271F"/>
    <w:rsid w:val="2F2F543C"/>
    <w:rsid w:val="2F413EAF"/>
    <w:rsid w:val="2F456FCF"/>
    <w:rsid w:val="2F8756D1"/>
    <w:rsid w:val="2F883BDD"/>
    <w:rsid w:val="2F9674A7"/>
    <w:rsid w:val="2FA91B00"/>
    <w:rsid w:val="2FB73515"/>
    <w:rsid w:val="2FB82498"/>
    <w:rsid w:val="2FBA1F67"/>
    <w:rsid w:val="2FED154F"/>
    <w:rsid w:val="2FFA7254"/>
    <w:rsid w:val="2FFD0200"/>
    <w:rsid w:val="2FFF4F4D"/>
    <w:rsid w:val="3008358F"/>
    <w:rsid w:val="300B0F6D"/>
    <w:rsid w:val="300D4646"/>
    <w:rsid w:val="30183356"/>
    <w:rsid w:val="30267027"/>
    <w:rsid w:val="303356D3"/>
    <w:rsid w:val="303E43A5"/>
    <w:rsid w:val="305A095B"/>
    <w:rsid w:val="305F7A70"/>
    <w:rsid w:val="306A4B98"/>
    <w:rsid w:val="30734AB7"/>
    <w:rsid w:val="3091523D"/>
    <w:rsid w:val="30931D87"/>
    <w:rsid w:val="30B01FF4"/>
    <w:rsid w:val="30B301EE"/>
    <w:rsid w:val="30B801DB"/>
    <w:rsid w:val="30BA6921"/>
    <w:rsid w:val="30BB578A"/>
    <w:rsid w:val="30C02910"/>
    <w:rsid w:val="30CD60D9"/>
    <w:rsid w:val="310D50E7"/>
    <w:rsid w:val="310D67DF"/>
    <w:rsid w:val="31136E86"/>
    <w:rsid w:val="312937C7"/>
    <w:rsid w:val="3132646D"/>
    <w:rsid w:val="314972A5"/>
    <w:rsid w:val="31925E75"/>
    <w:rsid w:val="31A7659E"/>
    <w:rsid w:val="31BD6389"/>
    <w:rsid w:val="31C07370"/>
    <w:rsid w:val="31C55430"/>
    <w:rsid w:val="31DB2D53"/>
    <w:rsid w:val="31F011AE"/>
    <w:rsid w:val="32074F9A"/>
    <w:rsid w:val="320B6893"/>
    <w:rsid w:val="3222157B"/>
    <w:rsid w:val="324F3D70"/>
    <w:rsid w:val="3254235E"/>
    <w:rsid w:val="327716D8"/>
    <w:rsid w:val="328033BB"/>
    <w:rsid w:val="32AB0EB7"/>
    <w:rsid w:val="32B7099A"/>
    <w:rsid w:val="32ED364D"/>
    <w:rsid w:val="32F3145F"/>
    <w:rsid w:val="32F6055D"/>
    <w:rsid w:val="330262B7"/>
    <w:rsid w:val="33027605"/>
    <w:rsid w:val="33336EAA"/>
    <w:rsid w:val="334E4EB6"/>
    <w:rsid w:val="336042CB"/>
    <w:rsid w:val="33630ED5"/>
    <w:rsid w:val="337C3FEC"/>
    <w:rsid w:val="339656E8"/>
    <w:rsid w:val="33A22777"/>
    <w:rsid w:val="33A2651C"/>
    <w:rsid w:val="33A5456D"/>
    <w:rsid w:val="33AA7A13"/>
    <w:rsid w:val="33C31BF3"/>
    <w:rsid w:val="33E766A4"/>
    <w:rsid w:val="33EB5832"/>
    <w:rsid w:val="33EE7E19"/>
    <w:rsid w:val="33F12B0B"/>
    <w:rsid w:val="34053BB9"/>
    <w:rsid w:val="34DD37A7"/>
    <w:rsid w:val="3501437E"/>
    <w:rsid w:val="35037CED"/>
    <w:rsid w:val="351D4422"/>
    <w:rsid w:val="352116E4"/>
    <w:rsid w:val="355060B4"/>
    <w:rsid w:val="355A19B8"/>
    <w:rsid w:val="35686808"/>
    <w:rsid w:val="35686FA7"/>
    <w:rsid w:val="3571218F"/>
    <w:rsid w:val="35773B32"/>
    <w:rsid w:val="357B1F1D"/>
    <w:rsid w:val="358372CD"/>
    <w:rsid w:val="35C46C92"/>
    <w:rsid w:val="35CA5D78"/>
    <w:rsid w:val="35D9764C"/>
    <w:rsid w:val="35DD36FC"/>
    <w:rsid w:val="35EC568F"/>
    <w:rsid w:val="36080FE7"/>
    <w:rsid w:val="361A3103"/>
    <w:rsid w:val="364705EC"/>
    <w:rsid w:val="364C661D"/>
    <w:rsid w:val="36575075"/>
    <w:rsid w:val="36617AD2"/>
    <w:rsid w:val="36744A42"/>
    <w:rsid w:val="367621F6"/>
    <w:rsid w:val="3687151F"/>
    <w:rsid w:val="36886100"/>
    <w:rsid w:val="368A31D3"/>
    <w:rsid w:val="36937DD3"/>
    <w:rsid w:val="36CE4C47"/>
    <w:rsid w:val="36DC1671"/>
    <w:rsid w:val="36DF12C3"/>
    <w:rsid w:val="36E26270"/>
    <w:rsid w:val="36F00840"/>
    <w:rsid w:val="37050EBD"/>
    <w:rsid w:val="37180334"/>
    <w:rsid w:val="371B0159"/>
    <w:rsid w:val="3749586B"/>
    <w:rsid w:val="375B2AC5"/>
    <w:rsid w:val="37681F36"/>
    <w:rsid w:val="376A2DFC"/>
    <w:rsid w:val="37786E28"/>
    <w:rsid w:val="37883B06"/>
    <w:rsid w:val="37C377B8"/>
    <w:rsid w:val="37DB4796"/>
    <w:rsid w:val="37DB7861"/>
    <w:rsid w:val="37DD6EA8"/>
    <w:rsid w:val="37DF37A2"/>
    <w:rsid w:val="37E6AE0B"/>
    <w:rsid w:val="37ED231C"/>
    <w:rsid w:val="37F45A3A"/>
    <w:rsid w:val="38024A5C"/>
    <w:rsid w:val="381A45AC"/>
    <w:rsid w:val="382A1DDA"/>
    <w:rsid w:val="382E324A"/>
    <w:rsid w:val="38400F2D"/>
    <w:rsid w:val="3846455C"/>
    <w:rsid w:val="384B534F"/>
    <w:rsid w:val="38595FA9"/>
    <w:rsid w:val="386316C9"/>
    <w:rsid w:val="38940103"/>
    <w:rsid w:val="38AA4327"/>
    <w:rsid w:val="38AC2ACE"/>
    <w:rsid w:val="38B62853"/>
    <w:rsid w:val="38B70F61"/>
    <w:rsid w:val="38C0645E"/>
    <w:rsid w:val="38D87D11"/>
    <w:rsid w:val="38D92537"/>
    <w:rsid w:val="38D974A2"/>
    <w:rsid w:val="38E67A28"/>
    <w:rsid w:val="38EE1906"/>
    <w:rsid w:val="38F43170"/>
    <w:rsid w:val="390C53E2"/>
    <w:rsid w:val="391B0EB6"/>
    <w:rsid w:val="3927553D"/>
    <w:rsid w:val="392779FA"/>
    <w:rsid w:val="394A78B7"/>
    <w:rsid w:val="395F0270"/>
    <w:rsid w:val="398948E1"/>
    <w:rsid w:val="39951F81"/>
    <w:rsid w:val="39A63DC1"/>
    <w:rsid w:val="39AD1A66"/>
    <w:rsid w:val="39C57D95"/>
    <w:rsid w:val="39CD4B44"/>
    <w:rsid w:val="39D83D18"/>
    <w:rsid w:val="39E40C17"/>
    <w:rsid w:val="39E6590F"/>
    <w:rsid w:val="39E96FF1"/>
    <w:rsid w:val="39FC60DC"/>
    <w:rsid w:val="3A062EE1"/>
    <w:rsid w:val="3A0A1DE2"/>
    <w:rsid w:val="3A113BC5"/>
    <w:rsid w:val="3A193107"/>
    <w:rsid w:val="3A320110"/>
    <w:rsid w:val="3A323B2C"/>
    <w:rsid w:val="3A783714"/>
    <w:rsid w:val="3A791DE4"/>
    <w:rsid w:val="3AC07852"/>
    <w:rsid w:val="3ACA3D18"/>
    <w:rsid w:val="3B043498"/>
    <w:rsid w:val="3B1556EA"/>
    <w:rsid w:val="3B192437"/>
    <w:rsid w:val="3B78140B"/>
    <w:rsid w:val="3B796609"/>
    <w:rsid w:val="3B7E2C12"/>
    <w:rsid w:val="3B8064B4"/>
    <w:rsid w:val="3B845E8C"/>
    <w:rsid w:val="3B886A2D"/>
    <w:rsid w:val="3B8E522A"/>
    <w:rsid w:val="3BAE573A"/>
    <w:rsid w:val="3BC8142F"/>
    <w:rsid w:val="3BCB60BE"/>
    <w:rsid w:val="3BDA4239"/>
    <w:rsid w:val="3BDF0C74"/>
    <w:rsid w:val="3BDF3FFA"/>
    <w:rsid w:val="3BEB59F6"/>
    <w:rsid w:val="3BF21192"/>
    <w:rsid w:val="3BF40F09"/>
    <w:rsid w:val="3C441367"/>
    <w:rsid w:val="3C525DAC"/>
    <w:rsid w:val="3C6D6717"/>
    <w:rsid w:val="3CAB7436"/>
    <w:rsid w:val="3CAD0E7E"/>
    <w:rsid w:val="3CF6391F"/>
    <w:rsid w:val="3D14257C"/>
    <w:rsid w:val="3D204DD1"/>
    <w:rsid w:val="3D7D03E8"/>
    <w:rsid w:val="3D857CBD"/>
    <w:rsid w:val="3D87312C"/>
    <w:rsid w:val="3DA00BEE"/>
    <w:rsid w:val="3DA50670"/>
    <w:rsid w:val="3DA70F76"/>
    <w:rsid w:val="3DC0716D"/>
    <w:rsid w:val="3DCC5D44"/>
    <w:rsid w:val="3DCF099F"/>
    <w:rsid w:val="3DD600CE"/>
    <w:rsid w:val="3DD7625E"/>
    <w:rsid w:val="3DDC3178"/>
    <w:rsid w:val="3DF960C6"/>
    <w:rsid w:val="3DFC391C"/>
    <w:rsid w:val="3E005FB3"/>
    <w:rsid w:val="3E095C1D"/>
    <w:rsid w:val="3E231571"/>
    <w:rsid w:val="3E2D20E9"/>
    <w:rsid w:val="3E4561D9"/>
    <w:rsid w:val="3E4F0582"/>
    <w:rsid w:val="3E780415"/>
    <w:rsid w:val="3E8B3675"/>
    <w:rsid w:val="3EA75FF3"/>
    <w:rsid w:val="3EC579A1"/>
    <w:rsid w:val="3ECD38C9"/>
    <w:rsid w:val="3ECE2074"/>
    <w:rsid w:val="3ED668A2"/>
    <w:rsid w:val="3EE5076F"/>
    <w:rsid w:val="3EF72ABB"/>
    <w:rsid w:val="3F07406B"/>
    <w:rsid w:val="3F096A28"/>
    <w:rsid w:val="3F167DF4"/>
    <w:rsid w:val="3F1F3C28"/>
    <w:rsid w:val="3F425273"/>
    <w:rsid w:val="3F45761E"/>
    <w:rsid w:val="3F523767"/>
    <w:rsid w:val="3F7215C9"/>
    <w:rsid w:val="3F8E0087"/>
    <w:rsid w:val="3F994E15"/>
    <w:rsid w:val="3FCE3F86"/>
    <w:rsid w:val="3FD03402"/>
    <w:rsid w:val="3FDB0553"/>
    <w:rsid w:val="3FE50D99"/>
    <w:rsid w:val="400E1211"/>
    <w:rsid w:val="401C35BD"/>
    <w:rsid w:val="40253A39"/>
    <w:rsid w:val="40453AEB"/>
    <w:rsid w:val="40457B4C"/>
    <w:rsid w:val="406810F4"/>
    <w:rsid w:val="407A4C31"/>
    <w:rsid w:val="407E33E6"/>
    <w:rsid w:val="40872085"/>
    <w:rsid w:val="4089760D"/>
    <w:rsid w:val="409B7F31"/>
    <w:rsid w:val="409D056A"/>
    <w:rsid w:val="40B00CA5"/>
    <w:rsid w:val="40B90A5A"/>
    <w:rsid w:val="40BE741A"/>
    <w:rsid w:val="40D10A94"/>
    <w:rsid w:val="40E112C1"/>
    <w:rsid w:val="40E4146D"/>
    <w:rsid w:val="40EF3641"/>
    <w:rsid w:val="40F05DAB"/>
    <w:rsid w:val="40F135FC"/>
    <w:rsid w:val="410140EC"/>
    <w:rsid w:val="41304B38"/>
    <w:rsid w:val="41492A41"/>
    <w:rsid w:val="41634C06"/>
    <w:rsid w:val="41C26B68"/>
    <w:rsid w:val="41C62F67"/>
    <w:rsid w:val="41C86C67"/>
    <w:rsid w:val="41E111BC"/>
    <w:rsid w:val="41F302C6"/>
    <w:rsid w:val="42515564"/>
    <w:rsid w:val="42655845"/>
    <w:rsid w:val="426702CD"/>
    <w:rsid w:val="42684248"/>
    <w:rsid w:val="42944BD8"/>
    <w:rsid w:val="4297261A"/>
    <w:rsid w:val="429C1039"/>
    <w:rsid w:val="42AC2756"/>
    <w:rsid w:val="42DE5D67"/>
    <w:rsid w:val="42F537BC"/>
    <w:rsid w:val="42FA76F5"/>
    <w:rsid w:val="42FF47D0"/>
    <w:rsid w:val="43034B0A"/>
    <w:rsid w:val="433B725A"/>
    <w:rsid w:val="43427132"/>
    <w:rsid w:val="4363573A"/>
    <w:rsid w:val="437040B3"/>
    <w:rsid w:val="43896F39"/>
    <w:rsid w:val="43BA34EC"/>
    <w:rsid w:val="43CC5485"/>
    <w:rsid w:val="43D13EF0"/>
    <w:rsid w:val="43D91C0F"/>
    <w:rsid w:val="43D97640"/>
    <w:rsid w:val="43E452A3"/>
    <w:rsid w:val="43FA2B13"/>
    <w:rsid w:val="43FB2C5D"/>
    <w:rsid w:val="44020936"/>
    <w:rsid w:val="44061259"/>
    <w:rsid w:val="44072F98"/>
    <w:rsid w:val="44453DDE"/>
    <w:rsid w:val="44567B02"/>
    <w:rsid w:val="445B7166"/>
    <w:rsid w:val="44724216"/>
    <w:rsid w:val="44864980"/>
    <w:rsid w:val="449045B1"/>
    <w:rsid w:val="44B72081"/>
    <w:rsid w:val="44CC7993"/>
    <w:rsid w:val="44DF4B02"/>
    <w:rsid w:val="45062370"/>
    <w:rsid w:val="45372F4E"/>
    <w:rsid w:val="457A0A05"/>
    <w:rsid w:val="457A2A27"/>
    <w:rsid w:val="459A59AD"/>
    <w:rsid w:val="45E270A8"/>
    <w:rsid w:val="45EA0BB7"/>
    <w:rsid w:val="4624786E"/>
    <w:rsid w:val="46450D8C"/>
    <w:rsid w:val="466420B4"/>
    <w:rsid w:val="4664388B"/>
    <w:rsid w:val="46775DD4"/>
    <w:rsid w:val="468B258A"/>
    <w:rsid w:val="468E41C8"/>
    <w:rsid w:val="46952BCC"/>
    <w:rsid w:val="469F129A"/>
    <w:rsid w:val="46A008F0"/>
    <w:rsid w:val="46C95411"/>
    <w:rsid w:val="46CA247B"/>
    <w:rsid w:val="46CD03D6"/>
    <w:rsid w:val="46D361EE"/>
    <w:rsid w:val="46E94C6F"/>
    <w:rsid w:val="46FF0BD8"/>
    <w:rsid w:val="470B4556"/>
    <w:rsid w:val="471D23E0"/>
    <w:rsid w:val="471D7256"/>
    <w:rsid w:val="472B6D5F"/>
    <w:rsid w:val="47382498"/>
    <w:rsid w:val="474151D2"/>
    <w:rsid w:val="475F0133"/>
    <w:rsid w:val="476025AF"/>
    <w:rsid w:val="476557D3"/>
    <w:rsid w:val="47693CEC"/>
    <w:rsid w:val="4784411F"/>
    <w:rsid w:val="47937C23"/>
    <w:rsid w:val="47A4094E"/>
    <w:rsid w:val="47A57019"/>
    <w:rsid w:val="47FA5A23"/>
    <w:rsid w:val="482500C2"/>
    <w:rsid w:val="483937FC"/>
    <w:rsid w:val="485C414F"/>
    <w:rsid w:val="48612202"/>
    <w:rsid w:val="486C6772"/>
    <w:rsid w:val="487D7BFF"/>
    <w:rsid w:val="487E02D4"/>
    <w:rsid w:val="48A27266"/>
    <w:rsid w:val="48A92CEB"/>
    <w:rsid w:val="48BF5030"/>
    <w:rsid w:val="48D100C9"/>
    <w:rsid w:val="48D37080"/>
    <w:rsid w:val="48DF35C5"/>
    <w:rsid w:val="48ED7701"/>
    <w:rsid w:val="48FC2D22"/>
    <w:rsid w:val="492752DF"/>
    <w:rsid w:val="492C4D06"/>
    <w:rsid w:val="495919AF"/>
    <w:rsid w:val="4961050C"/>
    <w:rsid w:val="496E172F"/>
    <w:rsid w:val="49E52617"/>
    <w:rsid w:val="49EA6928"/>
    <w:rsid w:val="49EE2B67"/>
    <w:rsid w:val="49F206D4"/>
    <w:rsid w:val="49F2415C"/>
    <w:rsid w:val="4A0C48D7"/>
    <w:rsid w:val="4A0E0561"/>
    <w:rsid w:val="4A1A354C"/>
    <w:rsid w:val="4A1C5377"/>
    <w:rsid w:val="4A37082E"/>
    <w:rsid w:val="4A394591"/>
    <w:rsid w:val="4A5274F0"/>
    <w:rsid w:val="4A8C69AA"/>
    <w:rsid w:val="4A9E39EF"/>
    <w:rsid w:val="4AB51207"/>
    <w:rsid w:val="4ACB1E96"/>
    <w:rsid w:val="4AE27108"/>
    <w:rsid w:val="4AFB3CD0"/>
    <w:rsid w:val="4B11602E"/>
    <w:rsid w:val="4B253112"/>
    <w:rsid w:val="4B2A518F"/>
    <w:rsid w:val="4B2F3F26"/>
    <w:rsid w:val="4B4D4806"/>
    <w:rsid w:val="4B5A7C99"/>
    <w:rsid w:val="4B6C5E9D"/>
    <w:rsid w:val="4B772E35"/>
    <w:rsid w:val="4B77546F"/>
    <w:rsid w:val="4B7F692E"/>
    <w:rsid w:val="4B882445"/>
    <w:rsid w:val="4B981BB1"/>
    <w:rsid w:val="4BAB35E5"/>
    <w:rsid w:val="4BBA02F3"/>
    <w:rsid w:val="4BBF1B49"/>
    <w:rsid w:val="4BC846E4"/>
    <w:rsid w:val="4BCF3E02"/>
    <w:rsid w:val="4BD82BD7"/>
    <w:rsid w:val="4BDB647E"/>
    <w:rsid w:val="4BF14CED"/>
    <w:rsid w:val="4BF16062"/>
    <w:rsid w:val="4C013B24"/>
    <w:rsid w:val="4C0179AD"/>
    <w:rsid w:val="4C1C000C"/>
    <w:rsid w:val="4C2E5DD7"/>
    <w:rsid w:val="4C3A2555"/>
    <w:rsid w:val="4C497D13"/>
    <w:rsid w:val="4C511898"/>
    <w:rsid w:val="4C6071B4"/>
    <w:rsid w:val="4C620E60"/>
    <w:rsid w:val="4CAC2D60"/>
    <w:rsid w:val="4CD468C3"/>
    <w:rsid w:val="4CDE15B9"/>
    <w:rsid w:val="4CE038B0"/>
    <w:rsid w:val="4CED37D5"/>
    <w:rsid w:val="4CED5E12"/>
    <w:rsid w:val="4CF67937"/>
    <w:rsid w:val="4D0968BF"/>
    <w:rsid w:val="4D2133BB"/>
    <w:rsid w:val="4D2A223F"/>
    <w:rsid w:val="4D54700C"/>
    <w:rsid w:val="4D640AF0"/>
    <w:rsid w:val="4D672D28"/>
    <w:rsid w:val="4D6A5A88"/>
    <w:rsid w:val="4D934318"/>
    <w:rsid w:val="4DB82593"/>
    <w:rsid w:val="4DD92EE5"/>
    <w:rsid w:val="4DFE0138"/>
    <w:rsid w:val="4DFF70C7"/>
    <w:rsid w:val="4E0A2FD0"/>
    <w:rsid w:val="4E124744"/>
    <w:rsid w:val="4E1559DD"/>
    <w:rsid w:val="4E164D97"/>
    <w:rsid w:val="4E3B3CA0"/>
    <w:rsid w:val="4E465ED5"/>
    <w:rsid w:val="4E816603"/>
    <w:rsid w:val="4E897C7E"/>
    <w:rsid w:val="4E9027EF"/>
    <w:rsid w:val="4EA544A4"/>
    <w:rsid w:val="4EB231A3"/>
    <w:rsid w:val="4EB41BD8"/>
    <w:rsid w:val="4EBF0DD0"/>
    <w:rsid w:val="4EBF3036"/>
    <w:rsid w:val="4EBF5342"/>
    <w:rsid w:val="4EC16573"/>
    <w:rsid w:val="4EC75128"/>
    <w:rsid w:val="4EC93518"/>
    <w:rsid w:val="4ED02232"/>
    <w:rsid w:val="4ED40002"/>
    <w:rsid w:val="4EEC5B4C"/>
    <w:rsid w:val="4F3F55D1"/>
    <w:rsid w:val="4F4642D5"/>
    <w:rsid w:val="4F6C6A87"/>
    <w:rsid w:val="4F7513A2"/>
    <w:rsid w:val="4F7C4DD6"/>
    <w:rsid w:val="4F8D1EAB"/>
    <w:rsid w:val="4F993F35"/>
    <w:rsid w:val="4F9F3D56"/>
    <w:rsid w:val="4FAC5F23"/>
    <w:rsid w:val="4FBB4F02"/>
    <w:rsid w:val="4FBB7BF9"/>
    <w:rsid w:val="4FC815B1"/>
    <w:rsid w:val="4FD141C7"/>
    <w:rsid w:val="4FEB439D"/>
    <w:rsid w:val="4FF17EA2"/>
    <w:rsid w:val="4FFF83DF"/>
    <w:rsid w:val="50017B7F"/>
    <w:rsid w:val="50027DED"/>
    <w:rsid w:val="501D5CDC"/>
    <w:rsid w:val="503B1B7A"/>
    <w:rsid w:val="503D67DE"/>
    <w:rsid w:val="504C6D8C"/>
    <w:rsid w:val="50736B96"/>
    <w:rsid w:val="50782CFF"/>
    <w:rsid w:val="508C7C49"/>
    <w:rsid w:val="50AB227E"/>
    <w:rsid w:val="50F24610"/>
    <w:rsid w:val="5104242D"/>
    <w:rsid w:val="51182A36"/>
    <w:rsid w:val="511B5D5C"/>
    <w:rsid w:val="51232B80"/>
    <w:rsid w:val="51350107"/>
    <w:rsid w:val="51423B19"/>
    <w:rsid w:val="51471080"/>
    <w:rsid w:val="514822FA"/>
    <w:rsid w:val="514A02D2"/>
    <w:rsid w:val="514C5E5B"/>
    <w:rsid w:val="514D773E"/>
    <w:rsid w:val="517C6C0A"/>
    <w:rsid w:val="519A7D06"/>
    <w:rsid w:val="51C3086F"/>
    <w:rsid w:val="51EC5E39"/>
    <w:rsid w:val="522678D6"/>
    <w:rsid w:val="522B50F1"/>
    <w:rsid w:val="52310CE3"/>
    <w:rsid w:val="5236157C"/>
    <w:rsid w:val="5242048D"/>
    <w:rsid w:val="52456CFF"/>
    <w:rsid w:val="52542809"/>
    <w:rsid w:val="52864C03"/>
    <w:rsid w:val="529D7AAF"/>
    <w:rsid w:val="52AA4780"/>
    <w:rsid w:val="52B60865"/>
    <w:rsid w:val="52BF597E"/>
    <w:rsid w:val="52D944CA"/>
    <w:rsid w:val="52D97B67"/>
    <w:rsid w:val="52DE7D98"/>
    <w:rsid w:val="52E31F28"/>
    <w:rsid w:val="52E90CC5"/>
    <w:rsid w:val="52FC2274"/>
    <w:rsid w:val="53002B2C"/>
    <w:rsid w:val="53043841"/>
    <w:rsid w:val="531A1086"/>
    <w:rsid w:val="532447D5"/>
    <w:rsid w:val="53307005"/>
    <w:rsid w:val="533F043F"/>
    <w:rsid w:val="5341670D"/>
    <w:rsid w:val="5346653A"/>
    <w:rsid w:val="53627339"/>
    <w:rsid w:val="53B07E83"/>
    <w:rsid w:val="53C17633"/>
    <w:rsid w:val="53D90E47"/>
    <w:rsid w:val="53FD5076"/>
    <w:rsid w:val="540914C9"/>
    <w:rsid w:val="540E635B"/>
    <w:rsid w:val="541E5AAE"/>
    <w:rsid w:val="54322303"/>
    <w:rsid w:val="54446D8D"/>
    <w:rsid w:val="544643FE"/>
    <w:rsid w:val="54575A83"/>
    <w:rsid w:val="545C2CCA"/>
    <w:rsid w:val="546F5A13"/>
    <w:rsid w:val="547A08F3"/>
    <w:rsid w:val="54891B39"/>
    <w:rsid w:val="548E4C04"/>
    <w:rsid w:val="548F4AA9"/>
    <w:rsid w:val="549E6A4F"/>
    <w:rsid w:val="54A279F4"/>
    <w:rsid w:val="54A8746D"/>
    <w:rsid w:val="54D709CA"/>
    <w:rsid w:val="54D721F7"/>
    <w:rsid w:val="54DE5784"/>
    <w:rsid w:val="54F26682"/>
    <w:rsid w:val="550077E8"/>
    <w:rsid w:val="551905C7"/>
    <w:rsid w:val="551A4880"/>
    <w:rsid w:val="55357F17"/>
    <w:rsid w:val="55AB10B9"/>
    <w:rsid w:val="55AF42E0"/>
    <w:rsid w:val="55BC6FA6"/>
    <w:rsid w:val="55CB6008"/>
    <w:rsid w:val="55EE35A0"/>
    <w:rsid w:val="55F55475"/>
    <w:rsid w:val="55F9A0DB"/>
    <w:rsid w:val="561436D3"/>
    <w:rsid w:val="563E6849"/>
    <w:rsid w:val="565369E8"/>
    <w:rsid w:val="565371DB"/>
    <w:rsid w:val="566256C8"/>
    <w:rsid w:val="567E1089"/>
    <w:rsid w:val="56943E32"/>
    <w:rsid w:val="56B426EB"/>
    <w:rsid w:val="56BF63F7"/>
    <w:rsid w:val="56C50B55"/>
    <w:rsid w:val="56D53AE9"/>
    <w:rsid w:val="56D7735D"/>
    <w:rsid w:val="56DE256C"/>
    <w:rsid w:val="57010641"/>
    <w:rsid w:val="570B4F75"/>
    <w:rsid w:val="572527E3"/>
    <w:rsid w:val="572A6AC5"/>
    <w:rsid w:val="572B45ED"/>
    <w:rsid w:val="574A6946"/>
    <w:rsid w:val="575E1FCF"/>
    <w:rsid w:val="5763141C"/>
    <w:rsid w:val="576F11D9"/>
    <w:rsid w:val="57853AE2"/>
    <w:rsid w:val="578568FD"/>
    <w:rsid w:val="578B4C84"/>
    <w:rsid w:val="578F3292"/>
    <w:rsid w:val="579022F0"/>
    <w:rsid w:val="57AD2ED5"/>
    <w:rsid w:val="57B71DDE"/>
    <w:rsid w:val="57C44C4B"/>
    <w:rsid w:val="57FC1E26"/>
    <w:rsid w:val="58093C8E"/>
    <w:rsid w:val="582375B0"/>
    <w:rsid w:val="5824193C"/>
    <w:rsid w:val="582A5B71"/>
    <w:rsid w:val="58377B23"/>
    <w:rsid w:val="584D2AAD"/>
    <w:rsid w:val="58636442"/>
    <w:rsid w:val="58662E4F"/>
    <w:rsid w:val="586F0918"/>
    <w:rsid w:val="58754441"/>
    <w:rsid w:val="587764F1"/>
    <w:rsid w:val="58795731"/>
    <w:rsid w:val="58B75AFD"/>
    <w:rsid w:val="58D7209D"/>
    <w:rsid w:val="58F85516"/>
    <w:rsid w:val="592A11FC"/>
    <w:rsid w:val="594E6A44"/>
    <w:rsid w:val="594E7D30"/>
    <w:rsid w:val="59553190"/>
    <w:rsid w:val="595731F6"/>
    <w:rsid w:val="596D408A"/>
    <w:rsid w:val="59797D9C"/>
    <w:rsid w:val="598F69CB"/>
    <w:rsid w:val="59904537"/>
    <w:rsid w:val="599B6232"/>
    <w:rsid w:val="59C32109"/>
    <w:rsid w:val="59FF7050"/>
    <w:rsid w:val="5A153E67"/>
    <w:rsid w:val="5A155526"/>
    <w:rsid w:val="5A1F5044"/>
    <w:rsid w:val="5A27547F"/>
    <w:rsid w:val="5A4D5AE2"/>
    <w:rsid w:val="5A635EB3"/>
    <w:rsid w:val="5A7F39B2"/>
    <w:rsid w:val="5A83355C"/>
    <w:rsid w:val="5A855AD0"/>
    <w:rsid w:val="5A8B5DDD"/>
    <w:rsid w:val="5ABE7269"/>
    <w:rsid w:val="5AF70E14"/>
    <w:rsid w:val="5AFC1384"/>
    <w:rsid w:val="5AFFB57F"/>
    <w:rsid w:val="5B0526DA"/>
    <w:rsid w:val="5B05722F"/>
    <w:rsid w:val="5B130FB5"/>
    <w:rsid w:val="5B147987"/>
    <w:rsid w:val="5B1C054C"/>
    <w:rsid w:val="5B206C66"/>
    <w:rsid w:val="5B236B1E"/>
    <w:rsid w:val="5B2F6A20"/>
    <w:rsid w:val="5B36393E"/>
    <w:rsid w:val="5B427EBB"/>
    <w:rsid w:val="5B612FB7"/>
    <w:rsid w:val="5B6E0905"/>
    <w:rsid w:val="5B76246B"/>
    <w:rsid w:val="5B834E8A"/>
    <w:rsid w:val="5B9701F0"/>
    <w:rsid w:val="5BA669B6"/>
    <w:rsid w:val="5BB8282F"/>
    <w:rsid w:val="5BBB68EA"/>
    <w:rsid w:val="5BDC7E9A"/>
    <w:rsid w:val="5BDE19CA"/>
    <w:rsid w:val="5BF94355"/>
    <w:rsid w:val="5C255325"/>
    <w:rsid w:val="5C25691F"/>
    <w:rsid w:val="5C372CAF"/>
    <w:rsid w:val="5C4A48E5"/>
    <w:rsid w:val="5C9F2D14"/>
    <w:rsid w:val="5CBE1EF0"/>
    <w:rsid w:val="5CC95B2D"/>
    <w:rsid w:val="5CD1677A"/>
    <w:rsid w:val="5CDA68B4"/>
    <w:rsid w:val="5D007FD2"/>
    <w:rsid w:val="5D016147"/>
    <w:rsid w:val="5D0C0B3B"/>
    <w:rsid w:val="5D145286"/>
    <w:rsid w:val="5D152318"/>
    <w:rsid w:val="5D2840C5"/>
    <w:rsid w:val="5D3A4E8C"/>
    <w:rsid w:val="5D430C88"/>
    <w:rsid w:val="5D513693"/>
    <w:rsid w:val="5D61692E"/>
    <w:rsid w:val="5D6F194B"/>
    <w:rsid w:val="5DB2720E"/>
    <w:rsid w:val="5DB74B94"/>
    <w:rsid w:val="5DD06B7A"/>
    <w:rsid w:val="5DE8256D"/>
    <w:rsid w:val="5DF55B4A"/>
    <w:rsid w:val="5E130C58"/>
    <w:rsid w:val="5E1C11C0"/>
    <w:rsid w:val="5E200C37"/>
    <w:rsid w:val="5E207320"/>
    <w:rsid w:val="5E5760A5"/>
    <w:rsid w:val="5E68191A"/>
    <w:rsid w:val="5E7A5824"/>
    <w:rsid w:val="5E9975EB"/>
    <w:rsid w:val="5EA00B9E"/>
    <w:rsid w:val="5EB92A84"/>
    <w:rsid w:val="5F020CE5"/>
    <w:rsid w:val="5F1662EB"/>
    <w:rsid w:val="5F1F4DB9"/>
    <w:rsid w:val="5F3D6096"/>
    <w:rsid w:val="5F4B0B3A"/>
    <w:rsid w:val="5F4C2981"/>
    <w:rsid w:val="5F5209E0"/>
    <w:rsid w:val="5F573B9B"/>
    <w:rsid w:val="5F6944DA"/>
    <w:rsid w:val="5F7A06A5"/>
    <w:rsid w:val="5F8253E5"/>
    <w:rsid w:val="5F930C4A"/>
    <w:rsid w:val="5FDD0543"/>
    <w:rsid w:val="5FE636BF"/>
    <w:rsid w:val="5FE64A0C"/>
    <w:rsid w:val="60242C3F"/>
    <w:rsid w:val="605A1592"/>
    <w:rsid w:val="605E36BC"/>
    <w:rsid w:val="605F5FC9"/>
    <w:rsid w:val="60713E66"/>
    <w:rsid w:val="60AC05C1"/>
    <w:rsid w:val="60B632B9"/>
    <w:rsid w:val="60DA7506"/>
    <w:rsid w:val="60EC69A2"/>
    <w:rsid w:val="60F55387"/>
    <w:rsid w:val="60F813C9"/>
    <w:rsid w:val="612324A0"/>
    <w:rsid w:val="61307DB1"/>
    <w:rsid w:val="613221AE"/>
    <w:rsid w:val="613E46C1"/>
    <w:rsid w:val="6144239D"/>
    <w:rsid w:val="615307C5"/>
    <w:rsid w:val="615E71B6"/>
    <w:rsid w:val="616A34F9"/>
    <w:rsid w:val="61784FC5"/>
    <w:rsid w:val="617F3BBC"/>
    <w:rsid w:val="61925D14"/>
    <w:rsid w:val="61B53764"/>
    <w:rsid w:val="61BD3E62"/>
    <w:rsid w:val="61C63EF8"/>
    <w:rsid w:val="61D478D0"/>
    <w:rsid w:val="61E65C58"/>
    <w:rsid w:val="61E85DCD"/>
    <w:rsid w:val="61EA65EF"/>
    <w:rsid w:val="61F33C8B"/>
    <w:rsid w:val="61FD2339"/>
    <w:rsid w:val="62053E41"/>
    <w:rsid w:val="621B73A3"/>
    <w:rsid w:val="621B77B5"/>
    <w:rsid w:val="62221B32"/>
    <w:rsid w:val="62380D7D"/>
    <w:rsid w:val="62397E49"/>
    <w:rsid w:val="62450A97"/>
    <w:rsid w:val="6270765A"/>
    <w:rsid w:val="627412A0"/>
    <w:rsid w:val="62906814"/>
    <w:rsid w:val="62A112D6"/>
    <w:rsid w:val="62CA1085"/>
    <w:rsid w:val="62D23269"/>
    <w:rsid w:val="62E119BF"/>
    <w:rsid w:val="62EF29CE"/>
    <w:rsid w:val="635C5EAC"/>
    <w:rsid w:val="638F4B52"/>
    <w:rsid w:val="63964102"/>
    <w:rsid w:val="63A0307D"/>
    <w:rsid w:val="63A25077"/>
    <w:rsid w:val="63AE33E6"/>
    <w:rsid w:val="63B33BB8"/>
    <w:rsid w:val="63BA21E7"/>
    <w:rsid w:val="63C40272"/>
    <w:rsid w:val="63DB41D1"/>
    <w:rsid w:val="63F073DA"/>
    <w:rsid w:val="64035186"/>
    <w:rsid w:val="640F5B72"/>
    <w:rsid w:val="64191145"/>
    <w:rsid w:val="641A6B11"/>
    <w:rsid w:val="641D0964"/>
    <w:rsid w:val="642B5B11"/>
    <w:rsid w:val="64365A7F"/>
    <w:rsid w:val="643A7F89"/>
    <w:rsid w:val="64556A57"/>
    <w:rsid w:val="64660900"/>
    <w:rsid w:val="647205E8"/>
    <w:rsid w:val="647B3626"/>
    <w:rsid w:val="647F7DF4"/>
    <w:rsid w:val="64822DF1"/>
    <w:rsid w:val="648E087E"/>
    <w:rsid w:val="649423AE"/>
    <w:rsid w:val="64984C08"/>
    <w:rsid w:val="64A4094F"/>
    <w:rsid w:val="64A513D9"/>
    <w:rsid w:val="64AB4E59"/>
    <w:rsid w:val="64ED0DEE"/>
    <w:rsid w:val="650152F6"/>
    <w:rsid w:val="6519473A"/>
    <w:rsid w:val="655637CE"/>
    <w:rsid w:val="655A6129"/>
    <w:rsid w:val="658303D5"/>
    <w:rsid w:val="658C4174"/>
    <w:rsid w:val="65964975"/>
    <w:rsid w:val="65A52D48"/>
    <w:rsid w:val="65A61B2F"/>
    <w:rsid w:val="65A64926"/>
    <w:rsid w:val="65A9750C"/>
    <w:rsid w:val="65BE08E1"/>
    <w:rsid w:val="65DC3E28"/>
    <w:rsid w:val="65DF2F81"/>
    <w:rsid w:val="65FD1C35"/>
    <w:rsid w:val="66163B95"/>
    <w:rsid w:val="662B370F"/>
    <w:rsid w:val="662E5532"/>
    <w:rsid w:val="6637097B"/>
    <w:rsid w:val="664C12FA"/>
    <w:rsid w:val="6652130F"/>
    <w:rsid w:val="666A4C71"/>
    <w:rsid w:val="66730FCC"/>
    <w:rsid w:val="66734667"/>
    <w:rsid w:val="66761664"/>
    <w:rsid w:val="66AF0AAC"/>
    <w:rsid w:val="66B432C2"/>
    <w:rsid w:val="66C2359F"/>
    <w:rsid w:val="66D60D1E"/>
    <w:rsid w:val="66EB1E7D"/>
    <w:rsid w:val="66F46E4D"/>
    <w:rsid w:val="66F86704"/>
    <w:rsid w:val="6706198A"/>
    <w:rsid w:val="67205745"/>
    <w:rsid w:val="67255B70"/>
    <w:rsid w:val="672F1469"/>
    <w:rsid w:val="67642403"/>
    <w:rsid w:val="67647646"/>
    <w:rsid w:val="676F36B1"/>
    <w:rsid w:val="6790278A"/>
    <w:rsid w:val="67937A92"/>
    <w:rsid w:val="67AE2460"/>
    <w:rsid w:val="67D6364A"/>
    <w:rsid w:val="67E341BD"/>
    <w:rsid w:val="67E70958"/>
    <w:rsid w:val="67F25B2C"/>
    <w:rsid w:val="67FC2754"/>
    <w:rsid w:val="68031404"/>
    <w:rsid w:val="682450D2"/>
    <w:rsid w:val="683C26C3"/>
    <w:rsid w:val="684236D4"/>
    <w:rsid w:val="684653EF"/>
    <w:rsid w:val="684C3A3A"/>
    <w:rsid w:val="68613110"/>
    <w:rsid w:val="6867750E"/>
    <w:rsid w:val="687D6C87"/>
    <w:rsid w:val="6880442D"/>
    <w:rsid w:val="68AC2753"/>
    <w:rsid w:val="68B329C6"/>
    <w:rsid w:val="68D137BF"/>
    <w:rsid w:val="68F778C9"/>
    <w:rsid w:val="68FE103A"/>
    <w:rsid w:val="69003B43"/>
    <w:rsid w:val="69064C77"/>
    <w:rsid w:val="690770D1"/>
    <w:rsid w:val="690E301F"/>
    <w:rsid w:val="690F3C9B"/>
    <w:rsid w:val="6912645B"/>
    <w:rsid w:val="69404E95"/>
    <w:rsid w:val="69574B9E"/>
    <w:rsid w:val="69577509"/>
    <w:rsid w:val="6978109C"/>
    <w:rsid w:val="69A65C0C"/>
    <w:rsid w:val="69AA612F"/>
    <w:rsid w:val="69BA0C23"/>
    <w:rsid w:val="69CD6AC1"/>
    <w:rsid w:val="69D0026B"/>
    <w:rsid w:val="69E70D3F"/>
    <w:rsid w:val="6A1B5485"/>
    <w:rsid w:val="6A252563"/>
    <w:rsid w:val="6A276F5D"/>
    <w:rsid w:val="6A424F54"/>
    <w:rsid w:val="6A534DBE"/>
    <w:rsid w:val="6A58643E"/>
    <w:rsid w:val="6A750FD1"/>
    <w:rsid w:val="6A914310"/>
    <w:rsid w:val="6A9A0B11"/>
    <w:rsid w:val="6AA33220"/>
    <w:rsid w:val="6AB81CAF"/>
    <w:rsid w:val="6B1116BB"/>
    <w:rsid w:val="6B2532D4"/>
    <w:rsid w:val="6B4647C9"/>
    <w:rsid w:val="6B4C18DC"/>
    <w:rsid w:val="6B774D35"/>
    <w:rsid w:val="6B794FDD"/>
    <w:rsid w:val="6B7B7756"/>
    <w:rsid w:val="6B8328C2"/>
    <w:rsid w:val="6BA5192E"/>
    <w:rsid w:val="6BA77929"/>
    <w:rsid w:val="6BB838E4"/>
    <w:rsid w:val="6BB87534"/>
    <w:rsid w:val="6BBA45E5"/>
    <w:rsid w:val="6BC1302F"/>
    <w:rsid w:val="6BC275A3"/>
    <w:rsid w:val="6BCD6B8F"/>
    <w:rsid w:val="6BD07A82"/>
    <w:rsid w:val="6BE2656D"/>
    <w:rsid w:val="6C203CCD"/>
    <w:rsid w:val="6C241B59"/>
    <w:rsid w:val="6C5B43C0"/>
    <w:rsid w:val="6C615C3E"/>
    <w:rsid w:val="6C6218A1"/>
    <w:rsid w:val="6C711099"/>
    <w:rsid w:val="6C952A05"/>
    <w:rsid w:val="6C9C1932"/>
    <w:rsid w:val="6CBB69E6"/>
    <w:rsid w:val="6CC16275"/>
    <w:rsid w:val="6CCA2406"/>
    <w:rsid w:val="6CDA5ADC"/>
    <w:rsid w:val="6CE131A2"/>
    <w:rsid w:val="6CF60749"/>
    <w:rsid w:val="6CFB48C2"/>
    <w:rsid w:val="6D110D03"/>
    <w:rsid w:val="6D2252E8"/>
    <w:rsid w:val="6D4B1CC4"/>
    <w:rsid w:val="6D5B1E90"/>
    <w:rsid w:val="6D5F7616"/>
    <w:rsid w:val="6D74767C"/>
    <w:rsid w:val="6D7E7F4E"/>
    <w:rsid w:val="6D9A7F46"/>
    <w:rsid w:val="6DC04FA2"/>
    <w:rsid w:val="6DCC4189"/>
    <w:rsid w:val="6DDD0742"/>
    <w:rsid w:val="6DEF2E92"/>
    <w:rsid w:val="6DF563F6"/>
    <w:rsid w:val="6E26416F"/>
    <w:rsid w:val="6E3A3311"/>
    <w:rsid w:val="6E745578"/>
    <w:rsid w:val="6EAD3D35"/>
    <w:rsid w:val="6EB6586E"/>
    <w:rsid w:val="6EB9265A"/>
    <w:rsid w:val="6ECD08E6"/>
    <w:rsid w:val="6ED836A7"/>
    <w:rsid w:val="6F057F86"/>
    <w:rsid w:val="6F0D3F47"/>
    <w:rsid w:val="6F10419B"/>
    <w:rsid w:val="6F2337B8"/>
    <w:rsid w:val="6F6B4BF6"/>
    <w:rsid w:val="6F707F44"/>
    <w:rsid w:val="6FA14357"/>
    <w:rsid w:val="6FC93A86"/>
    <w:rsid w:val="6FCB00CC"/>
    <w:rsid w:val="6FDB5344"/>
    <w:rsid w:val="6FE838ED"/>
    <w:rsid w:val="6FF82810"/>
    <w:rsid w:val="70107E56"/>
    <w:rsid w:val="70204F59"/>
    <w:rsid w:val="70246E7E"/>
    <w:rsid w:val="702974A5"/>
    <w:rsid w:val="703F0D73"/>
    <w:rsid w:val="704430EC"/>
    <w:rsid w:val="705E7BC4"/>
    <w:rsid w:val="706F478E"/>
    <w:rsid w:val="70903D15"/>
    <w:rsid w:val="70A663E3"/>
    <w:rsid w:val="70ED6F7C"/>
    <w:rsid w:val="70FC6475"/>
    <w:rsid w:val="70FC74D4"/>
    <w:rsid w:val="70FD495C"/>
    <w:rsid w:val="710E1297"/>
    <w:rsid w:val="7115134B"/>
    <w:rsid w:val="713D72DE"/>
    <w:rsid w:val="71404E64"/>
    <w:rsid w:val="71416BAC"/>
    <w:rsid w:val="7153454F"/>
    <w:rsid w:val="71681909"/>
    <w:rsid w:val="71876958"/>
    <w:rsid w:val="71884908"/>
    <w:rsid w:val="718C5062"/>
    <w:rsid w:val="71A058FA"/>
    <w:rsid w:val="71BD5801"/>
    <w:rsid w:val="71C139AF"/>
    <w:rsid w:val="71C8695F"/>
    <w:rsid w:val="71CA3E8E"/>
    <w:rsid w:val="71CC5029"/>
    <w:rsid w:val="71D6005D"/>
    <w:rsid w:val="71DB6463"/>
    <w:rsid w:val="71DC1B9F"/>
    <w:rsid w:val="71EC4990"/>
    <w:rsid w:val="71F36561"/>
    <w:rsid w:val="71F8575E"/>
    <w:rsid w:val="72056208"/>
    <w:rsid w:val="723E4F9F"/>
    <w:rsid w:val="72487476"/>
    <w:rsid w:val="725720BF"/>
    <w:rsid w:val="726C3CE1"/>
    <w:rsid w:val="72A232FE"/>
    <w:rsid w:val="72BD70A4"/>
    <w:rsid w:val="72C7654E"/>
    <w:rsid w:val="72ED6E26"/>
    <w:rsid w:val="72F15B48"/>
    <w:rsid w:val="7313550D"/>
    <w:rsid w:val="731B5C0F"/>
    <w:rsid w:val="734A0FAC"/>
    <w:rsid w:val="735D0076"/>
    <w:rsid w:val="73672E39"/>
    <w:rsid w:val="7368693B"/>
    <w:rsid w:val="73702D08"/>
    <w:rsid w:val="737865A1"/>
    <w:rsid w:val="737D7FE2"/>
    <w:rsid w:val="73840723"/>
    <w:rsid w:val="73AF550A"/>
    <w:rsid w:val="73B9387E"/>
    <w:rsid w:val="73BC7759"/>
    <w:rsid w:val="73C03332"/>
    <w:rsid w:val="73DA50BD"/>
    <w:rsid w:val="73F879F0"/>
    <w:rsid w:val="73FF5D18"/>
    <w:rsid w:val="74131361"/>
    <w:rsid w:val="74180D91"/>
    <w:rsid w:val="74224EA5"/>
    <w:rsid w:val="743A05A9"/>
    <w:rsid w:val="745A0548"/>
    <w:rsid w:val="745C2BC4"/>
    <w:rsid w:val="745F2B83"/>
    <w:rsid w:val="74732AC0"/>
    <w:rsid w:val="748B6E2D"/>
    <w:rsid w:val="749410C4"/>
    <w:rsid w:val="749A74B3"/>
    <w:rsid w:val="749FEEE7"/>
    <w:rsid w:val="74A56064"/>
    <w:rsid w:val="74BD4636"/>
    <w:rsid w:val="74C75705"/>
    <w:rsid w:val="74F26B5C"/>
    <w:rsid w:val="7527476A"/>
    <w:rsid w:val="752E572B"/>
    <w:rsid w:val="753148F4"/>
    <w:rsid w:val="75315C29"/>
    <w:rsid w:val="7541752C"/>
    <w:rsid w:val="754D25F4"/>
    <w:rsid w:val="75546DB2"/>
    <w:rsid w:val="75677C3E"/>
    <w:rsid w:val="75776F44"/>
    <w:rsid w:val="757E32CD"/>
    <w:rsid w:val="759F677F"/>
    <w:rsid w:val="75AE5192"/>
    <w:rsid w:val="75B05A69"/>
    <w:rsid w:val="75B505F0"/>
    <w:rsid w:val="75C04125"/>
    <w:rsid w:val="75C667F5"/>
    <w:rsid w:val="75CF480B"/>
    <w:rsid w:val="75D03F90"/>
    <w:rsid w:val="75DF7F58"/>
    <w:rsid w:val="75FA1017"/>
    <w:rsid w:val="76001AFD"/>
    <w:rsid w:val="760315FC"/>
    <w:rsid w:val="76444B83"/>
    <w:rsid w:val="76502D50"/>
    <w:rsid w:val="76526E9A"/>
    <w:rsid w:val="76583C9C"/>
    <w:rsid w:val="767F5455"/>
    <w:rsid w:val="768849BB"/>
    <w:rsid w:val="76975AEC"/>
    <w:rsid w:val="76982936"/>
    <w:rsid w:val="76A20D4D"/>
    <w:rsid w:val="76C45AB6"/>
    <w:rsid w:val="76CB2EF4"/>
    <w:rsid w:val="76D11CFE"/>
    <w:rsid w:val="76EF2993"/>
    <w:rsid w:val="76F6529A"/>
    <w:rsid w:val="77086CF9"/>
    <w:rsid w:val="7709092D"/>
    <w:rsid w:val="771706A5"/>
    <w:rsid w:val="7742616A"/>
    <w:rsid w:val="775F5E5C"/>
    <w:rsid w:val="777534A3"/>
    <w:rsid w:val="77830A51"/>
    <w:rsid w:val="77892860"/>
    <w:rsid w:val="778A46E2"/>
    <w:rsid w:val="77A84725"/>
    <w:rsid w:val="77A95F9E"/>
    <w:rsid w:val="77AE28E9"/>
    <w:rsid w:val="77AE7BFB"/>
    <w:rsid w:val="77BE5EC9"/>
    <w:rsid w:val="77C67389"/>
    <w:rsid w:val="77D3708E"/>
    <w:rsid w:val="77E10CFA"/>
    <w:rsid w:val="77E836C1"/>
    <w:rsid w:val="77F42F54"/>
    <w:rsid w:val="780014B3"/>
    <w:rsid w:val="781C5AF7"/>
    <w:rsid w:val="782C665D"/>
    <w:rsid w:val="782E4D53"/>
    <w:rsid w:val="784957ED"/>
    <w:rsid w:val="784D4EF8"/>
    <w:rsid w:val="785D0011"/>
    <w:rsid w:val="785D0A32"/>
    <w:rsid w:val="786C48EB"/>
    <w:rsid w:val="78715547"/>
    <w:rsid w:val="78750E07"/>
    <w:rsid w:val="787E705E"/>
    <w:rsid w:val="78820830"/>
    <w:rsid w:val="7885655F"/>
    <w:rsid w:val="789D4D13"/>
    <w:rsid w:val="789E7DF7"/>
    <w:rsid w:val="78A60AA9"/>
    <w:rsid w:val="78BB2A35"/>
    <w:rsid w:val="78C837D4"/>
    <w:rsid w:val="78D83818"/>
    <w:rsid w:val="78DB5823"/>
    <w:rsid w:val="78E54197"/>
    <w:rsid w:val="78F65F94"/>
    <w:rsid w:val="79310FCE"/>
    <w:rsid w:val="794742D0"/>
    <w:rsid w:val="794A7F23"/>
    <w:rsid w:val="7976787F"/>
    <w:rsid w:val="797D27D8"/>
    <w:rsid w:val="79815858"/>
    <w:rsid w:val="7990705C"/>
    <w:rsid w:val="799A32A1"/>
    <w:rsid w:val="79AA76AB"/>
    <w:rsid w:val="79BC10B0"/>
    <w:rsid w:val="79BE75E6"/>
    <w:rsid w:val="79C72F87"/>
    <w:rsid w:val="79D27C28"/>
    <w:rsid w:val="79D86092"/>
    <w:rsid w:val="79DD040D"/>
    <w:rsid w:val="79E04C38"/>
    <w:rsid w:val="79E23430"/>
    <w:rsid w:val="79F9118A"/>
    <w:rsid w:val="7A084406"/>
    <w:rsid w:val="7A3475B4"/>
    <w:rsid w:val="7A3C23CC"/>
    <w:rsid w:val="7A4607F7"/>
    <w:rsid w:val="7A7EC015"/>
    <w:rsid w:val="7A8F1F51"/>
    <w:rsid w:val="7AB17BE6"/>
    <w:rsid w:val="7ABF1709"/>
    <w:rsid w:val="7AC80629"/>
    <w:rsid w:val="7AFC1FA9"/>
    <w:rsid w:val="7AFE24FC"/>
    <w:rsid w:val="7B0B1B3D"/>
    <w:rsid w:val="7B141058"/>
    <w:rsid w:val="7B321720"/>
    <w:rsid w:val="7B6F1D90"/>
    <w:rsid w:val="7B823020"/>
    <w:rsid w:val="7B8F20A7"/>
    <w:rsid w:val="7B92022D"/>
    <w:rsid w:val="7B94467C"/>
    <w:rsid w:val="7BB52ED3"/>
    <w:rsid w:val="7BB72FE9"/>
    <w:rsid w:val="7BDA12AE"/>
    <w:rsid w:val="7BE33754"/>
    <w:rsid w:val="7BED084B"/>
    <w:rsid w:val="7C155536"/>
    <w:rsid w:val="7C4B7F98"/>
    <w:rsid w:val="7C51775E"/>
    <w:rsid w:val="7C645302"/>
    <w:rsid w:val="7C92088D"/>
    <w:rsid w:val="7C9E0445"/>
    <w:rsid w:val="7CB50CC4"/>
    <w:rsid w:val="7CB937E3"/>
    <w:rsid w:val="7CC71B7F"/>
    <w:rsid w:val="7CF85B89"/>
    <w:rsid w:val="7D0E0BAB"/>
    <w:rsid w:val="7D2A5FE8"/>
    <w:rsid w:val="7D391659"/>
    <w:rsid w:val="7D3929D1"/>
    <w:rsid w:val="7D5766DA"/>
    <w:rsid w:val="7D6643FA"/>
    <w:rsid w:val="7D8534FF"/>
    <w:rsid w:val="7D8807B9"/>
    <w:rsid w:val="7D9307C8"/>
    <w:rsid w:val="7DA1421F"/>
    <w:rsid w:val="7DC320C8"/>
    <w:rsid w:val="7DD86AEE"/>
    <w:rsid w:val="7DD95B2A"/>
    <w:rsid w:val="7DDC7045"/>
    <w:rsid w:val="7DE26FDF"/>
    <w:rsid w:val="7DE51286"/>
    <w:rsid w:val="7DED2CF4"/>
    <w:rsid w:val="7DF72C43"/>
    <w:rsid w:val="7E0B56A9"/>
    <w:rsid w:val="7E262AE8"/>
    <w:rsid w:val="7E3002BF"/>
    <w:rsid w:val="7E3B58C9"/>
    <w:rsid w:val="7E40509B"/>
    <w:rsid w:val="7E6D3715"/>
    <w:rsid w:val="7E7C7FFD"/>
    <w:rsid w:val="7E864A14"/>
    <w:rsid w:val="7EA335EC"/>
    <w:rsid w:val="7EB35E71"/>
    <w:rsid w:val="7EBE120D"/>
    <w:rsid w:val="7EC85C79"/>
    <w:rsid w:val="7ECE79A7"/>
    <w:rsid w:val="7ED74DA7"/>
    <w:rsid w:val="7EED34C5"/>
    <w:rsid w:val="7EEE5986"/>
    <w:rsid w:val="7F065DB7"/>
    <w:rsid w:val="7F13594F"/>
    <w:rsid w:val="7F1B4BA8"/>
    <w:rsid w:val="7F1E26F2"/>
    <w:rsid w:val="7F1E67D0"/>
    <w:rsid w:val="7F472BFC"/>
    <w:rsid w:val="7F521F33"/>
    <w:rsid w:val="7F55250C"/>
    <w:rsid w:val="7F5C7739"/>
    <w:rsid w:val="7F6B7DC7"/>
    <w:rsid w:val="7F6E5DA9"/>
    <w:rsid w:val="7F722DCA"/>
    <w:rsid w:val="7F7B5559"/>
    <w:rsid w:val="7F7F0537"/>
    <w:rsid w:val="7F825192"/>
    <w:rsid w:val="7FB538D4"/>
    <w:rsid w:val="7FBABDA9"/>
    <w:rsid w:val="7FBB532A"/>
    <w:rsid w:val="7FBF4695"/>
    <w:rsid w:val="7FC62BD2"/>
    <w:rsid w:val="7FF84D95"/>
    <w:rsid w:val="93FC3667"/>
    <w:rsid w:val="AFF50308"/>
    <w:rsid w:val="BA7B23C6"/>
    <w:rsid w:val="BBBE85D6"/>
    <w:rsid w:val="BBDF595B"/>
    <w:rsid w:val="BF905266"/>
    <w:rsid w:val="BFAD65E1"/>
    <w:rsid w:val="CF6B9B73"/>
    <w:rsid w:val="CFF7AAA8"/>
    <w:rsid w:val="DD7D2113"/>
    <w:rsid w:val="E26C1305"/>
    <w:rsid w:val="E57DAF95"/>
    <w:rsid w:val="EC9AA09E"/>
    <w:rsid w:val="EDFB8DF7"/>
    <w:rsid w:val="EFAF3DD3"/>
    <w:rsid w:val="EFFF2CE9"/>
    <w:rsid w:val="FE734873"/>
    <w:rsid w:val="FE7C24D3"/>
    <w:rsid w:val="FFF70C8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99" w:semiHidden="0" w:name="Normal Indent"/>
    <w:lsdException w:uiPriority="99" w:name="footnote text"/>
    <w:lsdException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nhideWhenUsed="0" w:uiPriority="0" w:semiHidden="0" w:name="Body Text First Indent" w:locked="1"/>
    <w:lsdException w:unhideWhenUsed="0" w:uiPriority="99" w:semiHidden="0" w:name="Body Text First Indent 2"/>
    <w:lsdException w:uiPriority="99" w:name="Note Heading"/>
    <w:lsdException w:unhideWhenUsed="0" w:uiPriority="0" w:semiHidden="0" w:name="Body Text 2" w:locked="1"/>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 w:cs="Calibri"/>
      <w:kern w:val="2"/>
      <w:sz w:val="21"/>
      <w:szCs w:val="21"/>
      <w:lang w:val="en-US" w:eastAsia="zh-CN" w:bidi="ar-SA"/>
    </w:rPr>
  </w:style>
  <w:style w:type="paragraph" w:styleId="3">
    <w:name w:val="heading 1"/>
    <w:basedOn w:val="1"/>
    <w:next w:val="1"/>
    <w:link w:val="22"/>
    <w:qFormat/>
    <w:uiPriority w:val="99"/>
    <w:pPr>
      <w:spacing w:beforeAutospacing="1" w:afterAutospacing="1"/>
      <w:jc w:val="left"/>
      <w:outlineLvl w:val="0"/>
    </w:pPr>
    <w:rPr>
      <w:rFonts w:ascii="??" w:hAnsi="??" w:cs="??"/>
      <w:b/>
      <w:bCs/>
      <w:kern w:val="44"/>
      <w:sz w:val="48"/>
      <w:szCs w:val="48"/>
    </w:rPr>
  </w:style>
  <w:style w:type="paragraph" w:styleId="4">
    <w:name w:val="heading 2"/>
    <w:basedOn w:val="1"/>
    <w:next w:val="1"/>
    <w:link w:val="23"/>
    <w:qFormat/>
    <w:uiPriority w:val="99"/>
    <w:pPr>
      <w:spacing w:beforeAutospacing="1" w:afterAutospacing="1"/>
      <w:jc w:val="left"/>
      <w:outlineLvl w:val="1"/>
    </w:pPr>
    <w:rPr>
      <w:rFonts w:ascii="??" w:hAnsi="??" w:cs="??"/>
      <w:b/>
      <w:bCs/>
      <w:kern w:val="0"/>
      <w:sz w:val="36"/>
      <w:szCs w:val="36"/>
    </w:rPr>
  </w:style>
  <w:style w:type="paragraph" w:styleId="5">
    <w:name w:val="heading 3"/>
    <w:basedOn w:val="1"/>
    <w:next w:val="1"/>
    <w:link w:val="24"/>
    <w:qFormat/>
    <w:uiPriority w:val="99"/>
    <w:pPr>
      <w:keepNext/>
      <w:keepLines/>
      <w:spacing w:line="413" w:lineRule="auto"/>
      <w:outlineLvl w:val="2"/>
    </w:pPr>
    <w:rPr>
      <w:b/>
      <w:bCs/>
      <w:sz w:val="32"/>
      <w:szCs w:val="32"/>
    </w:rPr>
  </w:style>
  <w:style w:type="character" w:default="1" w:styleId="18">
    <w:name w:val="Default Paragraph Font"/>
    <w:semiHidden/>
    <w:uiPriority w:val="99"/>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style 正文"/>
    <w:basedOn w:val="1"/>
    <w:uiPriority w:val="99"/>
    <w:rPr>
      <w:sz w:val="32"/>
      <w:szCs w:val="32"/>
    </w:rPr>
  </w:style>
  <w:style w:type="paragraph" w:styleId="6">
    <w:name w:val="Normal Indent"/>
    <w:basedOn w:val="1"/>
    <w:uiPriority w:val="99"/>
    <w:pPr>
      <w:ind w:firstLine="420"/>
    </w:pPr>
  </w:style>
  <w:style w:type="paragraph" w:styleId="7">
    <w:name w:val="annotation text"/>
    <w:basedOn w:val="1"/>
    <w:link w:val="25"/>
    <w:semiHidden/>
    <w:uiPriority w:val="99"/>
    <w:pPr>
      <w:jc w:val="left"/>
    </w:pPr>
  </w:style>
  <w:style w:type="paragraph" w:styleId="8">
    <w:name w:val="Body Text"/>
    <w:basedOn w:val="1"/>
    <w:link w:val="26"/>
    <w:uiPriority w:val="99"/>
    <w:pPr>
      <w:spacing w:after="120"/>
    </w:pPr>
  </w:style>
  <w:style w:type="paragraph" w:styleId="9">
    <w:name w:val="Body Text Indent"/>
    <w:basedOn w:val="1"/>
    <w:next w:val="1"/>
    <w:link w:val="27"/>
    <w:uiPriority w:val="99"/>
    <w:pPr>
      <w:ind w:firstLine="555"/>
    </w:pPr>
    <w:rPr>
      <w:rFonts w:ascii="仿宋_GB2312" w:hAnsi="??" w:eastAsia="仿宋_GB2312" w:cs="仿宋_GB2312"/>
      <w:sz w:val="32"/>
      <w:szCs w:val="32"/>
    </w:rPr>
  </w:style>
  <w:style w:type="paragraph" w:styleId="10">
    <w:name w:val="footer"/>
    <w:basedOn w:val="1"/>
    <w:link w:val="28"/>
    <w:uiPriority w:val="99"/>
    <w:pPr>
      <w:tabs>
        <w:tab w:val="center" w:pos="4153"/>
        <w:tab w:val="right" w:pos="8306"/>
      </w:tabs>
      <w:snapToGrid w:val="0"/>
      <w:jc w:val="left"/>
    </w:pPr>
    <w:rPr>
      <w:sz w:val="18"/>
      <w:szCs w:val="18"/>
    </w:rPr>
  </w:style>
  <w:style w:type="paragraph" w:styleId="11">
    <w:name w:val="header"/>
    <w:basedOn w:val="1"/>
    <w:link w:val="29"/>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12">
    <w:name w:val="toc 1"/>
    <w:basedOn w:val="1"/>
    <w:next w:val="1"/>
    <w:semiHidden/>
    <w:qFormat/>
    <w:uiPriority w:val="99"/>
  </w:style>
  <w:style w:type="paragraph" w:styleId="13">
    <w:name w:val="toc 2"/>
    <w:basedOn w:val="1"/>
    <w:next w:val="1"/>
    <w:semiHidden/>
    <w:qFormat/>
    <w:uiPriority w:val="99"/>
    <w:pPr>
      <w:ind w:left="420" w:leftChars="200"/>
    </w:pPr>
  </w:style>
  <w:style w:type="paragraph" w:styleId="14">
    <w:name w:val="Normal (Web)"/>
    <w:basedOn w:val="1"/>
    <w:qFormat/>
    <w:uiPriority w:val="99"/>
    <w:pPr>
      <w:spacing w:beforeAutospacing="1" w:afterAutospacing="1"/>
      <w:jc w:val="left"/>
    </w:pPr>
    <w:rPr>
      <w:kern w:val="0"/>
      <w:sz w:val="24"/>
      <w:szCs w:val="24"/>
    </w:rPr>
  </w:style>
  <w:style w:type="paragraph" w:styleId="15">
    <w:name w:val="Body Text First Indent 2"/>
    <w:basedOn w:val="9"/>
    <w:next w:val="1"/>
    <w:link w:val="30"/>
    <w:uiPriority w:val="99"/>
    <w:pPr>
      <w:ind w:firstLine="420"/>
    </w:pPr>
  </w:style>
  <w:style w:type="table" w:styleId="17">
    <w:name w:val="Table Grid"/>
    <w:basedOn w:val="16"/>
    <w:uiPriority w:val="99"/>
    <w:pPr>
      <w:widowControl w:val="0"/>
      <w:jc w:val="both"/>
    </w:pPr>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99"/>
    <w:rPr>
      <w:b/>
      <w:bCs/>
    </w:rPr>
  </w:style>
  <w:style w:type="character" w:styleId="20">
    <w:name w:val="Emphasis"/>
    <w:basedOn w:val="18"/>
    <w:qFormat/>
    <w:uiPriority w:val="99"/>
    <w:rPr>
      <w:i/>
      <w:iCs/>
    </w:rPr>
  </w:style>
  <w:style w:type="character" w:styleId="21">
    <w:name w:val="Hyperlink"/>
    <w:basedOn w:val="18"/>
    <w:uiPriority w:val="99"/>
    <w:rPr>
      <w:color w:val="0000FF"/>
      <w:u w:val="single"/>
    </w:rPr>
  </w:style>
  <w:style w:type="character" w:customStyle="1" w:styleId="22">
    <w:name w:val="Heading 1 Char"/>
    <w:basedOn w:val="18"/>
    <w:link w:val="3"/>
    <w:uiPriority w:val="9"/>
    <w:rPr>
      <w:rFonts w:ascii="Calibri" w:hAnsi="Calibri" w:cs="Calibri"/>
      <w:b/>
      <w:bCs/>
      <w:kern w:val="44"/>
      <w:sz w:val="44"/>
      <w:szCs w:val="44"/>
    </w:rPr>
  </w:style>
  <w:style w:type="character" w:customStyle="1" w:styleId="23">
    <w:name w:val="Heading 2 Char"/>
    <w:basedOn w:val="18"/>
    <w:link w:val="4"/>
    <w:semiHidden/>
    <w:uiPriority w:val="9"/>
    <w:rPr>
      <w:rFonts w:asciiTheme="majorHAnsi" w:hAnsiTheme="majorHAnsi" w:eastAsiaTheme="majorEastAsia" w:cstheme="majorBidi"/>
      <w:b/>
      <w:bCs/>
      <w:sz w:val="32"/>
      <w:szCs w:val="32"/>
    </w:rPr>
  </w:style>
  <w:style w:type="character" w:customStyle="1" w:styleId="24">
    <w:name w:val="Heading 3 Char"/>
    <w:basedOn w:val="18"/>
    <w:link w:val="5"/>
    <w:semiHidden/>
    <w:uiPriority w:val="9"/>
    <w:rPr>
      <w:rFonts w:ascii="Calibri" w:hAnsi="Calibri" w:cs="Calibri"/>
      <w:b/>
      <w:bCs/>
      <w:sz w:val="32"/>
      <w:szCs w:val="32"/>
    </w:rPr>
  </w:style>
  <w:style w:type="character" w:customStyle="1" w:styleId="25">
    <w:name w:val="Comment Text Char"/>
    <w:basedOn w:val="18"/>
    <w:link w:val="7"/>
    <w:semiHidden/>
    <w:uiPriority w:val="99"/>
    <w:rPr>
      <w:rFonts w:ascii="Calibri" w:hAnsi="Calibri" w:cs="Calibri"/>
      <w:szCs w:val="21"/>
    </w:rPr>
  </w:style>
  <w:style w:type="character" w:customStyle="1" w:styleId="26">
    <w:name w:val="Body Text Char"/>
    <w:basedOn w:val="18"/>
    <w:link w:val="8"/>
    <w:semiHidden/>
    <w:uiPriority w:val="99"/>
    <w:rPr>
      <w:rFonts w:ascii="Calibri" w:hAnsi="Calibri" w:cs="Calibri"/>
      <w:szCs w:val="21"/>
    </w:rPr>
  </w:style>
  <w:style w:type="character" w:customStyle="1" w:styleId="27">
    <w:name w:val="Body Text Indent Char"/>
    <w:basedOn w:val="18"/>
    <w:link w:val="9"/>
    <w:semiHidden/>
    <w:uiPriority w:val="99"/>
    <w:rPr>
      <w:rFonts w:ascii="Calibri" w:hAnsi="Calibri" w:cs="Calibri"/>
      <w:szCs w:val="21"/>
    </w:rPr>
  </w:style>
  <w:style w:type="character" w:customStyle="1" w:styleId="28">
    <w:name w:val="Footer Char"/>
    <w:basedOn w:val="18"/>
    <w:link w:val="10"/>
    <w:semiHidden/>
    <w:uiPriority w:val="99"/>
    <w:rPr>
      <w:rFonts w:ascii="Calibri" w:hAnsi="Calibri" w:cs="Calibri"/>
      <w:sz w:val="18"/>
      <w:szCs w:val="18"/>
    </w:rPr>
  </w:style>
  <w:style w:type="character" w:customStyle="1" w:styleId="29">
    <w:name w:val="Header Char"/>
    <w:basedOn w:val="18"/>
    <w:link w:val="11"/>
    <w:semiHidden/>
    <w:qFormat/>
    <w:uiPriority w:val="99"/>
    <w:rPr>
      <w:rFonts w:ascii="Calibri" w:hAnsi="Calibri" w:cs="Calibri"/>
      <w:sz w:val="18"/>
      <w:szCs w:val="18"/>
    </w:rPr>
  </w:style>
  <w:style w:type="character" w:customStyle="1" w:styleId="30">
    <w:name w:val="Body Text First Indent 2 Char"/>
    <w:basedOn w:val="27"/>
    <w:link w:val="15"/>
    <w:semiHidden/>
    <w:qFormat/>
    <w:uiPriority w:val="99"/>
  </w:style>
  <w:style w:type="paragraph" w:customStyle="1" w:styleId="31">
    <w:name w:val="首行缩进"/>
    <w:basedOn w:val="1"/>
    <w:qFormat/>
    <w:uiPriority w:val="99"/>
    <w:pPr>
      <w:ind w:firstLine="480" w:firstLineChars="200"/>
    </w:pPr>
  </w:style>
  <w:style w:type="character" w:customStyle="1" w:styleId="32">
    <w:name w:val="NormalCharacter"/>
    <w:semiHidden/>
    <w:uiPriority w:val="99"/>
    <w:rPr>
      <w:rFonts w:ascii="Calibri" w:hAnsi="Calibri" w:eastAsia="Times New Roman" w:cs="Calibri"/>
      <w:kern w:val="2"/>
      <w:sz w:val="24"/>
      <w:szCs w:val="24"/>
      <w:lang w:val="en-US" w:eastAsia="zh-CN"/>
    </w:rPr>
  </w:style>
  <w:style w:type="paragraph" w:customStyle="1" w:styleId="33">
    <w:name w:val="WPSOffice手动目录 1"/>
    <w:qFormat/>
    <w:uiPriority w:val="99"/>
    <w:rPr>
      <w:rFonts w:ascii="Calibri" w:hAnsi="Calibri" w:eastAsia="??" w:cs="Times New Roman"/>
      <w:kern w:val="0"/>
      <w:sz w:val="20"/>
      <w:szCs w:val="20"/>
      <w:lang w:val="en-US" w:eastAsia="zh-CN" w:bidi="ar-SA"/>
    </w:rPr>
  </w:style>
  <w:style w:type="paragraph" w:customStyle="1" w:styleId="34">
    <w:name w:val="WPSOffice手动目录 2"/>
    <w:qFormat/>
    <w:uiPriority w:val="99"/>
    <w:pPr>
      <w:ind w:left="200" w:leftChars="200"/>
    </w:pPr>
    <w:rPr>
      <w:rFonts w:ascii="Calibri" w:hAnsi="Calibri" w:eastAsia="??" w:cs="Times New Roman"/>
      <w:kern w:val="0"/>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49</Pages>
  <Words>3671</Words>
  <Characters>20931</Characters>
  <Lines>0</Lines>
  <Paragraphs>0</Paragraphs>
  <TotalTime>14</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2021-08-08T13:33:00Z</dcterms:created>
  <dc:creator>WPS_1174635666</dc:creator>
  <cp:lastModifiedBy>Administrator</cp:lastModifiedBy>
  <cp:lastPrinted>2021-09-10T08:38:00Z</cp:lastPrinted>
  <dcterms:modified xsi:type="dcterms:W3CDTF">2022-02-07T03:13:14Z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C87D8EB2E3EA4C34B9F824CD6E862CA1</vt:lpwstr>
  </property>
</Properties>
</file>