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11" w:rsidRDefault="00FA6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utlineLvl w:val="0"/>
        <w:rPr>
          <w:rFonts w:ascii="黑体" w:eastAsia="黑体" w:hAnsi="黑体" w:cs="黑体"/>
          <w:bCs/>
          <w:sz w:val="32"/>
          <w:szCs w:val="32"/>
        </w:rPr>
      </w:pPr>
    </w:p>
    <w:tbl>
      <w:tblPr>
        <w:tblW w:w="9276" w:type="dxa"/>
        <w:jc w:val="center"/>
        <w:tblCellMar>
          <w:left w:w="10" w:type="dxa"/>
          <w:right w:w="10" w:type="dxa"/>
        </w:tblCellMar>
        <w:tblLook w:val="0000"/>
      </w:tblPr>
      <w:tblGrid>
        <w:gridCol w:w="377"/>
        <w:gridCol w:w="387"/>
        <w:gridCol w:w="366"/>
        <w:gridCol w:w="471"/>
        <w:gridCol w:w="2645"/>
        <w:gridCol w:w="524"/>
        <w:gridCol w:w="303"/>
        <w:gridCol w:w="300"/>
        <w:gridCol w:w="520"/>
        <w:gridCol w:w="272"/>
        <w:gridCol w:w="272"/>
        <w:gridCol w:w="370"/>
        <w:gridCol w:w="373"/>
        <w:gridCol w:w="54"/>
        <w:gridCol w:w="391"/>
        <w:gridCol w:w="133"/>
        <w:gridCol w:w="177"/>
        <w:gridCol w:w="489"/>
        <w:gridCol w:w="79"/>
        <w:gridCol w:w="262"/>
        <w:gridCol w:w="511"/>
      </w:tblGrid>
      <w:tr w:rsidR="00FA6211">
        <w:trPr>
          <w:trHeight w:val="968"/>
          <w:jc w:val="center"/>
        </w:trPr>
        <w:tc>
          <w:tcPr>
            <w:tcW w:w="9276" w:type="dxa"/>
            <w:gridSpan w:val="21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b/>
                <w:bCs/>
                <w:sz w:val="44"/>
                <w:szCs w:val="44"/>
              </w:rPr>
            </w:pPr>
            <w:r w:rsidRPr="00CD2A76">
              <w:rPr>
                <w:rFonts w:ascii="宋体" w:hAnsi="宋体" w:cs="宋体"/>
                <w:b/>
                <w:bCs/>
                <w:sz w:val="44"/>
                <w:szCs w:val="44"/>
              </w:rPr>
              <w:t>2021</w:t>
            </w:r>
            <w:r w:rsidRPr="00CD2A76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年地名工作专项</w:t>
            </w: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预算项目（政策）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绩效目标自评表</w:t>
            </w:r>
            <w:r w:rsidRPr="00CD2A76">
              <w:rPr>
                <w:rFonts w:ascii="宋体" w:hAnsi="宋体" w:cs="宋体"/>
                <w:b/>
                <w:bCs/>
                <w:sz w:val="44"/>
                <w:szCs w:val="44"/>
              </w:rPr>
              <w:t xml:space="preserve"> </w:t>
            </w:r>
            <w:r w:rsidRPr="00CD2A76">
              <w:rPr>
                <w:rFonts w:ascii="宋体" w:hAnsi="宋体" w:cs="宋体"/>
                <w:b/>
                <w:bCs/>
                <w:sz w:val="44"/>
                <w:szCs w:val="44"/>
              </w:rPr>
              <w:br/>
            </w:r>
          </w:p>
        </w:tc>
      </w:tr>
      <w:tr w:rsidR="00FA6211">
        <w:trPr>
          <w:trHeight w:val="311"/>
          <w:jc w:val="center"/>
        </w:trPr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项目（政策）</w:t>
            </w: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ascii="宋体" w:hAnsi="宋体" w:cs="宋体" w:hint="eastAsia"/>
                <w:szCs w:val="21"/>
              </w:rPr>
              <w:t>名称</w:t>
            </w:r>
          </w:p>
        </w:tc>
        <w:tc>
          <w:tcPr>
            <w:tcW w:w="814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ascii="宋体" w:hAnsi="宋体" w:cs="宋体" w:hint="eastAsia"/>
                <w:szCs w:val="21"/>
              </w:rPr>
              <w:t>地名工作专项</w:t>
            </w:r>
            <w:r>
              <w:rPr>
                <w:rFonts w:hint="eastAsia"/>
              </w:rPr>
              <w:t xml:space="preserve">　</w:t>
            </w:r>
          </w:p>
        </w:tc>
      </w:tr>
      <w:tr w:rsidR="00FA6211">
        <w:trPr>
          <w:trHeight w:val="331"/>
          <w:jc w:val="center"/>
        </w:trPr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814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ascii="宋体" w:hAnsi="宋体" w:cs="宋体" w:hint="eastAsia"/>
                <w:szCs w:val="21"/>
              </w:rPr>
              <w:t>抚顺市民政局</w:t>
            </w:r>
          </w:p>
        </w:tc>
      </w:tr>
      <w:tr w:rsidR="00FA6211">
        <w:trPr>
          <w:trHeight w:val="311"/>
          <w:jc w:val="center"/>
        </w:trPr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实施单位</w:t>
            </w:r>
          </w:p>
        </w:tc>
        <w:tc>
          <w:tcPr>
            <w:tcW w:w="5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ascii="宋体" w:hAnsi="宋体" w:cs="宋体" w:hint="eastAsia"/>
                <w:szCs w:val="21"/>
              </w:rPr>
              <w:t>市民政局</w:t>
            </w: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实施期</w:t>
            </w:r>
          </w:p>
        </w:tc>
        <w:tc>
          <w:tcPr>
            <w:tcW w:w="2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ascii="宋体" w:hAnsi="宋体" w:cs="宋体"/>
                <w:sz w:val="18"/>
                <w:szCs w:val="18"/>
              </w:rPr>
              <w:t xml:space="preserve"> 2021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- 2021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>12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</w:p>
        </w:tc>
      </w:tr>
      <w:tr w:rsidR="00FA6211">
        <w:trPr>
          <w:trHeight w:val="592"/>
          <w:jc w:val="center"/>
        </w:trPr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项目预算资金</w:t>
            </w:r>
          </w:p>
        </w:tc>
        <w:tc>
          <w:tcPr>
            <w:tcW w:w="3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年初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全年预算数（</w:t>
            </w:r>
            <w: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全年执行数（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执行率（</w:t>
            </w:r>
            <w:r>
              <w:t>B/A)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得分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（分值</w:t>
            </w:r>
            <w:r>
              <w:t>*B/A</w:t>
            </w:r>
            <w:r>
              <w:rPr>
                <w:rFonts w:hint="eastAsia"/>
              </w:rPr>
              <w:t>）</w:t>
            </w:r>
          </w:p>
        </w:tc>
      </w:tr>
      <w:tr w:rsidR="00FA6211">
        <w:trPr>
          <w:trHeight w:val="311"/>
          <w:jc w:val="center"/>
        </w:trPr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hint="eastAsia"/>
              </w:rPr>
              <w:t>年度预算资金总额：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100%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</w:tr>
      <w:tr w:rsidR="00FA6211">
        <w:trPr>
          <w:trHeight w:val="311"/>
          <w:jc w:val="center"/>
        </w:trPr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  <w:r>
              <w:rPr>
                <w:rFonts w:ascii="宋体" w:hAnsi="宋体" w:cs="宋体" w:hint="eastAsia"/>
                <w:szCs w:val="21"/>
              </w:rPr>
              <w:t>其中：财政拨款收入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1.2</w:t>
            </w: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100%</w:t>
            </w: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</w:tr>
      <w:tr w:rsidR="00FA6211">
        <w:trPr>
          <w:trHeight w:val="311"/>
          <w:jc w:val="center"/>
        </w:trPr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  <w:r>
              <w:rPr>
                <w:rFonts w:ascii="宋体" w:hAnsi="宋体" w:cs="宋体" w:hint="eastAsia"/>
                <w:szCs w:val="21"/>
              </w:rPr>
              <w:t>中央提前告知转移支付资金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——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——</w:t>
            </w:r>
          </w:p>
        </w:tc>
      </w:tr>
      <w:tr w:rsidR="00FA6211">
        <w:trPr>
          <w:trHeight w:val="311"/>
          <w:jc w:val="center"/>
        </w:trPr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  <w:r>
              <w:rPr>
                <w:rFonts w:ascii="宋体" w:hAnsi="宋体" w:cs="宋体" w:hint="eastAsia"/>
                <w:szCs w:val="21"/>
              </w:rPr>
              <w:t>纳入预算管理的行政事业性收费等非税收入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——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——</w:t>
            </w:r>
          </w:p>
        </w:tc>
      </w:tr>
      <w:tr w:rsidR="00FA6211">
        <w:trPr>
          <w:trHeight w:val="311"/>
          <w:jc w:val="center"/>
        </w:trPr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  <w:r>
              <w:rPr>
                <w:rFonts w:ascii="宋体" w:hAnsi="宋体" w:cs="宋体" w:hint="eastAsia"/>
                <w:szCs w:val="21"/>
              </w:rPr>
              <w:t>纳入政府性基金预算管理收入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311"/>
          <w:jc w:val="center"/>
        </w:trPr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  <w:r>
              <w:rPr>
                <w:rFonts w:ascii="宋体" w:hAnsi="宋体" w:cs="宋体" w:hint="eastAsia"/>
                <w:szCs w:val="21"/>
              </w:rPr>
              <w:t>纳入专户管理的行政事业性收费等非税收入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——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——</w:t>
            </w:r>
          </w:p>
        </w:tc>
      </w:tr>
      <w:tr w:rsidR="00FA6211">
        <w:trPr>
          <w:trHeight w:val="311"/>
          <w:jc w:val="center"/>
        </w:trPr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  <w:r>
              <w:rPr>
                <w:rFonts w:ascii="宋体" w:hAnsi="宋体" w:cs="宋体" w:hint="eastAsia"/>
                <w:szCs w:val="21"/>
              </w:rPr>
              <w:t>上年结转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311"/>
          <w:jc w:val="center"/>
        </w:trPr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  <w:r>
              <w:rPr>
                <w:rFonts w:ascii="宋体" w:hAnsi="宋体" w:cs="宋体" w:hint="eastAsia"/>
                <w:szCs w:val="21"/>
              </w:rPr>
              <w:t>其他收入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——</w:t>
            </w:r>
          </w:p>
        </w:tc>
        <w:tc>
          <w:tcPr>
            <w:tcW w:w="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——</w:t>
            </w:r>
          </w:p>
        </w:tc>
      </w:tr>
      <w:tr w:rsidR="00FA6211">
        <w:trPr>
          <w:trHeight w:val="311"/>
          <w:jc w:val="center"/>
        </w:trPr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年度总体目标</w:t>
            </w:r>
          </w:p>
        </w:tc>
        <w:tc>
          <w:tcPr>
            <w:tcW w:w="5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年初设定目标</w:t>
            </w:r>
          </w:p>
        </w:tc>
        <w:tc>
          <w:tcPr>
            <w:tcW w:w="28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全年实际完成情况</w:t>
            </w:r>
          </w:p>
        </w:tc>
      </w:tr>
      <w:tr w:rsidR="00FA6211">
        <w:trPr>
          <w:trHeight w:val="311"/>
          <w:jc w:val="center"/>
        </w:trPr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  <w:r>
              <w:rPr>
                <w:rFonts w:ascii="宋体" w:hAnsi="宋体" w:cs="宋体" w:hint="eastAsia"/>
                <w:szCs w:val="21"/>
              </w:rPr>
              <w:t>目标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：制作、运输、埋设市级界线界桩。</w:t>
            </w:r>
          </w:p>
        </w:tc>
        <w:tc>
          <w:tcPr>
            <w:tcW w:w="28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全部完成</w:t>
            </w:r>
          </w:p>
        </w:tc>
      </w:tr>
      <w:tr w:rsidR="00FA6211">
        <w:trPr>
          <w:trHeight w:val="311"/>
          <w:jc w:val="center"/>
        </w:trPr>
        <w:tc>
          <w:tcPr>
            <w:tcW w:w="1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3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</w:pPr>
          </w:p>
        </w:tc>
        <w:tc>
          <w:tcPr>
            <w:tcW w:w="28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</w:p>
        </w:tc>
      </w:tr>
      <w:tr w:rsidR="00FA6211">
        <w:trPr>
          <w:trHeight w:val="911"/>
          <w:jc w:val="center"/>
        </w:trPr>
        <w:tc>
          <w:tcPr>
            <w:tcW w:w="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绩效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指标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绩效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指标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一级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二级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三级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年度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目标值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全年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完成值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完成程度</w:t>
            </w:r>
          </w:p>
        </w:tc>
        <w:tc>
          <w:tcPr>
            <w:tcW w:w="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得分</w:t>
            </w:r>
          </w:p>
        </w:tc>
        <w:tc>
          <w:tcPr>
            <w:tcW w:w="23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未完成原因分析</w:t>
            </w: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ascii="宋体" w:hAnsi="宋体" w:cs="宋体" w:hint="eastAsia"/>
                <w:szCs w:val="21"/>
              </w:rPr>
              <w:t>（请在相应选项下划“√”并在原因说明中分项阐述）</w:t>
            </w:r>
          </w:p>
        </w:tc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改进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措施</w:t>
            </w:r>
          </w:p>
        </w:tc>
      </w:tr>
      <w:tr w:rsidR="00FA6211">
        <w:trPr>
          <w:trHeight w:val="312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hint="eastAsia"/>
              </w:rPr>
              <w:t>运算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hint="eastAsia"/>
              </w:rPr>
              <w:t>符号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279"/>
            </w:pPr>
            <w:r>
              <w:rPr>
                <w:rFonts w:hint="eastAsia"/>
              </w:rPr>
              <w:t>内容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  <w:r>
              <w:rPr>
                <w:rFonts w:hint="eastAsia"/>
              </w:rPr>
              <w:t>度量单位</w:t>
            </w: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ascii="宋体" w:hAnsi="宋体" w:cs="宋体" w:hint="eastAsia"/>
                <w:szCs w:val="21"/>
              </w:rPr>
              <w:t>经费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保障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ascii="宋体" w:hAnsi="宋体" w:cs="宋体" w:hint="eastAsia"/>
                <w:szCs w:val="21"/>
              </w:rPr>
              <w:t>制度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保障</w:t>
            </w: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ascii="宋体" w:hAnsi="宋体" w:cs="宋体" w:hint="eastAsia"/>
                <w:szCs w:val="21"/>
              </w:rPr>
              <w:t>人员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保障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ascii="宋体" w:hAnsi="宋体" w:cs="宋体" w:hint="eastAsia"/>
                <w:szCs w:val="21"/>
              </w:rPr>
              <w:t>硬件条件保障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ascii="宋体" w:hAnsi="宋体" w:cs="宋体" w:hint="eastAsia"/>
                <w:szCs w:val="21"/>
              </w:rPr>
              <w:t>原因</w:t>
            </w:r>
            <w:r>
              <w:rPr>
                <w:rFonts w:ascii="宋体" w:cs="宋体"/>
                <w:szCs w:val="21"/>
              </w:rPr>
              <w:br/>
            </w:r>
            <w:r>
              <w:rPr>
                <w:rFonts w:ascii="宋体" w:hAnsi="宋体" w:cs="宋体" w:hint="eastAsia"/>
                <w:szCs w:val="21"/>
              </w:rPr>
              <w:t>说明</w:t>
            </w:r>
          </w:p>
        </w:tc>
        <w:tc>
          <w:tcPr>
            <w:tcW w:w="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  <w:tr w:rsidR="00FA6211">
        <w:trPr>
          <w:trHeight w:val="377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产出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指标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产出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数量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宋体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“</w:t>
            </w:r>
            <w:r>
              <w:rPr>
                <w:rFonts w:ascii="仿宋_GB2312" w:eastAsia="仿宋_GB2312" w:hAnsi="仿宋_GB2312" w:cs="仿宋_GB2312"/>
                <w:szCs w:val="21"/>
              </w:rPr>
              <w:t>=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”“≤”“≥”“＜”“＞”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设立市级界线界桩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45"/>
              </w:tabs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个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100%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45"/>
              </w:tabs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34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质量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已完成界桩制作、设立。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个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100%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27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70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时效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埋设、测绘时间。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及时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100%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504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87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1117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成本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指标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平均埋设界桩成本。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提升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100%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71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37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</w:pP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96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效益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指标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经济效益指标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ascii="宋体" w:hAnsi="宋体" w:cs="宋体" w:hint="eastAsia"/>
                <w:szCs w:val="21"/>
              </w:rPr>
              <w:t>巩固行政区域界线勘定成果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100%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81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208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62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社会效益指标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维护行政区域界线附近地区稳定。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100%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47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79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生态效益指标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ascii="宋体" w:hAnsi="宋体" w:cs="宋体" w:hint="eastAsia"/>
                <w:szCs w:val="21"/>
              </w:rPr>
              <w:t>保持行政区域界线走向明确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100%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87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37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504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可持续影响指标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推进平安边界建设，促进边界地区的和谐稳定。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良好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100%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71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54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95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满意度指标</w:t>
            </w:r>
          </w:p>
        </w:tc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服务对象满意度指标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保障周边地区百姓生活安定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100%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04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指标</w:t>
            </w: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344"/>
          <w:jc w:val="center"/>
        </w:trPr>
        <w:tc>
          <w:tcPr>
            <w:tcW w:w="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</w:tr>
      <w:tr w:rsidR="00FA6211">
        <w:trPr>
          <w:trHeight w:val="489"/>
          <w:jc w:val="center"/>
        </w:trPr>
        <w:tc>
          <w:tcPr>
            <w:tcW w:w="5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产出、效益、满意度指标自评得分小计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（</w:t>
            </w:r>
            <w:r>
              <w:t>C</w:t>
            </w:r>
            <w:r>
              <w:rPr>
                <w:rFonts w:hint="eastAsia"/>
              </w:rPr>
              <w:t>）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90</w:t>
            </w:r>
          </w:p>
        </w:tc>
        <w:tc>
          <w:tcPr>
            <w:tcW w:w="14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预算执行率得分</w:t>
            </w:r>
          </w:p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（</w:t>
            </w:r>
            <w:r>
              <w:t>D</w:t>
            </w:r>
            <w:r>
              <w:rPr>
                <w:rFonts w:hint="eastAsia"/>
              </w:rPr>
              <w:t>）</w:t>
            </w:r>
          </w:p>
        </w:tc>
        <w:tc>
          <w:tcPr>
            <w:tcW w:w="1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</w:t>
            </w:r>
          </w:p>
        </w:tc>
      </w:tr>
      <w:tr w:rsidR="00FA6211">
        <w:trPr>
          <w:trHeight w:val="414"/>
          <w:jc w:val="center"/>
        </w:trPr>
        <w:tc>
          <w:tcPr>
            <w:tcW w:w="58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Fonts w:hint="eastAsia"/>
              </w:rPr>
              <w:t>绩效自评总得分（</w:t>
            </w:r>
            <w:r>
              <w:t>C+D</w:t>
            </w:r>
            <w:r>
              <w:rPr>
                <w:rFonts w:hint="eastAsia"/>
              </w:rPr>
              <w:t>）</w:t>
            </w:r>
          </w:p>
        </w:tc>
        <w:tc>
          <w:tcPr>
            <w:tcW w:w="33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A6211" w:rsidRDefault="00FA62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100</w:t>
            </w:r>
          </w:p>
        </w:tc>
      </w:tr>
    </w:tbl>
    <w:p w:rsidR="00FA6211" w:rsidRDefault="00FA6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584" w:lineRule="exact"/>
        <w:rPr>
          <w:rFonts w:ascii="宋体" w:cs="宋体"/>
          <w:b/>
          <w:bCs/>
          <w:sz w:val="44"/>
          <w:szCs w:val="44"/>
        </w:rPr>
      </w:pPr>
    </w:p>
    <w:p w:rsidR="00FA6211" w:rsidRDefault="00FA6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584" w:lineRule="exact"/>
        <w:jc w:val="center"/>
        <w:rPr>
          <w:rFonts w:ascii="宋体" w:cs="宋体"/>
          <w:b/>
          <w:bCs/>
          <w:sz w:val="44"/>
          <w:szCs w:val="44"/>
        </w:rPr>
      </w:pPr>
      <w:bookmarkStart w:id="0" w:name="_GoBack"/>
      <w:bookmarkEnd w:id="0"/>
    </w:p>
    <w:sectPr w:rsidR="00FA6211" w:rsidSect="00633843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211" w:rsidRDefault="00FA6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FA6211" w:rsidRDefault="00FA6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211" w:rsidRDefault="00FA6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FA6211" w:rsidRDefault="00FA62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843"/>
    <w:rsid w:val="00272E4F"/>
    <w:rsid w:val="00462A49"/>
    <w:rsid w:val="00633843"/>
    <w:rsid w:val="00655F75"/>
    <w:rsid w:val="008435FB"/>
    <w:rsid w:val="008C6BFA"/>
    <w:rsid w:val="00C80ECB"/>
    <w:rsid w:val="00CD2A76"/>
    <w:rsid w:val="00F75904"/>
    <w:rsid w:val="00FA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4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kern w:val="1"/>
      <w:szCs w:val="24"/>
    </w:rPr>
  </w:style>
  <w:style w:type="paragraph" w:styleId="Heading1">
    <w:name w:val="heading 1"/>
    <w:basedOn w:val="Normal"/>
    <w:link w:val="Heading1Char"/>
    <w:uiPriority w:val="99"/>
    <w:qFormat/>
    <w:rsid w:val="00633843"/>
    <w:pPr>
      <w:keepNext/>
      <w:keepLines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340" w:after="330" w:line="576" w:lineRule="auto"/>
      <w:outlineLvl w:val="0"/>
    </w:pPr>
    <w:rPr>
      <w:rFonts w:ascii="等线" w:eastAsia="等线" w:hAnsi="等线" w:cs="Arial"/>
      <w:b/>
      <w:bCs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</w:rPr>
  </w:style>
  <w:style w:type="paragraph" w:styleId="BodyTextIndent">
    <w:name w:val="Body Text Indent"/>
    <w:basedOn w:val="Normal"/>
    <w:link w:val="BodyTextIndentChar"/>
    <w:uiPriority w:val="99"/>
    <w:rsid w:val="00633843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firstLine="645"/>
    </w:pPr>
    <w:rPr>
      <w:rFonts w:ascii="仿宋_GB2312" w:eastAsia="仿宋_GB2312" w:hAnsi="仿宋_GB2312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kern w:val="1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33843"/>
    <w:rPr>
      <w:rFonts w:ascii="宋体" w:hAnsi="宋体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Courier New"/>
      <w:kern w:val="1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63384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kern w:val="1"/>
      <w:sz w:val="2"/>
    </w:rPr>
  </w:style>
  <w:style w:type="paragraph" w:styleId="Footer">
    <w:name w:val="footer"/>
    <w:basedOn w:val="Normal"/>
    <w:link w:val="FooterChar"/>
    <w:uiPriority w:val="99"/>
    <w:rsid w:val="00633843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kern w:val="1"/>
      <w:sz w:val="18"/>
      <w:szCs w:val="18"/>
    </w:rPr>
  </w:style>
  <w:style w:type="paragraph" w:styleId="Header">
    <w:name w:val="header"/>
    <w:basedOn w:val="Normal"/>
    <w:link w:val="HeaderChar"/>
    <w:uiPriority w:val="99"/>
    <w:rsid w:val="00633843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kern w:val="1"/>
      <w:sz w:val="18"/>
      <w:szCs w:val="18"/>
    </w:rPr>
  </w:style>
  <w:style w:type="paragraph" w:styleId="NormalWeb">
    <w:name w:val="Normal (Web)"/>
    <w:basedOn w:val="Normal"/>
    <w:uiPriority w:val="99"/>
    <w:rsid w:val="00633843"/>
    <w:pPr>
      <w:widowControl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customStyle="1" w:styleId="NewNewNewNew">
    <w:name w:val="正文 New New New New"/>
    <w:uiPriority w:val="99"/>
    <w:rsid w:val="0063384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cs="黑体"/>
      <w:kern w:val="1"/>
    </w:rPr>
  </w:style>
  <w:style w:type="paragraph" w:customStyle="1" w:styleId="NewNewNew">
    <w:name w:val="正文 New New New"/>
    <w:uiPriority w:val="99"/>
    <w:rsid w:val="00633843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line="580" w:lineRule="atLeast"/>
      <w:ind w:firstLine="640"/>
      <w:jc w:val="both"/>
    </w:pPr>
    <w:rPr>
      <w:rFonts w:ascii="仿宋_GB2312" w:eastAsia="仿宋_GB2312" w:hAnsi="仿宋_GB2312" w:cs="Arial"/>
      <w:kern w:val="1"/>
      <w:sz w:val="28"/>
      <w:szCs w:val="28"/>
    </w:rPr>
  </w:style>
  <w:style w:type="character" w:customStyle="1" w:styleId="CommentReference1">
    <w:name w:val="Comment Reference1"/>
    <w:uiPriority w:val="99"/>
    <w:rsid w:val="00633843"/>
    <w:rPr>
      <w:kern w:val="0"/>
      <w:sz w:val="21"/>
    </w:rPr>
  </w:style>
  <w:style w:type="character" w:customStyle="1" w:styleId="1Char">
    <w:name w:val="标题 1 Char"/>
    <w:uiPriority w:val="99"/>
    <w:rsid w:val="00633843"/>
    <w:rPr>
      <w:rFonts w:ascii="等线" w:eastAsia="等线" w:hAnsi="等线"/>
      <w:b/>
      <w:sz w:val="44"/>
    </w:rPr>
  </w:style>
  <w:style w:type="character" w:customStyle="1" w:styleId="Char">
    <w:name w:val="页眉 Char"/>
    <w:uiPriority w:val="99"/>
    <w:rsid w:val="00633843"/>
    <w:rPr>
      <w:kern w:val="0"/>
      <w:sz w:val="18"/>
    </w:rPr>
  </w:style>
  <w:style w:type="character" w:customStyle="1" w:styleId="Char0">
    <w:name w:val="页脚 Char"/>
    <w:uiPriority w:val="99"/>
    <w:rsid w:val="00633843"/>
    <w:rPr>
      <w:kern w:val="0"/>
      <w:sz w:val="18"/>
    </w:rPr>
  </w:style>
  <w:style w:type="character" w:customStyle="1" w:styleId="Char1">
    <w:name w:val="正文文本缩进 Char"/>
    <w:uiPriority w:val="99"/>
    <w:rsid w:val="00633843"/>
    <w:rPr>
      <w:rFonts w:ascii="仿宋_GB2312" w:eastAsia="仿宋_GB2312" w:hAnsi="仿宋_GB2312"/>
      <w:kern w:val="0"/>
      <w:sz w:val="32"/>
    </w:rPr>
  </w:style>
  <w:style w:type="character" w:customStyle="1" w:styleId="Char2">
    <w:name w:val="批注框文本 Char"/>
    <w:uiPriority w:val="99"/>
    <w:rsid w:val="00633843"/>
    <w:rPr>
      <w:kern w:val="0"/>
      <w:sz w:val="18"/>
    </w:rPr>
  </w:style>
  <w:style w:type="character" w:customStyle="1" w:styleId="font121">
    <w:name w:val="font121"/>
    <w:uiPriority w:val="99"/>
    <w:rsid w:val="00633843"/>
    <w:rPr>
      <w:rFonts w:ascii="宋体" w:eastAsia="宋体"/>
      <w:kern w:val="0"/>
      <w:sz w:val="24"/>
    </w:rPr>
  </w:style>
  <w:style w:type="character" w:customStyle="1" w:styleId="font111">
    <w:name w:val="font111"/>
    <w:uiPriority w:val="99"/>
    <w:rsid w:val="00633843"/>
    <w:rPr>
      <w:rFonts w:ascii="宋体" w:eastAsia="宋体"/>
      <w:kern w:val="0"/>
      <w:sz w:val="32"/>
    </w:rPr>
  </w:style>
  <w:style w:type="character" w:customStyle="1" w:styleId="font11">
    <w:name w:val="font11"/>
    <w:uiPriority w:val="99"/>
    <w:rsid w:val="00633843"/>
    <w:rPr>
      <w:rFonts w:ascii="宋体" w:eastAsia="宋体"/>
      <w:b/>
      <w:kern w:val="0"/>
      <w:sz w:val="32"/>
    </w:rPr>
  </w:style>
  <w:style w:type="character" w:customStyle="1" w:styleId="font31">
    <w:name w:val="font31"/>
    <w:uiPriority w:val="99"/>
    <w:rsid w:val="00633843"/>
    <w:rPr>
      <w:rFonts w:ascii="宋体" w:eastAsia="宋体"/>
      <w:kern w:val="0"/>
      <w:sz w:val="32"/>
    </w:rPr>
  </w:style>
  <w:style w:type="character" w:customStyle="1" w:styleId="font61">
    <w:name w:val="font61"/>
    <w:uiPriority w:val="99"/>
    <w:rsid w:val="00633843"/>
    <w:rPr>
      <w:rFonts w:ascii="宋体" w:eastAsia="宋体"/>
      <w:kern w:val="0"/>
      <w:sz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233</Words>
  <Characters>1333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社会保障科-赵南</dc:creator>
  <cp:keywords/>
  <dc:description/>
  <cp:lastModifiedBy>User</cp:lastModifiedBy>
  <cp:revision>16</cp:revision>
  <dcterms:created xsi:type="dcterms:W3CDTF">2022-02-15T06:27:00Z</dcterms:created>
  <dcterms:modified xsi:type="dcterms:W3CDTF">2022-08-09T05:43:00Z</dcterms:modified>
</cp:coreProperties>
</file>