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4B" w:rsidRDefault="00064F4B">
      <w:pPr>
        <w:spacing w:line="600" w:lineRule="exact"/>
        <w:rPr>
          <w:rFonts w:ascii="黑体" w:eastAsia="黑体" w:hAnsi="黑体" w:cs="黑体"/>
          <w:bCs/>
          <w:sz w:val="28"/>
          <w:szCs w:val="28"/>
        </w:rPr>
      </w:pPr>
    </w:p>
    <w:tbl>
      <w:tblPr>
        <w:tblW w:w="10107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528"/>
        <w:gridCol w:w="1695"/>
        <w:gridCol w:w="660"/>
        <w:gridCol w:w="465"/>
        <w:gridCol w:w="466"/>
        <w:gridCol w:w="459"/>
        <w:gridCol w:w="522"/>
        <w:gridCol w:w="347"/>
        <w:gridCol w:w="358"/>
        <w:gridCol w:w="467"/>
        <w:gridCol w:w="174"/>
        <w:gridCol w:w="601"/>
        <w:gridCol w:w="497"/>
        <w:gridCol w:w="463"/>
        <w:gridCol w:w="261"/>
        <w:gridCol w:w="225"/>
        <w:gridCol w:w="608"/>
        <w:gridCol w:w="566"/>
      </w:tblGrid>
      <w:tr w:rsidR="00064F4B" w:rsidTr="00D20875">
        <w:trPr>
          <w:trHeight w:val="402"/>
          <w:jc w:val="center"/>
        </w:trPr>
        <w:tc>
          <w:tcPr>
            <w:tcW w:w="10107" w:type="dxa"/>
            <w:gridSpan w:val="1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部门（单位）整体绩效自评表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10107" w:type="dxa"/>
            <w:gridSpan w:val="19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spacing w:line="56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2021</w:t>
            </w:r>
            <w:r>
              <w:rPr>
                <w:rFonts w:ascii="宋体" w:hAnsi="宋体" w:cs="宋体" w:hint="eastAsia"/>
                <w:sz w:val="28"/>
                <w:szCs w:val="28"/>
              </w:rPr>
              <w:t>年度）</w:t>
            </w:r>
          </w:p>
          <w:p w:rsidR="00064F4B" w:rsidRDefault="00064F4B">
            <w:pPr>
              <w:spacing w:line="56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填报部门（盖章）：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部门（单位）名称</w:t>
            </w:r>
          </w:p>
        </w:tc>
        <w:tc>
          <w:tcPr>
            <w:tcW w:w="71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A02F60" w:rsidRDefault="00064F4B" w:rsidP="00A02F60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抚顺市民政局</w:t>
            </w:r>
          </w:p>
          <w:p w:rsidR="00064F4B" w:rsidRPr="00A02F60" w:rsidRDefault="00064F4B" w:rsidP="00A02F60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部门（单位）</w:t>
            </w:r>
          </w:p>
          <w:p w:rsidR="00064F4B" w:rsidRDefault="00064F4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财政供养人员数量</w:t>
            </w:r>
          </w:p>
        </w:tc>
        <w:tc>
          <w:tcPr>
            <w:tcW w:w="4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  <w:r>
              <w:rPr>
                <w:rFonts w:ascii="宋体" w:hAnsi="宋体" w:cs="宋体"/>
                <w:szCs w:val="21"/>
              </w:rPr>
              <w:t>31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所属单位数量（仅部门填列）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`</w:t>
            </w:r>
          </w:p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名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称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执行率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年度部门预算收入小计（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1301.88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1611.44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财政拨款收入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488.46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798.02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中央提前告知转移支付资金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纳入预算管理的行政事业性收费等非税收入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纳入政府性基金预算管理收入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734.3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734.3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pacing w:val="-8"/>
                <w:szCs w:val="21"/>
              </w:rPr>
              <w:t>5.</w:t>
            </w:r>
            <w:r>
              <w:rPr>
                <w:rFonts w:ascii="宋体" w:hAnsi="宋体" w:cs="宋体" w:hint="eastAsia"/>
                <w:spacing w:val="-8"/>
                <w:szCs w:val="21"/>
              </w:rPr>
              <w:t>纳入专户管理的行政事业性收费等非税收入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6.</w:t>
            </w:r>
            <w:r>
              <w:rPr>
                <w:rFonts w:ascii="宋体" w:hAnsi="宋体" w:cs="宋体" w:hint="eastAsia"/>
                <w:szCs w:val="21"/>
              </w:rPr>
              <w:t>上年结转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79.12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79.12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7.</w:t>
            </w:r>
            <w:r>
              <w:rPr>
                <w:rFonts w:ascii="宋体" w:hAnsi="宋体" w:cs="宋体" w:hint="eastAsia"/>
                <w:szCs w:val="21"/>
              </w:rPr>
              <w:t>其他收入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——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年度部门预算支出小计（一</w:t>
            </w:r>
            <w:r>
              <w:rPr>
                <w:rFonts w:ascii="宋体" w:hAnsi="宋体" w:cs="宋体"/>
                <w:szCs w:val="21"/>
              </w:rPr>
              <w:t>+</w:t>
            </w:r>
            <w:r>
              <w:rPr>
                <w:rFonts w:ascii="宋体" w:hAnsi="宋体" w:cs="宋体" w:hint="eastAsia"/>
                <w:szCs w:val="21"/>
              </w:rPr>
              <w:t>二）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384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1402.05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1611.44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1609.07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一、基本支出（第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项小计）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449.87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609.78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609.78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工资福利支出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361.81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447.96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447.96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商品和服务支出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72.73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59.73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59.73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对个人和家庭的补助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15.33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102.02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102.02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资本性支出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0.07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0.07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二、项目支出（第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项小计）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952.18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1001.66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999.29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履职保障类（部门经费类）项目支出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146.76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196.24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196.24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506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事业发展类（专项资金类）项目支出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9B7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805.42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805.42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803.05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年度主要任务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工作名称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对应项目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执行率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FE4CFC" w:rsidRDefault="00064F4B" w:rsidP="00FE4CFC">
            <w:pPr>
              <w:widowControl/>
              <w:jc w:val="center"/>
              <w:rPr>
                <w:rFonts w:ascii="宋体" w:cs="宋体"/>
                <w:sz w:val="15"/>
                <w:szCs w:val="15"/>
              </w:rPr>
            </w:pPr>
            <w:r w:rsidRPr="00D068FB">
              <w:rPr>
                <w:rFonts w:ascii="宋体" w:hAnsi="宋体" w:cs="宋体" w:hint="eastAsia"/>
                <w:kern w:val="0"/>
                <w:szCs w:val="21"/>
              </w:rPr>
              <w:t>社会救助工作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 w:rsidRPr="001C08FA">
              <w:rPr>
                <w:rFonts w:ascii="宋体" w:hAnsi="宋体" w:cs="宋体" w:hint="eastAsia"/>
                <w:szCs w:val="21"/>
              </w:rPr>
              <w:t>民政业务专项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0437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8.21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0437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8.21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F0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100%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535B1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养老服务社会化</w:t>
            </w:r>
            <w:r>
              <w:rPr>
                <w:rFonts w:ascii="宋体" w:hAnsi="宋体" w:cs="宋体" w:hint="eastAsia"/>
                <w:szCs w:val="21"/>
              </w:rPr>
              <w:t>工作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养老服务社会化专项资金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A73A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A73A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  <w:t>305.94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A73A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EE7FA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64F4B" w:rsidTr="00EE7FA0">
        <w:trPr>
          <w:trHeight w:val="40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老年人等群体保险</w:t>
            </w:r>
            <w:r>
              <w:rPr>
                <w:rFonts w:ascii="宋体" w:hAnsi="宋体" w:cs="宋体" w:hint="eastAsia"/>
                <w:szCs w:val="21"/>
              </w:rPr>
              <w:t>工作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老年人等群体保险专项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  <w:t>102.43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  <w:t>102.43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  <w:t>102.43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EE7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64F4B" w:rsidTr="00D20875">
        <w:trPr>
          <w:trHeight w:val="40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殡葬陋习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整治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殡葬陋习整治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EE7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64F4B" w:rsidTr="00D20875">
        <w:trPr>
          <w:trHeight w:val="40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AD3D9E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海葬工作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节地生态安葬补助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111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111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EE7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64F4B" w:rsidTr="00D20875">
        <w:trPr>
          <w:trHeight w:val="40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651CE7" w:rsidRDefault="00064F4B" w:rsidP="00AD3D9E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 w:rsidRPr="00651CE7">
              <w:rPr>
                <w:rFonts w:ascii="宋体" w:hAnsi="宋体" w:cs="宋体" w:hint="eastAsia"/>
                <w:sz w:val="18"/>
                <w:szCs w:val="18"/>
              </w:rPr>
              <w:t>疫情防控及档案整理等工作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C47B1A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民政运行专项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2E788F">
              <w:rPr>
                <w:color w:val="000000"/>
              </w:rPr>
              <w:t>23.9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2E788F">
              <w:rPr>
                <w:color w:val="000000"/>
              </w:rPr>
              <w:t>23.9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2E788F">
              <w:rPr>
                <w:color w:val="000000"/>
              </w:rPr>
              <w:t>23.9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EE7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64F4B" w:rsidTr="00B759B3">
        <w:trPr>
          <w:trHeight w:val="402"/>
          <w:jc w:val="center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2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A7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585.48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B759B3" w:rsidRDefault="00064F4B" w:rsidP="00B75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415AB">
              <w:rPr>
                <w:sz w:val="22"/>
                <w:szCs w:val="22"/>
              </w:rPr>
              <w:t>85.48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B759B3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0415AB">
              <w:rPr>
                <w:sz w:val="22"/>
                <w:szCs w:val="22"/>
              </w:rPr>
              <w:t>85.48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EE7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年度绩效目标　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年初设定目标</w:t>
            </w:r>
          </w:p>
        </w:tc>
        <w:tc>
          <w:tcPr>
            <w:tcW w:w="71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全年完成情况</w:t>
            </w:r>
          </w:p>
        </w:tc>
      </w:tr>
      <w:tr w:rsidR="00064F4B" w:rsidTr="00D20875">
        <w:trPr>
          <w:trHeight w:val="439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统筹推进疫情防控工作。</w:t>
            </w:r>
          </w:p>
        </w:tc>
        <w:tc>
          <w:tcPr>
            <w:tcW w:w="71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完成预算目标</w:t>
            </w:r>
          </w:p>
        </w:tc>
      </w:tr>
      <w:tr w:rsidR="00064F4B" w:rsidTr="00D20875">
        <w:trPr>
          <w:trHeight w:val="439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4F4B" w:rsidRDefault="00064F4B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聚焦脱贫攻坚、聚集特殊群体、聚焦群众关切，保障基本民生。</w:t>
            </w:r>
          </w:p>
        </w:tc>
        <w:tc>
          <w:tcPr>
            <w:tcW w:w="71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完成预算目标</w:t>
            </w:r>
          </w:p>
        </w:tc>
      </w:tr>
      <w:tr w:rsidR="00064F4B" w:rsidTr="00D20875">
        <w:trPr>
          <w:trHeight w:val="162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4F4B" w:rsidRDefault="00064F4B">
            <w:pPr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创新基层社会治理，优化基本社会服务，紧贴抚顺实际，务求创出特色，实现高质量发展，全力服务抚顺全面振兴、全方位振兴。</w:t>
            </w:r>
          </w:p>
        </w:tc>
        <w:tc>
          <w:tcPr>
            <w:tcW w:w="71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完成预算目标</w:t>
            </w:r>
          </w:p>
        </w:tc>
      </w:tr>
      <w:tr w:rsidR="00064F4B" w:rsidTr="00D20875">
        <w:trPr>
          <w:trHeight w:val="402"/>
          <w:jc w:val="center"/>
        </w:trPr>
        <w:tc>
          <w:tcPr>
            <w:tcW w:w="101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分解目标评价</w:t>
            </w:r>
          </w:p>
        </w:tc>
      </w:tr>
      <w:tr w:rsidR="00064F4B" w:rsidTr="00D20875">
        <w:trPr>
          <w:trHeight w:val="809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一级</w:t>
            </w: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指标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二级</w:t>
            </w: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三级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指标值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全年完成值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</w:t>
            </w:r>
          </w:p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程度</w:t>
            </w: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得分</w:t>
            </w:r>
          </w:p>
        </w:tc>
        <w:tc>
          <w:tcPr>
            <w:tcW w:w="3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</w:pPr>
            <w:r>
              <w:rPr>
                <w:rFonts w:hint="eastAsia"/>
              </w:rPr>
              <w:t>未完成原因</w:t>
            </w:r>
          </w:p>
          <w:p w:rsidR="00064F4B" w:rsidRDefault="00064F4B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（请在相应选项下划“√”并在原因说明中分项阐述）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改进措施</w:t>
            </w:r>
          </w:p>
        </w:tc>
      </w:tr>
      <w:tr w:rsidR="00064F4B" w:rsidTr="00D20875">
        <w:trPr>
          <w:trHeight w:val="809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运算符号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度量单位</w:t>
            </w: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经费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制度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人员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硬件条件保障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原因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说明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</w:tr>
      <w:tr w:rsidR="00064F4B" w:rsidTr="00D20875">
        <w:trPr>
          <w:trHeight w:val="480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履职</w:t>
            </w: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效能</w:t>
            </w: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重点工作履行情况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”“≤”“≥”“＜”“＞”</w:t>
            </w: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”“≤”“≥”“＜”“＞”</w:t>
            </w: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64F4B" w:rsidRDefault="00064F4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”“≤”“≥”“＜”“＞”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526873" w:rsidRDefault="00064F4B">
            <w:pPr>
              <w:jc w:val="center"/>
              <w:rPr>
                <w:rFonts w:ascii="宋体" w:cs="宋体"/>
                <w:sz w:val="15"/>
                <w:szCs w:val="15"/>
              </w:rPr>
            </w:pPr>
            <w:r w:rsidRPr="00526873">
              <w:rPr>
                <w:rFonts w:ascii="宋体" w:hAnsi="宋体" w:cs="‹ÎSå" w:hint="eastAsia"/>
                <w:color w:val="333333"/>
                <w:sz w:val="15"/>
                <w:szCs w:val="15"/>
              </w:rPr>
              <w:t>做好社会救助工作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399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D72FD1">
              <w:rPr>
                <w:rFonts w:ascii="宋体" w:hAnsi="宋体" w:cs="‹ÎSå" w:hint="eastAsia"/>
                <w:color w:val="333333"/>
                <w:sz w:val="15"/>
                <w:szCs w:val="15"/>
              </w:rPr>
              <w:t>规范民办养老机构建设，提高养老服务质量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38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2D60F4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282221">
              <w:rPr>
                <w:rFonts w:ascii="宋体" w:hAnsi="宋体" w:cs="‹ÎSå" w:hint="eastAsia"/>
                <w:color w:val="333333"/>
                <w:sz w:val="15"/>
                <w:szCs w:val="15"/>
              </w:rPr>
              <w:t>推进殡葬陋习整治工作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38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8C65E9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DD48FA">
              <w:rPr>
                <w:rFonts w:ascii="宋体" w:hAnsi="宋体" w:cs="‹ÎSå" w:hint="eastAsia"/>
                <w:color w:val="333333"/>
                <w:sz w:val="15"/>
                <w:szCs w:val="15"/>
              </w:rPr>
              <w:t>夯实社区建设基础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F43808">
        <w:trPr>
          <w:trHeight w:val="933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整体工作完成情况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0B14E5" w:rsidRDefault="00064F4B" w:rsidP="000B14E5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0B14E5">
              <w:rPr>
                <w:rFonts w:ascii="宋体" w:hAnsi="宋体" w:cs="‹ÎSå" w:hint="eastAsia"/>
                <w:color w:val="333333"/>
                <w:sz w:val="15"/>
                <w:szCs w:val="15"/>
              </w:rPr>
              <w:t>全面完成民政领域各项工作任务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8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基础管理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CD4D81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CD4D81">
              <w:rPr>
                <w:rFonts w:ascii="宋体" w:hAnsi="宋体" w:cs="‹ÎSå" w:hint="eastAsia"/>
                <w:color w:val="333333"/>
                <w:sz w:val="15"/>
                <w:szCs w:val="15"/>
              </w:rPr>
              <w:t>按照年初制定任务目标逐项落实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5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预算</w:t>
            </w:r>
          </w:p>
          <w:p w:rsidR="00064F4B" w:rsidRDefault="00064F4B">
            <w:pPr>
              <w:widowControl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执行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预算执行效率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F5091A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F5091A">
              <w:rPr>
                <w:rFonts w:ascii="宋体" w:hAnsi="宋体" w:cs="‹ÎSå" w:hint="eastAsia"/>
                <w:color w:val="333333"/>
                <w:sz w:val="15"/>
                <w:szCs w:val="15"/>
              </w:rPr>
              <w:t>按照预算内容完成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31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</w:t>
            </w: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效率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预算编制管理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97706E" w:rsidRDefault="00064F4B" w:rsidP="0097706E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97706E">
              <w:rPr>
                <w:rFonts w:ascii="宋体" w:hAnsi="宋体" w:cs="‹ÎSå" w:hint="eastAsia"/>
                <w:color w:val="333333"/>
                <w:sz w:val="15"/>
                <w:szCs w:val="15"/>
              </w:rPr>
              <w:t>科学规范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预算监督管理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F37CC7" w:rsidRDefault="00064F4B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F37CC7">
              <w:rPr>
                <w:rFonts w:ascii="宋体" w:hAnsi="宋体" w:cs="‹ÎSå" w:hint="eastAsia"/>
                <w:color w:val="333333"/>
                <w:sz w:val="15"/>
                <w:szCs w:val="15"/>
              </w:rPr>
              <w:t>按照预算执行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预算收支</w:t>
            </w:r>
          </w:p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D937B0" w:rsidRDefault="00064F4B" w:rsidP="00D937B0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D937B0">
              <w:rPr>
                <w:rFonts w:ascii="宋体" w:hAnsi="宋体" w:cs="‹ÎSå" w:hint="eastAsia"/>
                <w:color w:val="333333"/>
                <w:sz w:val="15"/>
                <w:szCs w:val="15"/>
              </w:rPr>
              <w:t>准确合理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B2261E" w:rsidRDefault="00064F4B" w:rsidP="00B2261E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B2261E">
              <w:rPr>
                <w:rFonts w:ascii="宋体" w:hAnsi="宋体" w:cs="‹ÎSå" w:hint="eastAsia"/>
                <w:color w:val="333333"/>
                <w:sz w:val="15"/>
                <w:szCs w:val="15"/>
              </w:rPr>
              <w:t>严格按照财务规章制度执行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资产管理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B2261E" w:rsidRDefault="00064F4B" w:rsidP="00B2261E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B2261E">
              <w:rPr>
                <w:rFonts w:ascii="宋体" w:hAnsi="宋体" w:cs="‹ÎSå" w:hint="eastAsia"/>
                <w:color w:val="333333"/>
                <w:sz w:val="15"/>
                <w:szCs w:val="15"/>
              </w:rPr>
              <w:t>做到资产账实相符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业务管理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F863DB" w:rsidRDefault="00064F4B" w:rsidP="00F863DB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F863DB">
              <w:rPr>
                <w:rFonts w:ascii="宋体" w:hAnsi="宋体" w:cs="‹ÎSå" w:hint="eastAsia"/>
                <w:color w:val="333333"/>
                <w:sz w:val="15"/>
                <w:szCs w:val="15"/>
              </w:rPr>
              <w:t>规范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524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运行</w:t>
            </w: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成本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成本控制成效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2F665F" w:rsidRDefault="00064F4B" w:rsidP="002F665F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>
              <w:rPr>
                <w:rFonts w:ascii="宋体" w:hAnsi="宋体" w:cs="‹ÎSå" w:hint="eastAsia"/>
                <w:color w:val="333333"/>
                <w:sz w:val="15"/>
                <w:szCs w:val="15"/>
              </w:rPr>
              <w:t>按照预算成本指标完成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67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</w:t>
            </w: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效应</w:t>
            </w: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</w:t>
            </w:r>
          </w:p>
          <w:p w:rsidR="00064F4B" w:rsidRDefault="00064F4B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效应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政治效益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285669" w:rsidRDefault="00064F4B" w:rsidP="00285669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285669">
              <w:rPr>
                <w:rFonts w:ascii="宋体" w:hAnsi="宋体" w:cs="‹ÎSå" w:hint="eastAsia"/>
                <w:color w:val="333333"/>
                <w:sz w:val="15"/>
                <w:szCs w:val="15"/>
              </w:rPr>
              <w:t>体现党和国家关怀</w:t>
            </w:r>
            <w:r w:rsidRPr="00285669">
              <w:rPr>
                <w:rFonts w:ascii="宋体" w:cs="‹ÎSå"/>
                <w:color w:val="333333"/>
                <w:sz w:val="15"/>
                <w:szCs w:val="15"/>
              </w:rPr>
              <w:t>,</w:t>
            </w:r>
            <w:r w:rsidRPr="00285669">
              <w:rPr>
                <w:rFonts w:ascii="宋体" w:hAnsi="宋体" w:cs="‹ÎSå" w:hint="eastAsia"/>
                <w:color w:val="333333"/>
                <w:sz w:val="15"/>
                <w:szCs w:val="15"/>
              </w:rPr>
              <w:t>维护社会稳定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51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社会效益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285669" w:rsidRDefault="00064F4B" w:rsidP="00946431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285669">
              <w:rPr>
                <w:rFonts w:ascii="宋体" w:hAnsi="宋体" w:cs="‹ÎSå" w:hint="eastAsia"/>
                <w:color w:val="333333"/>
                <w:sz w:val="15"/>
                <w:szCs w:val="15"/>
              </w:rPr>
              <w:t>加强我市民生领域工作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591A31">
        <w:trPr>
          <w:trHeight w:val="868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经济效益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591A31" w:rsidRDefault="00064F4B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591A31">
              <w:rPr>
                <w:rFonts w:ascii="宋体" w:hAnsi="宋体" w:cs="‹ÎSå" w:hint="eastAsia"/>
                <w:color w:val="333333"/>
                <w:sz w:val="15"/>
                <w:szCs w:val="15"/>
              </w:rPr>
              <w:t>促进我市社会经济协调发展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生态效益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服务对象满意度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0067B9" w:rsidRDefault="00064F4B" w:rsidP="000067B9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0067B9">
              <w:rPr>
                <w:rFonts w:ascii="宋体" w:hAnsi="宋体" w:cs="‹ÎSå" w:hint="eastAsia"/>
                <w:color w:val="333333"/>
                <w:sz w:val="15"/>
                <w:szCs w:val="15"/>
              </w:rPr>
              <w:t>民政服务群体满意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可持</w:t>
            </w:r>
          </w:p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续性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体制机制改革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Pr="003930BB" w:rsidRDefault="00064F4B">
            <w:pPr>
              <w:jc w:val="center"/>
              <w:rPr>
                <w:rFonts w:ascii="宋体" w:cs="‹ÎSå"/>
                <w:color w:val="333333"/>
                <w:sz w:val="15"/>
                <w:szCs w:val="15"/>
              </w:rPr>
            </w:pPr>
            <w:r w:rsidRPr="003930BB">
              <w:rPr>
                <w:rFonts w:ascii="宋体" w:hAnsi="宋体" w:cs="‹ÎSå" w:hint="eastAsia"/>
                <w:color w:val="333333"/>
                <w:sz w:val="15"/>
                <w:szCs w:val="15"/>
              </w:rPr>
              <w:t>完善民政工作各项政策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全部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100%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 w:rsidP="00687A95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创新驱动发展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/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widowControl/>
              <w:spacing w:line="24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</w:p>
        </w:tc>
      </w:tr>
      <w:tr w:rsidR="00064F4B" w:rsidTr="00D20875">
        <w:trPr>
          <w:trHeight w:val="402"/>
          <w:jc w:val="center"/>
        </w:trPr>
        <w:tc>
          <w:tcPr>
            <w:tcW w:w="5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总评价得分</w:t>
            </w:r>
          </w:p>
        </w:tc>
        <w:tc>
          <w:tcPr>
            <w:tcW w:w="4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F4B" w:rsidRDefault="0006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064F4B" w:rsidRDefault="00064F4B" w:rsidP="007F0F44">
      <w:pPr>
        <w:spacing w:line="520" w:lineRule="exact"/>
        <w:ind w:firstLine="640"/>
      </w:pPr>
    </w:p>
    <w:sectPr w:rsidR="00064F4B" w:rsidSect="00940FD5">
      <w:footerReference w:type="default" r:id="rId6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4B" w:rsidRDefault="00064F4B" w:rsidP="00940FD5">
      <w:r>
        <w:separator/>
      </w:r>
    </w:p>
  </w:endnote>
  <w:endnote w:type="continuationSeparator" w:id="0">
    <w:p w:rsidR="00064F4B" w:rsidRDefault="00064F4B" w:rsidP="0094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‹ÎSå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F4B" w:rsidRDefault="00064F4B">
    <w:pPr>
      <w:jc w:val="center"/>
    </w:pPr>
    <w:fldSimple w:instr=" PAGE \* Arabic ">
      <w:r>
        <w:rPr>
          <w:noProof/>
        </w:rPr>
        <w:t>4</w:t>
      </w:r>
    </w:fldSimple>
  </w:p>
  <w:p w:rsidR="00064F4B" w:rsidRDefault="00064F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4B" w:rsidRDefault="00064F4B" w:rsidP="00940FD5">
      <w:r>
        <w:separator/>
      </w:r>
    </w:p>
  </w:footnote>
  <w:footnote w:type="continuationSeparator" w:id="0">
    <w:p w:rsidR="00064F4B" w:rsidRDefault="00064F4B" w:rsidP="00940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FD5"/>
    <w:rsid w:val="000067B9"/>
    <w:rsid w:val="00033807"/>
    <w:rsid w:val="000415AB"/>
    <w:rsid w:val="00043776"/>
    <w:rsid w:val="00060762"/>
    <w:rsid w:val="00064F4B"/>
    <w:rsid w:val="00074C6E"/>
    <w:rsid w:val="00084270"/>
    <w:rsid w:val="000B14E5"/>
    <w:rsid w:val="000D2607"/>
    <w:rsid w:val="00100C81"/>
    <w:rsid w:val="00114B91"/>
    <w:rsid w:val="00147F17"/>
    <w:rsid w:val="00164B94"/>
    <w:rsid w:val="00190774"/>
    <w:rsid w:val="001930A3"/>
    <w:rsid w:val="001A012C"/>
    <w:rsid w:val="001B30D7"/>
    <w:rsid w:val="001C08FA"/>
    <w:rsid w:val="001D15B2"/>
    <w:rsid w:val="001D4D9C"/>
    <w:rsid w:val="001D5F7C"/>
    <w:rsid w:val="001E4B55"/>
    <w:rsid w:val="001F588C"/>
    <w:rsid w:val="00215682"/>
    <w:rsid w:val="00256DD9"/>
    <w:rsid w:val="00282221"/>
    <w:rsid w:val="00285669"/>
    <w:rsid w:val="0028767A"/>
    <w:rsid w:val="00292E3B"/>
    <w:rsid w:val="00292EE1"/>
    <w:rsid w:val="002D60F4"/>
    <w:rsid w:val="002E788F"/>
    <w:rsid w:val="002F665F"/>
    <w:rsid w:val="0030088F"/>
    <w:rsid w:val="00327627"/>
    <w:rsid w:val="00333721"/>
    <w:rsid w:val="0033395E"/>
    <w:rsid w:val="003429E9"/>
    <w:rsid w:val="00371159"/>
    <w:rsid w:val="00374AA4"/>
    <w:rsid w:val="00384662"/>
    <w:rsid w:val="003930BB"/>
    <w:rsid w:val="00394D49"/>
    <w:rsid w:val="003A120F"/>
    <w:rsid w:val="003E1770"/>
    <w:rsid w:val="004017E2"/>
    <w:rsid w:val="0040213B"/>
    <w:rsid w:val="004304B3"/>
    <w:rsid w:val="00441C9B"/>
    <w:rsid w:val="0044744B"/>
    <w:rsid w:val="004708D8"/>
    <w:rsid w:val="00490483"/>
    <w:rsid w:val="004E5B5C"/>
    <w:rsid w:val="00523173"/>
    <w:rsid w:val="00526873"/>
    <w:rsid w:val="00535B14"/>
    <w:rsid w:val="00545BEB"/>
    <w:rsid w:val="005633C5"/>
    <w:rsid w:val="00575DA4"/>
    <w:rsid w:val="00581DCF"/>
    <w:rsid w:val="00591A31"/>
    <w:rsid w:val="005B0624"/>
    <w:rsid w:val="005B2AC0"/>
    <w:rsid w:val="005B47C0"/>
    <w:rsid w:val="005B4B45"/>
    <w:rsid w:val="005F1CA4"/>
    <w:rsid w:val="00607C7E"/>
    <w:rsid w:val="006222E2"/>
    <w:rsid w:val="00651CE7"/>
    <w:rsid w:val="00661CB2"/>
    <w:rsid w:val="00687A95"/>
    <w:rsid w:val="00693D68"/>
    <w:rsid w:val="006C0466"/>
    <w:rsid w:val="006C7F9A"/>
    <w:rsid w:val="00703D70"/>
    <w:rsid w:val="00712D4E"/>
    <w:rsid w:val="007332C1"/>
    <w:rsid w:val="007528AA"/>
    <w:rsid w:val="00785836"/>
    <w:rsid w:val="00787954"/>
    <w:rsid w:val="007A355D"/>
    <w:rsid w:val="007B422E"/>
    <w:rsid w:val="007C0D98"/>
    <w:rsid w:val="007F0F44"/>
    <w:rsid w:val="008550FA"/>
    <w:rsid w:val="0089359B"/>
    <w:rsid w:val="008C65E9"/>
    <w:rsid w:val="008F4674"/>
    <w:rsid w:val="00900574"/>
    <w:rsid w:val="0090515D"/>
    <w:rsid w:val="00907FA2"/>
    <w:rsid w:val="009158F6"/>
    <w:rsid w:val="00940FD5"/>
    <w:rsid w:val="00945827"/>
    <w:rsid w:val="00946431"/>
    <w:rsid w:val="0096283B"/>
    <w:rsid w:val="0097706E"/>
    <w:rsid w:val="0099461E"/>
    <w:rsid w:val="009B1829"/>
    <w:rsid w:val="009B7750"/>
    <w:rsid w:val="009C1C9C"/>
    <w:rsid w:val="009E0A71"/>
    <w:rsid w:val="00A02F60"/>
    <w:rsid w:val="00A51D98"/>
    <w:rsid w:val="00A73723"/>
    <w:rsid w:val="00A73A79"/>
    <w:rsid w:val="00A774DC"/>
    <w:rsid w:val="00A873D3"/>
    <w:rsid w:val="00A9579F"/>
    <w:rsid w:val="00AC1355"/>
    <w:rsid w:val="00AD3D9E"/>
    <w:rsid w:val="00AE608B"/>
    <w:rsid w:val="00B002A1"/>
    <w:rsid w:val="00B04011"/>
    <w:rsid w:val="00B2261E"/>
    <w:rsid w:val="00B54B33"/>
    <w:rsid w:val="00B759B3"/>
    <w:rsid w:val="00B84070"/>
    <w:rsid w:val="00BE55F7"/>
    <w:rsid w:val="00BF1494"/>
    <w:rsid w:val="00BF2AAD"/>
    <w:rsid w:val="00C0274D"/>
    <w:rsid w:val="00C14A0A"/>
    <w:rsid w:val="00C3159C"/>
    <w:rsid w:val="00C4093E"/>
    <w:rsid w:val="00C47B1A"/>
    <w:rsid w:val="00C54DED"/>
    <w:rsid w:val="00C551D9"/>
    <w:rsid w:val="00C86163"/>
    <w:rsid w:val="00C876BA"/>
    <w:rsid w:val="00CC25F9"/>
    <w:rsid w:val="00CD4D81"/>
    <w:rsid w:val="00CE061D"/>
    <w:rsid w:val="00D068FB"/>
    <w:rsid w:val="00D20875"/>
    <w:rsid w:val="00D25AC2"/>
    <w:rsid w:val="00D279A8"/>
    <w:rsid w:val="00D72FD1"/>
    <w:rsid w:val="00D937B0"/>
    <w:rsid w:val="00DA436A"/>
    <w:rsid w:val="00DB5329"/>
    <w:rsid w:val="00DD1AF0"/>
    <w:rsid w:val="00DD48FA"/>
    <w:rsid w:val="00DF0AB0"/>
    <w:rsid w:val="00DF4CD4"/>
    <w:rsid w:val="00E03598"/>
    <w:rsid w:val="00E30474"/>
    <w:rsid w:val="00E34C2D"/>
    <w:rsid w:val="00E37E8E"/>
    <w:rsid w:val="00E525D0"/>
    <w:rsid w:val="00E56342"/>
    <w:rsid w:val="00E67104"/>
    <w:rsid w:val="00E76C53"/>
    <w:rsid w:val="00E84DCA"/>
    <w:rsid w:val="00EB07F6"/>
    <w:rsid w:val="00EE3F32"/>
    <w:rsid w:val="00EE7FA0"/>
    <w:rsid w:val="00F0268E"/>
    <w:rsid w:val="00F37CC7"/>
    <w:rsid w:val="00F43808"/>
    <w:rsid w:val="00F5091A"/>
    <w:rsid w:val="00F60797"/>
    <w:rsid w:val="00F633C5"/>
    <w:rsid w:val="00F65122"/>
    <w:rsid w:val="00F863DB"/>
    <w:rsid w:val="00FA773A"/>
    <w:rsid w:val="00FE4CFC"/>
    <w:rsid w:val="00FE7488"/>
    <w:rsid w:val="00FF08DF"/>
    <w:rsid w:val="00FF2527"/>
    <w:rsid w:val="00FF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D5"/>
    <w:pPr>
      <w:widowControl w:val="0"/>
      <w:jc w:val="both"/>
    </w:pPr>
    <w:rPr>
      <w:kern w:val="1"/>
      <w:szCs w:val="24"/>
    </w:rPr>
  </w:style>
  <w:style w:type="paragraph" w:styleId="Heading1">
    <w:name w:val="heading 1"/>
    <w:basedOn w:val="Normal"/>
    <w:link w:val="Heading1Char"/>
    <w:uiPriority w:val="99"/>
    <w:qFormat/>
    <w:rsid w:val="00940FD5"/>
    <w:pPr>
      <w:keepNext/>
      <w:keepLines/>
      <w:spacing w:before="340" w:after="330" w:line="576" w:lineRule="auto"/>
      <w:outlineLvl w:val="0"/>
    </w:pPr>
    <w:rPr>
      <w:rFonts w:ascii="等线" w:eastAsia="等线" w:hAnsi="等线" w:cs="Arial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FD5"/>
    <w:rPr>
      <w:rFonts w:ascii="等线" w:eastAsia="等线" w:hAnsi="等线" w:cs="Times New Roman"/>
      <w:b/>
      <w:kern w:val="1"/>
      <w:sz w:val="44"/>
    </w:rPr>
  </w:style>
  <w:style w:type="paragraph" w:styleId="NormalWeb">
    <w:name w:val="Normal (Web)"/>
    <w:basedOn w:val="Normal"/>
    <w:uiPriority w:val="99"/>
    <w:rsid w:val="00940FD5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Header">
    <w:name w:val="header"/>
    <w:basedOn w:val="Normal"/>
    <w:link w:val="HeaderChar"/>
    <w:uiPriority w:val="99"/>
    <w:rsid w:val="00940FD5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0FD5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rsid w:val="00940FD5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0FD5"/>
    <w:rPr>
      <w:rFonts w:ascii="Times New Roman" w:eastAsia="宋体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940FD5"/>
    <w:pPr>
      <w:ind w:firstLine="645"/>
    </w:pPr>
    <w:rPr>
      <w:rFonts w:ascii="仿宋_GB2312" w:eastAsia="仿宋_GB2312" w:hAnsi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40FD5"/>
    <w:rPr>
      <w:rFonts w:ascii="仿宋_GB2312" w:eastAsia="仿宋_GB2312" w:hAnsi="仿宋_GB2312" w:cs="Times New Roman"/>
      <w:sz w:val="32"/>
    </w:rPr>
  </w:style>
  <w:style w:type="paragraph" w:styleId="BalloonText">
    <w:name w:val="Balloon Text"/>
    <w:basedOn w:val="Normal"/>
    <w:link w:val="BalloonTextChar"/>
    <w:uiPriority w:val="99"/>
    <w:rsid w:val="00940F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40FD5"/>
    <w:rPr>
      <w:rFonts w:ascii="Times New Roman" w:eastAsia="宋体" w:hAnsi="Times New Roman" w:cs="Times New Roman"/>
      <w:sz w:val="18"/>
    </w:rPr>
  </w:style>
  <w:style w:type="paragraph" w:customStyle="1" w:styleId="NewNewNewNew">
    <w:name w:val="正文 New New New New"/>
    <w:uiPriority w:val="99"/>
    <w:rsid w:val="00940FD5"/>
    <w:pPr>
      <w:widowControl w:val="0"/>
      <w:jc w:val="both"/>
    </w:pPr>
    <w:rPr>
      <w:rFonts w:cs="黑体"/>
      <w:kern w:val="1"/>
    </w:rPr>
  </w:style>
  <w:style w:type="paragraph" w:customStyle="1" w:styleId="NewNewNew">
    <w:name w:val="正文 New New New"/>
    <w:uiPriority w:val="99"/>
    <w:rsid w:val="00940FD5"/>
    <w:pPr>
      <w:spacing w:line="580" w:lineRule="atLeast"/>
      <w:ind w:firstLine="640"/>
      <w:jc w:val="both"/>
    </w:pPr>
    <w:rPr>
      <w:rFonts w:ascii="仿宋_GB2312" w:eastAsia="仿宋_GB2312" w:hAnsi="仿宋_GB2312" w:cs="Arial"/>
      <w:kern w:val="1"/>
      <w:sz w:val="28"/>
      <w:szCs w:val="28"/>
    </w:rPr>
  </w:style>
  <w:style w:type="character" w:customStyle="1" w:styleId="CommentReference1">
    <w:name w:val="Comment Reference1"/>
    <w:uiPriority w:val="99"/>
    <w:rsid w:val="00940FD5"/>
    <w:rPr>
      <w:sz w:val="21"/>
    </w:rPr>
  </w:style>
  <w:style w:type="character" w:customStyle="1" w:styleId="font121">
    <w:name w:val="font121"/>
    <w:uiPriority w:val="99"/>
    <w:rsid w:val="00940FD5"/>
    <w:rPr>
      <w:rFonts w:ascii="宋体" w:eastAsia="宋体" w:hAnsi="宋体"/>
      <w:color w:val="000000"/>
      <w:sz w:val="24"/>
      <w:u w:val="none"/>
    </w:rPr>
  </w:style>
  <w:style w:type="character" w:customStyle="1" w:styleId="font111">
    <w:name w:val="font111"/>
    <w:uiPriority w:val="99"/>
    <w:rsid w:val="00940FD5"/>
    <w:rPr>
      <w:rFonts w:ascii="宋体" w:eastAsia="宋体" w:hAnsi="宋体"/>
      <w:color w:val="000000"/>
      <w:sz w:val="32"/>
      <w:u w:val="none"/>
    </w:rPr>
  </w:style>
  <w:style w:type="character" w:customStyle="1" w:styleId="font11">
    <w:name w:val="font11"/>
    <w:uiPriority w:val="99"/>
    <w:rsid w:val="00940FD5"/>
    <w:rPr>
      <w:rFonts w:ascii="宋体" w:eastAsia="宋体" w:hAnsi="宋体"/>
      <w:b/>
      <w:color w:val="000000"/>
      <w:sz w:val="32"/>
      <w:u w:val="none"/>
    </w:rPr>
  </w:style>
  <w:style w:type="character" w:customStyle="1" w:styleId="font31">
    <w:name w:val="font31"/>
    <w:uiPriority w:val="99"/>
    <w:rsid w:val="00940FD5"/>
    <w:rPr>
      <w:rFonts w:ascii="宋体" w:eastAsia="宋体" w:hAnsi="宋体"/>
      <w:color w:val="000000"/>
      <w:sz w:val="32"/>
      <w:u w:val="none"/>
    </w:rPr>
  </w:style>
  <w:style w:type="character" w:customStyle="1" w:styleId="font61">
    <w:name w:val="font61"/>
    <w:uiPriority w:val="99"/>
    <w:rsid w:val="00940FD5"/>
    <w:rPr>
      <w:rFonts w:ascii="宋体" w:eastAsia="宋体" w:hAnsi="宋体"/>
      <w:color w:val="000000"/>
      <w:sz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4</Pages>
  <Words>399</Words>
  <Characters>2279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462</cp:revision>
  <cp:lastPrinted>2022-08-08T01:49:00Z</cp:lastPrinted>
  <dcterms:created xsi:type="dcterms:W3CDTF">2022-02-22T07:43:00Z</dcterms:created>
  <dcterms:modified xsi:type="dcterms:W3CDTF">2022-08-09T05:53:00Z</dcterms:modified>
</cp:coreProperties>
</file>