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</w:r>
    </w:p>
    <w:p>
      <w:pPr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</w:r>
    </w:p>
    <w:tbl>
      <w:tblPr>
        <w:jc w:val="center"/>
        <w:tblW w:w="9276" w:type="dxa"/>
      </w:tblPr>
      <w:tblGrid>
        <w:gridCol w:w="379"/>
        <w:gridCol w:w="400"/>
        <w:gridCol w:w="583"/>
        <w:gridCol w:w="649"/>
        <w:gridCol w:w="700"/>
        <w:gridCol w:w="399"/>
        <w:gridCol w:w="432"/>
        <w:gridCol w:w="566"/>
        <w:gridCol w:w="449"/>
        <w:gridCol w:w="358"/>
        <w:gridCol w:w="358"/>
        <w:gridCol w:w="591"/>
        <w:gridCol w:w="599"/>
        <w:gridCol w:w="160"/>
        <w:gridCol w:w="488"/>
        <w:gridCol w:w="227"/>
        <w:gridCol w:w="320"/>
        <w:gridCol w:w="496"/>
        <w:gridCol w:w="146"/>
        <w:gridCol w:w="406"/>
        <w:gridCol w:w="570"/>
      </w:tblGrid>
      <w:tr>
        <w:trPr>
          <w:trHeight w:val="968" w:hRule="atLeast"/>
        </w:trPr>
        <w:tc>
          <w:tcPr>
            <w:tcW w:w="9276" w:type="dxa"/>
            <w:gridSpan w:val="21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  <w:r>
              <w:rPr>
                <w:rFonts w:ascii="宋体" w:hAnsi="宋体" w:cs="宋体"/>
                <w:b/>
                <w:bCs/>
                <w:sz w:val="44"/>
                <w:szCs w:val="44"/>
              </w:rPr>
              <w:t>2021</w:t>
            </w: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年民政运行专项预算项目（政策）</w:t>
            </w:r>
            <w:r>
              <w:rPr>
                <w:rFonts w:ascii="宋体" w:hAnsi="宋体" w:cs="宋体"/>
                <w:b/>
                <w:bCs/>
                <w:sz w:val="44"/>
                <w:szCs w:val="44"/>
              </w:rPr>
            </w:r>
          </w:p>
          <w:p>
            <w:pPr>
              <w:spacing/>
              <w:jc w:val="center"/>
              <w:rPr>
                <w:rFonts w:ascii="宋体" w:hAnsi="宋体" w:cs="宋体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绩效目标自评表</w:t>
            </w:r>
            <w:r>
              <w:rPr>
                <w:rFonts w:ascii="宋体" w:hAnsi="宋体" w:cs="宋体"/>
                <w:sz w:val="44"/>
                <w:szCs w:val="44"/>
              </w:rPr>
              <w:t xml:space="preserve"> </w:t>
              <w:br w:type="textWrapping"/>
            </w:r>
          </w:p>
        </w:tc>
      </w:tr>
      <w:tr>
        <w:trPr>
          <w:trHeight w:val="311" w:hRule="atLeast"/>
        </w:trPr>
        <w:tc>
          <w:tcPr>
            <w:tcW w:w="1362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项目（政策）</w:t>
            </w:r>
            <w:r>
              <w:rPr>
                <w:rFonts w:ascii="宋体" w:hAnsi="宋体" w:cs="宋体"/>
                <w:szCs w:val="21"/>
              </w:rPr>
            </w:r>
          </w:p>
          <w:p>
            <w:pPr>
              <w:spacing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名称</w:t>
            </w:r>
            <w:r/>
          </w:p>
        </w:tc>
        <w:tc>
          <w:tcPr>
            <w:tcW w:w="7914" w:type="dxa"/>
            <w:gridSpan w:val="18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rPr>
                <w:rFonts w:ascii="宋体" w:hAnsi="宋体" w:cs="宋体" w:hint="eastAsia"/>
                <w:szCs w:val="21"/>
              </w:rPr>
              <w:t>民政运行专项</w:t>
            </w:r>
            <w:r>
              <w:t xml:space="preserve">　</w:t>
            </w:r>
            <w:r/>
          </w:p>
        </w:tc>
      </w:tr>
      <w:tr>
        <w:trPr>
          <w:trHeight w:val="331" w:hRule="atLeast"/>
        </w:trPr>
        <w:tc>
          <w:tcPr>
            <w:tcW w:w="1362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widowControl/>
              <w:rPr>
                <w:rFonts w:ascii="宋体" w:hAnsi="宋体" w:cs="宋体"/>
                <w:szCs w:val="21"/>
              </w:rPr>
            </w:pPr>
            <w:r>
              <w:t>主管部门</w:t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W w:w="7914" w:type="dxa"/>
            <w:gridSpan w:val="18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rPr>
                <w:rFonts w:ascii="宋体" w:hAnsi="宋体" w:cs="宋体" w:hint="eastAsia"/>
                <w:szCs w:val="21"/>
              </w:rPr>
              <w:t>市民政局</w:t>
            </w:r>
            <w:r/>
          </w:p>
        </w:tc>
      </w:tr>
      <w:tr>
        <w:trPr>
          <w:trHeight w:val="311" w:hRule="atLeast"/>
        </w:trPr>
        <w:tc>
          <w:tcPr>
            <w:tcW w:w="1362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widowControl/>
            </w:pPr>
            <w:r>
              <w:t>实施单位</w:t>
            </w:r>
            <w:r/>
          </w:p>
        </w:tc>
        <w:tc>
          <w:tcPr>
            <w:tcW w:w="3911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rPr>
                <w:rFonts w:ascii="宋体" w:hAnsi="宋体" w:cs="宋体" w:hint="eastAsia"/>
                <w:szCs w:val="21"/>
              </w:rPr>
              <w:t>市民政局</w:t>
            </w:r>
            <w:r/>
          </w:p>
        </w:tc>
        <w:tc>
          <w:tcPr>
            <w:tcW w:w="1350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实施期</w:t>
            </w:r>
            <w:r/>
          </w:p>
        </w:tc>
        <w:tc>
          <w:tcPr>
            <w:tcW w:w="2653" w:type="dxa"/>
            <w:gridSpan w:val="7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rPr>
                <w:rFonts w:ascii="宋体" w:hAnsi="宋体" w:cs="宋体"/>
                <w:szCs w:val="21"/>
              </w:rPr>
              <w:t>2021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-2021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12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/>
          </w:p>
        </w:tc>
      </w:tr>
      <w:tr>
        <w:trPr>
          <w:trHeight w:val="592" w:hRule="atLeast"/>
        </w:trPr>
        <w:tc>
          <w:tcPr>
            <w:tcW w:w="1362" w:type="dxa"/>
            <w:gridSpan w:val="3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项目预算资金</w:t>
            </w:r>
            <w:r/>
          </w:p>
        </w:tc>
        <w:tc>
          <w:tcPr>
            <w:tcW w:w="2180" w:type="dxa"/>
            <w:gridSpan w:val="4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年初</w:t>
            </w:r>
            <w:r/>
          </w:p>
          <w:p>
            <w:pPr>
              <w:spacing/>
              <w:jc w:val="center"/>
            </w:pPr>
            <w:r>
              <w:t>预算数</w:t>
            </w:r>
            <w:r/>
          </w:p>
        </w:tc>
        <w:tc>
          <w:tcPr>
            <w:tcW w:w="1165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全年预算数（</w:t>
            </w:r>
            <w:r>
              <w:t>A</w:t>
            </w:r>
            <w:r>
              <w:t>）</w:t>
            </w:r>
            <w:r/>
          </w:p>
        </w:tc>
        <w:tc>
          <w:tcPr>
            <w:tcW w:w="1350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全年执行数（</w:t>
            </w:r>
            <w:r>
              <w:t>B</w:t>
            </w:r>
            <w:r>
              <w:t>）</w:t>
            </w:r>
            <w:r/>
          </w:p>
        </w:tc>
        <w:tc>
          <w:tcPr>
            <w:tcW w:w="715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分值</w:t>
            </w:r>
            <w:r/>
          </w:p>
        </w:tc>
        <w:tc>
          <w:tcPr>
            <w:tcW w:w="962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执行率（</w:t>
            </w:r>
            <w:r>
              <w:t>B/A)</w:t>
            </w:r>
          </w:p>
        </w:tc>
        <w:tc>
          <w:tcPr>
            <w:tcW w:w="976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得分</w:t>
            </w:r>
            <w:r/>
          </w:p>
          <w:p>
            <w:pPr>
              <w:spacing/>
              <w:jc w:val="center"/>
            </w:pPr>
            <w:r>
              <w:t>（分值</w:t>
            </w:r>
            <w:r>
              <w:t>*B/A</w:t>
            </w:r>
            <w:r>
              <w:t>）</w:t>
            </w:r>
            <w:r/>
          </w:p>
        </w:tc>
      </w:tr>
      <w:tr>
        <w:trPr>
          <w:trHeight w:val="311" w:hRule="atLeast"/>
        </w:trPr>
        <w:tc>
          <w:tcPr>
            <w:tcW w:w="1362" w:type="dxa"/>
            <w:gridSpan w:val="3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80" w:type="dxa"/>
            <w:gridSpan w:val="4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年度预算资金总额：</w:t>
            </w: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23.9</w:t>
            </w:r>
            <w:r>
              <w:t xml:space="preserve">　</w:t>
            </w:r>
            <w:r/>
          </w:p>
        </w:tc>
        <w:tc>
          <w:tcPr>
            <w:tcW w:w="1165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23.9</w:t>
            </w:r>
          </w:p>
        </w:tc>
        <w:tc>
          <w:tcPr>
            <w:tcW w:w="1350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 xml:space="preserve">　</w:t>
            </w:r>
            <w:r>
              <w:t>23.9</w:t>
            </w:r>
          </w:p>
        </w:tc>
        <w:tc>
          <w:tcPr>
            <w:tcW w:w="715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10</w:t>
            </w:r>
          </w:p>
        </w:tc>
        <w:tc>
          <w:tcPr>
            <w:tcW w:w="962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1</w:t>
            </w:r>
          </w:p>
        </w:tc>
        <w:tc>
          <w:tcPr>
            <w:tcW w:w="976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10</w:t>
            </w:r>
          </w:p>
        </w:tc>
      </w:tr>
      <w:tr>
        <w:trPr>
          <w:trHeight w:val="311" w:hRule="atLeast"/>
        </w:trPr>
        <w:tc>
          <w:tcPr>
            <w:tcW w:w="1362" w:type="dxa"/>
            <w:gridSpan w:val="3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80" w:type="dxa"/>
            <w:gridSpan w:val="4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left"/>
              <w:widowControl/>
            </w:pPr>
            <w:r>
              <w:rPr>
                <w:rFonts w:ascii="宋体" w:hAnsi="宋体" w:cs="宋体" w:hint="eastAsia"/>
                <w:szCs w:val="21"/>
              </w:rPr>
              <w:t>其中：财政拨款收入</w:t>
            </w: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23.9</w:t>
            </w:r>
            <w:r>
              <w:t xml:space="preserve">　</w:t>
            </w:r>
            <w:r/>
          </w:p>
        </w:tc>
        <w:tc>
          <w:tcPr>
            <w:tcW w:w="1165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23.9</w:t>
            </w:r>
          </w:p>
        </w:tc>
        <w:tc>
          <w:tcPr>
            <w:tcW w:w="1350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 xml:space="preserve">　</w:t>
            </w:r>
            <w:r>
              <w:t>23.9</w:t>
            </w:r>
          </w:p>
        </w:tc>
        <w:tc>
          <w:tcPr>
            <w:tcW w:w="715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widowControl/>
            </w:pPr>
            <w:r>
              <w:t>——</w:t>
            </w:r>
          </w:p>
        </w:tc>
        <w:tc>
          <w:tcPr>
            <w:tcW w:w="962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1</w:t>
            </w:r>
          </w:p>
        </w:tc>
        <w:tc>
          <w:tcPr>
            <w:tcW w:w="976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——</w:t>
            </w:r>
          </w:p>
        </w:tc>
      </w:tr>
      <w:tr>
        <w:trPr>
          <w:trHeight w:val="311" w:hRule="atLeast"/>
        </w:trPr>
        <w:tc>
          <w:tcPr>
            <w:tcW w:w="1362" w:type="dxa"/>
            <w:gridSpan w:val="3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80" w:type="dxa"/>
            <w:gridSpan w:val="4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left"/>
              <w:widowControl/>
            </w:pPr>
            <w:r>
              <w:rPr>
                <w:rFonts w:ascii="宋体" w:hAnsi="宋体" w:cs="宋体" w:hint="eastAsia"/>
                <w:szCs w:val="21"/>
              </w:rPr>
              <w:t>中央提前告知转移支付资金</w:t>
            </w: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1165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1350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715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——</w:t>
            </w:r>
          </w:p>
        </w:tc>
        <w:tc>
          <w:tcPr>
            <w:tcW w:w="962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976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——</w:t>
            </w:r>
          </w:p>
        </w:tc>
      </w:tr>
      <w:tr>
        <w:trPr>
          <w:trHeight w:val="311" w:hRule="atLeast"/>
        </w:trPr>
        <w:tc>
          <w:tcPr>
            <w:tcW w:w="1362" w:type="dxa"/>
            <w:gridSpan w:val="3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80" w:type="dxa"/>
            <w:gridSpan w:val="4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left"/>
              <w:widowControl/>
            </w:pPr>
            <w:r>
              <w:rPr>
                <w:rFonts w:ascii="宋体" w:hAnsi="宋体" w:cs="宋体" w:hint="eastAsia"/>
                <w:szCs w:val="21"/>
              </w:rPr>
              <w:t>纳入预算管理的行政事业性收费等非税收入</w:t>
            </w: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1165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1350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715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——</w:t>
            </w:r>
          </w:p>
        </w:tc>
        <w:tc>
          <w:tcPr>
            <w:tcW w:w="962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976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——</w:t>
            </w:r>
          </w:p>
        </w:tc>
      </w:tr>
      <w:tr>
        <w:trPr>
          <w:trHeight w:val="311" w:hRule="atLeast"/>
        </w:trPr>
        <w:tc>
          <w:tcPr>
            <w:tcW w:w="1362" w:type="dxa"/>
            <w:gridSpan w:val="3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80" w:type="dxa"/>
            <w:gridSpan w:val="4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left"/>
              <w:widowControl/>
            </w:pPr>
            <w:r>
              <w:rPr>
                <w:rFonts w:ascii="宋体" w:hAnsi="宋体" w:cs="宋体" w:hint="eastAsia"/>
                <w:szCs w:val="21"/>
              </w:rPr>
              <w:t>纳入政府性基金预算管理收入</w:t>
            </w: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1165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1350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715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——</w:t>
            </w:r>
          </w:p>
        </w:tc>
        <w:tc>
          <w:tcPr>
            <w:tcW w:w="962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976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——</w:t>
            </w:r>
          </w:p>
        </w:tc>
      </w:tr>
      <w:tr>
        <w:trPr>
          <w:trHeight w:val="311" w:hRule="atLeast"/>
        </w:trPr>
        <w:tc>
          <w:tcPr>
            <w:tcW w:w="1362" w:type="dxa"/>
            <w:gridSpan w:val="3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80" w:type="dxa"/>
            <w:gridSpan w:val="4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left"/>
              <w:widowControl/>
            </w:pPr>
            <w:r>
              <w:rPr>
                <w:rFonts w:ascii="宋体" w:hAnsi="宋体" w:cs="宋体" w:hint="eastAsia"/>
                <w:szCs w:val="21"/>
              </w:rPr>
              <w:t>纳入专户管理的行政事业性收费等非税收入</w:t>
            </w: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1165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1350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715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——</w:t>
            </w:r>
          </w:p>
        </w:tc>
        <w:tc>
          <w:tcPr>
            <w:tcW w:w="962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976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——</w:t>
            </w:r>
          </w:p>
        </w:tc>
      </w:tr>
      <w:tr>
        <w:trPr>
          <w:trHeight w:val="311" w:hRule="atLeast"/>
        </w:trPr>
        <w:tc>
          <w:tcPr>
            <w:tcW w:w="1362" w:type="dxa"/>
            <w:gridSpan w:val="3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80" w:type="dxa"/>
            <w:gridSpan w:val="4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left"/>
              <w:widowControl/>
            </w:pPr>
            <w:r>
              <w:rPr>
                <w:rFonts w:ascii="宋体" w:hAnsi="宋体" w:cs="宋体" w:hint="eastAsia"/>
                <w:szCs w:val="21"/>
              </w:rPr>
              <w:t>上年结转</w:t>
            </w: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1165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1350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715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——</w:t>
            </w:r>
          </w:p>
        </w:tc>
        <w:tc>
          <w:tcPr>
            <w:tcW w:w="962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976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——</w:t>
            </w:r>
          </w:p>
        </w:tc>
      </w:tr>
      <w:tr>
        <w:trPr>
          <w:trHeight w:val="311" w:hRule="atLeast"/>
        </w:trPr>
        <w:tc>
          <w:tcPr>
            <w:tcW w:w="1362" w:type="dxa"/>
            <w:gridSpan w:val="3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80" w:type="dxa"/>
            <w:gridSpan w:val="4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left"/>
              <w:widowControl/>
            </w:pPr>
            <w:r>
              <w:rPr>
                <w:rFonts w:ascii="宋体" w:hAnsi="宋体" w:cs="宋体" w:hint="eastAsia"/>
                <w:szCs w:val="21"/>
              </w:rPr>
              <w:t>其他收入</w:t>
            </w: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1165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1350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715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——</w:t>
            </w:r>
          </w:p>
        </w:tc>
        <w:tc>
          <w:tcPr>
            <w:tcW w:w="962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976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——</w:t>
            </w:r>
          </w:p>
        </w:tc>
      </w:tr>
      <w:tr>
        <w:trPr>
          <w:trHeight w:val="311" w:hRule="atLeast"/>
        </w:trPr>
        <w:tc>
          <w:tcPr>
            <w:tcW w:w="1362" w:type="dxa"/>
            <w:gridSpan w:val="3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年度总体目标</w:t>
            </w:r>
            <w:r/>
          </w:p>
        </w:tc>
        <w:tc>
          <w:tcPr>
            <w:tcW w:w="3911" w:type="dxa"/>
            <w:gridSpan w:val="8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年初设定目标</w:t>
            </w:r>
            <w:r/>
          </w:p>
        </w:tc>
        <w:tc>
          <w:tcPr>
            <w:tcW w:w="4003" w:type="dxa"/>
            <w:gridSpan w:val="10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全年实际完成情况</w:t>
            </w:r>
            <w:r/>
          </w:p>
        </w:tc>
      </w:tr>
      <w:tr>
        <w:trPr>
          <w:trHeight w:val="311" w:hRule="atLeast"/>
        </w:trPr>
        <w:tc>
          <w:tcPr>
            <w:tcW w:w="1362" w:type="dxa"/>
            <w:gridSpan w:val="3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11" w:type="dxa"/>
            <w:gridSpan w:val="8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left"/>
            </w:pPr>
            <w:r>
              <w:t>基本民生保障体系日益完善</w:t>
            </w:r>
            <w:r/>
          </w:p>
        </w:tc>
        <w:tc>
          <w:tcPr>
            <w:tcW w:w="4003" w:type="dxa"/>
            <w:gridSpan w:val="10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完成预算目标　</w:t>
            </w:r>
            <w:r/>
          </w:p>
        </w:tc>
      </w:tr>
      <w:tr>
        <w:trPr>
          <w:trHeight w:val="311" w:hRule="atLeast"/>
        </w:trPr>
        <w:tc>
          <w:tcPr>
            <w:tcW w:w="1362" w:type="dxa"/>
            <w:gridSpan w:val="3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11" w:type="dxa"/>
            <w:gridSpan w:val="8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left"/>
            </w:pPr>
            <w:r>
              <w:t>养老服务水平再上新台阶</w:t>
            </w:r>
            <w:r/>
          </w:p>
        </w:tc>
        <w:tc>
          <w:tcPr>
            <w:tcW w:w="4003" w:type="dxa"/>
            <w:gridSpan w:val="10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完成预算目标　</w:t>
            </w:r>
            <w:r/>
          </w:p>
        </w:tc>
      </w:tr>
      <w:tr>
        <w:trPr>
          <w:trHeight w:val="296" w:hRule="atLeast"/>
        </w:trPr>
        <w:tc>
          <w:tcPr>
            <w:tcW w:w="1362" w:type="dxa"/>
            <w:gridSpan w:val="3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11" w:type="dxa"/>
            <w:gridSpan w:val="8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left"/>
            </w:pPr>
            <w:r>
              <w:t>疫情防控工作扎实开展</w:t>
            </w:r>
            <w:r/>
          </w:p>
        </w:tc>
        <w:tc>
          <w:tcPr>
            <w:tcW w:w="4003" w:type="dxa"/>
            <w:gridSpan w:val="10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完成预算目标　</w:t>
            </w:r>
            <w:r/>
          </w:p>
        </w:tc>
      </w:tr>
      <w:tr>
        <w:trPr>
          <w:trHeight w:val="911" w:hRule="atLeast"/>
        </w:trPr>
        <w:tc>
          <w:tcPr>
            <w:tcW w:w="379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r/>
          </w:p>
          <w:p>
            <w:pPr>
              <w:spacing/>
              <w:jc w:val="center"/>
            </w:pPr>
            <w:r>
              <w:t>绩效</w:t>
            </w:r>
            <w:r/>
          </w:p>
          <w:p>
            <w:pPr>
              <w:spacing/>
              <w:jc w:val="center"/>
            </w:pPr>
            <w:r>
              <w:t>指标</w:t>
            </w: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>
              <w:t>绩效</w:t>
            </w:r>
            <w:r/>
          </w:p>
          <w:p>
            <w:pPr>
              <w:spacing/>
              <w:jc w:val="center"/>
            </w:pPr>
            <w:r>
              <w:t>指标</w:t>
            </w:r>
            <w:r/>
          </w:p>
          <w:p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</w:tc>
        <w:tc>
          <w:tcPr>
            <w:tcW w:w="400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一级</w:t>
            </w:r>
            <w:r/>
          </w:p>
          <w:p>
            <w:pPr>
              <w:spacing/>
              <w:jc w:val="center"/>
            </w:pPr>
            <w:r>
              <w:t>指标</w:t>
            </w:r>
            <w:r/>
          </w:p>
        </w:tc>
        <w:tc>
          <w:tcPr>
            <w:tcW w:w="583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二级</w:t>
            </w:r>
            <w:r/>
          </w:p>
          <w:p>
            <w:pPr>
              <w:spacing/>
              <w:jc w:val="center"/>
            </w:pPr>
            <w:r>
              <w:t>指标</w:t>
            </w:r>
            <w:r/>
          </w:p>
        </w:tc>
        <w:tc>
          <w:tcPr>
            <w:tcW w:w="649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三级</w:t>
            </w:r>
            <w:r/>
          </w:p>
          <w:p>
            <w:pPr>
              <w:spacing/>
              <w:jc w:val="center"/>
            </w:pPr>
            <w:r>
              <w:t>指标</w:t>
            </w:r>
            <w:r/>
          </w:p>
        </w:tc>
        <w:tc>
          <w:tcPr>
            <w:tcW w:w="1531" w:type="dxa"/>
            <w:gridSpan w:val="3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年度</w:t>
            </w:r>
            <w:r/>
          </w:p>
          <w:p>
            <w:pPr>
              <w:spacing/>
              <w:jc w:val="center"/>
            </w:pPr>
            <w:r>
              <w:t>目标值</w:t>
            </w:r>
            <w:r/>
          </w:p>
        </w:tc>
        <w:tc>
          <w:tcPr>
            <w:tcW w:w="566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全年</w:t>
            </w:r>
            <w:r/>
          </w:p>
          <w:p>
            <w:pPr>
              <w:spacing/>
              <w:jc w:val="center"/>
            </w:pPr>
            <w:r>
              <w:t>完成值</w:t>
            </w:r>
            <w:r/>
          </w:p>
        </w:tc>
        <w:tc>
          <w:tcPr>
            <w:tcW w:w="449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完成程度</w:t>
            </w:r>
            <w:r/>
          </w:p>
        </w:tc>
        <w:tc>
          <w:tcPr>
            <w:tcW w:w="358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分值</w:t>
            </w:r>
            <w:r/>
          </w:p>
        </w:tc>
        <w:tc>
          <w:tcPr>
            <w:tcW w:w="358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得分</w:t>
            </w:r>
            <w:r/>
          </w:p>
        </w:tc>
        <w:tc>
          <w:tcPr>
            <w:tcW w:w="3433" w:type="dxa"/>
            <w:gridSpan w:val="9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未完成原因分析</w:t>
            </w:r>
            <w:r>
              <w:rPr>
                <w:rFonts w:ascii="宋体" w:hAnsi="宋体" w:cs="宋体"/>
                <w:szCs w:val="21"/>
              </w:rPr>
            </w:r>
          </w:p>
          <w:p>
            <w:pPr>
              <w:spacing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（请在相应选项下划“√”并在原因说明中分项阐述）</w:t>
            </w:r>
            <w:r/>
          </w:p>
        </w:tc>
        <w:tc>
          <w:tcPr>
            <w:tcW w:w="570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改进</w:t>
            </w:r>
            <w:r/>
          </w:p>
          <w:p>
            <w:pPr>
              <w:spacing/>
              <w:jc w:val="center"/>
            </w:pPr>
            <w:r>
              <w:t>措施</w:t>
            </w:r>
            <w:r/>
          </w:p>
        </w:tc>
      </w:tr>
      <w:tr>
        <w:trPr>
          <w:trHeight w:val="312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4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7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运算</w:t>
            </w:r>
            <w:r/>
          </w:p>
          <w:p>
            <w:r>
              <w:t>符号</w:t>
            </w:r>
            <w:r/>
          </w:p>
        </w:tc>
        <w:tc>
          <w:tcPr>
            <w:tcW w:w="3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内容</w:t>
            </w:r>
            <w:r/>
          </w:p>
        </w:tc>
        <w:tc>
          <w:tcPr>
            <w:tcW w:w="432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度量单位</w:t>
            </w:r>
            <w:r/>
          </w:p>
        </w:tc>
        <w:tc>
          <w:tcPr>
            <w:tcW w:w="566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58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58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91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经费</w:t>
            </w:r>
            <w:r>
              <w:rPr>
                <w:rFonts w:ascii="宋体" w:hAnsi="宋体" w:cs="宋体"/>
                <w:szCs w:val="21"/>
              </w:rPr>
              <w:br w:type="textWrapping"/>
            </w:r>
            <w:r>
              <w:rPr>
                <w:rFonts w:ascii="宋体" w:hAnsi="宋体" w:cs="宋体" w:hint="eastAsia"/>
                <w:szCs w:val="21"/>
              </w:rPr>
              <w:t>保障</w:t>
            </w:r>
            <w:r/>
          </w:p>
        </w:tc>
        <w:tc>
          <w:tcPr>
            <w:tcW w:w="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制度</w:t>
            </w:r>
            <w:r>
              <w:rPr>
                <w:rFonts w:ascii="宋体" w:hAnsi="宋体" w:cs="宋体"/>
                <w:szCs w:val="21"/>
              </w:rPr>
              <w:br w:type="textWrapping"/>
            </w:r>
            <w:r>
              <w:rPr>
                <w:rFonts w:ascii="宋体" w:hAnsi="宋体" w:cs="宋体" w:hint="eastAsia"/>
                <w:szCs w:val="21"/>
              </w:rPr>
              <w:t>保障</w:t>
            </w:r>
            <w:r/>
          </w:p>
        </w:tc>
        <w:tc>
          <w:tcPr>
            <w:tcW w:w="648" w:type="dxa"/>
            <w:gridSpan w:val="2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人员</w:t>
            </w:r>
            <w:r>
              <w:rPr>
                <w:rFonts w:ascii="宋体" w:hAnsi="宋体" w:cs="宋体"/>
                <w:szCs w:val="21"/>
              </w:rPr>
              <w:br w:type="textWrapping"/>
            </w:r>
            <w:r>
              <w:rPr>
                <w:rFonts w:ascii="宋体" w:hAnsi="宋体" w:cs="宋体" w:hint="eastAsia"/>
                <w:szCs w:val="21"/>
              </w:rPr>
              <w:t>保障</w:t>
            </w:r>
            <w:r/>
          </w:p>
        </w:tc>
        <w:tc>
          <w:tcPr>
            <w:tcW w:w="547" w:type="dxa"/>
            <w:gridSpan w:val="2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硬件条件保障</w:t>
            </w:r>
            <w:r/>
          </w:p>
        </w:tc>
        <w:tc>
          <w:tcPr>
            <w:tcW w:w="496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其他</w:t>
            </w:r>
            <w:r/>
          </w:p>
        </w:tc>
        <w:tc>
          <w:tcPr>
            <w:tcW w:w="552" w:type="dxa"/>
            <w:gridSpan w:val="2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原因</w:t>
            </w:r>
            <w:r>
              <w:rPr>
                <w:rFonts w:ascii="宋体" w:hAnsi="宋体" w:cs="宋体"/>
                <w:szCs w:val="21"/>
              </w:rPr>
              <w:br w:type="textWrapping"/>
            </w:r>
            <w:r>
              <w:rPr>
                <w:rFonts w:ascii="宋体" w:hAnsi="宋体" w:cs="宋体" w:hint="eastAsia"/>
                <w:szCs w:val="21"/>
              </w:rPr>
              <w:t>说明</w:t>
            </w:r>
            <w:r/>
          </w:p>
        </w:tc>
        <w:tc>
          <w:tcPr>
            <w:tcW w:w="57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77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产出</w:t>
            </w:r>
            <w:r/>
          </w:p>
          <w:p>
            <w:pPr>
              <w:spacing/>
              <w:jc w:val="center"/>
            </w:pPr>
            <w:r>
              <w:t>指标</w:t>
            </w: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>
              <w:t>产出</w:t>
            </w:r>
            <w:r/>
          </w:p>
          <w:p>
            <w:pPr>
              <w:spacing/>
              <w:jc w:val="center"/>
            </w:pPr>
            <w:r>
              <w:t>指标</w:t>
            </w:r>
            <w:r/>
          </w:p>
        </w:tc>
        <w:tc>
          <w:tcPr>
            <w:tcW w:w="583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数量</w:t>
            </w:r>
            <w:r/>
          </w:p>
          <w:p>
            <w:pPr>
              <w:spacing/>
              <w:jc w:val="center"/>
            </w:pPr>
            <w:r>
              <w:t>指标</w:t>
            </w:r>
            <w:r/>
          </w:p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  <w:r/>
          </w:p>
        </w:tc>
        <w:tc>
          <w:tcPr>
            <w:tcW w:w="700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left"/>
              <w:widowControl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=</w:t>
            </w:r>
          </w:p>
          <w:p>
            <w:pPr>
              <w:spacing/>
              <w:jc w:val="left"/>
              <w:widowControl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=</w:t>
            </w:r>
          </w:p>
          <w:p>
            <w:pPr>
              <w:spacing/>
              <w:jc w:val="left"/>
              <w:widowControl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spacing/>
              <w:jc w:val="left"/>
              <w:widowControl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=</w:t>
            </w:r>
          </w:p>
          <w:p>
            <w:pPr>
              <w:spacing/>
              <w:jc w:val="left"/>
              <w:widowControl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spacing/>
              <w:jc w:val="left"/>
              <w:widowControl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spacing/>
              <w:jc w:val="left"/>
              <w:widowControl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spacing/>
              <w:jc w:val="left"/>
              <w:widowControl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spacing/>
              <w:jc w:val="left"/>
              <w:widowControl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spacing/>
              <w:jc w:val="left"/>
              <w:widowControl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spacing/>
              <w:jc w:val="left"/>
              <w:widowControl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spacing/>
              <w:jc w:val="left"/>
              <w:widowControl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spacing/>
              <w:jc w:val="left"/>
              <w:widowControl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spacing/>
              <w:jc w:val="left"/>
              <w:widowControl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spacing/>
              <w:jc w:val="left"/>
              <w:widowControl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spacing/>
              <w:jc w:val="left"/>
              <w:widowControl/>
              <w:rPr>
                <w:rFonts w:ascii="宋体" w:hAnsi="宋体"/>
                <w:szCs w:val="21"/>
              </w:rPr>
            </w:pPr>
            <w:r>
              <w:rPr>
                <w:rFonts w:ascii="仿宋_GB2312" w:hAnsi="仿宋_GB2312" w:eastAsia="仿宋_GB2312" w:cs="仿宋_GB2312" w:hint="eastAsia"/>
                <w:szCs w:val="21"/>
              </w:rPr>
              <w:t>“</w:t>
            </w:r>
            <w:r>
              <w:rPr>
                <w:rFonts w:ascii="仿宋_GB2312" w:hAnsi="仿宋_GB2312" w:eastAsia="仿宋_GB2312" w:cs="仿宋_GB2312"/>
                <w:szCs w:val="21"/>
              </w:rPr>
              <w:t>=</w:t>
            </w:r>
            <w:r>
              <w:rPr>
                <w:rFonts w:ascii="仿宋_GB2312" w:hAnsi="仿宋_GB2312" w:eastAsia="仿宋_GB2312" w:cs="仿宋_GB2312" w:hint="eastAsia"/>
                <w:szCs w:val="21"/>
              </w:rPr>
              <w:t>”“≤”“≥”“＜”“＞”</w:t>
            </w:r>
            <w:r>
              <w:rPr>
                <w:rFonts w:ascii="宋体" w:hAnsi="宋体"/>
                <w:szCs w:val="21"/>
              </w:rPr>
            </w:r>
          </w:p>
          <w:p>
            <w:pPr>
              <w:spacing/>
              <w:jc w:val="center"/>
            </w:pPr>
            <w:r/>
          </w:p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万元</w:t>
            </w: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04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万元</w:t>
            </w: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37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……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万元</w:t>
            </w: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34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质量</w:t>
            </w:r>
            <w:r/>
          </w:p>
          <w:p>
            <w:pPr>
              <w:spacing/>
              <w:jc w:val="center"/>
            </w:pPr>
            <w:r>
              <w:t>指标</w:t>
            </w:r>
            <w:r/>
          </w:p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27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70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……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54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时效</w:t>
            </w:r>
            <w:r/>
          </w:p>
          <w:p>
            <w:pPr>
              <w:spacing/>
              <w:jc w:val="center"/>
            </w:pPr>
            <w:r>
              <w:t>指标</w:t>
            </w:r>
            <w:r/>
          </w:p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504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87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……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54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成本</w:t>
            </w:r>
            <w:r/>
          </w:p>
          <w:p>
            <w:pPr>
              <w:spacing/>
              <w:jc w:val="center"/>
            </w:pPr>
            <w:r>
              <w:t>指标</w:t>
            </w:r>
            <w:r/>
          </w:p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71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37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……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96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效益</w:t>
            </w:r>
            <w:r/>
          </w:p>
          <w:p>
            <w:pPr>
              <w:spacing/>
              <w:jc w:val="center"/>
            </w:pPr>
            <w:r>
              <w:t>指标</w:t>
            </w:r>
            <w:r/>
          </w:p>
          <w:p>
            <w:pPr>
              <w:spacing/>
              <w:jc w:val="center"/>
            </w:pPr>
            <w:r/>
          </w:p>
        </w:tc>
        <w:tc>
          <w:tcPr>
            <w:tcW w:w="583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经济效益指标</w:t>
            </w:r>
            <w:r/>
          </w:p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81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254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……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62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社会效益指标</w:t>
            </w:r>
            <w:r/>
          </w:p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47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04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……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79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生态效益指标</w:t>
            </w:r>
            <w:r/>
          </w:p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87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37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……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504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可持续影响指标</w:t>
            </w:r>
            <w:r/>
          </w:p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71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54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……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95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满意度指标</w:t>
            </w:r>
            <w:r/>
          </w:p>
        </w:tc>
        <w:tc>
          <w:tcPr>
            <w:tcW w:w="583" w:type="dxa"/>
            <w:vMerge w:val="restart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服务对象满意度指标</w:t>
            </w:r>
            <w:r/>
          </w:p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 xml:space="preserve">　</w:t>
            </w: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04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344" w:hRule="atLeast"/>
        </w:trPr>
        <w:tc>
          <w:tcPr>
            <w:tcW w:w="379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00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83" w:type="dxa"/>
            <w:vMerge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widowControl/>
            </w:pPr>
            <w:r>
              <w:rPr>
                <w:rFonts w:ascii="宋体" w:hAnsi="宋体" w:cs="宋体" w:hint="eastAsia"/>
                <w:szCs w:val="21"/>
              </w:rPr>
              <w:t>……</w:t>
            </w:r>
            <w:r/>
          </w:p>
        </w:tc>
        <w:tc>
          <w:tcPr>
            <w:tcW w:w="700" w:type="dxa"/>
            <w:vMerge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32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6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4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358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1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99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648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47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496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52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  <w:tc>
          <w:tcPr>
            <w:tcW w:w="570" w:type="dxa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89" w:hRule="atLeast"/>
        </w:trPr>
        <w:tc>
          <w:tcPr>
            <w:tcW w:w="4557" w:type="dxa"/>
            <w:gridSpan w:val="9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产出、效益、满意度指标自评得分小计</w:t>
            </w:r>
            <w:r/>
          </w:p>
          <w:p>
            <w:pPr>
              <w:spacing/>
              <w:jc w:val="center"/>
            </w:pPr>
            <w:r>
              <w:t>（</w:t>
            </w:r>
            <w:r>
              <w:t>C</w:t>
            </w:r>
            <w:r>
              <w:t>）</w:t>
            </w:r>
            <w:r/>
          </w:p>
        </w:tc>
        <w:tc>
          <w:tcPr>
            <w:tcW w:w="716" w:type="dxa"/>
            <w:gridSpan w:val="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90</w:t>
            </w:r>
          </w:p>
        </w:tc>
        <w:tc>
          <w:tcPr>
            <w:tcW w:w="2385" w:type="dxa"/>
            <w:gridSpan w:val="6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预算执行率得分</w:t>
            </w:r>
            <w:r/>
          </w:p>
          <w:p>
            <w:pPr>
              <w:spacing/>
              <w:jc w:val="center"/>
            </w:pPr>
            <w:r>
              <w:t>（</w:t>
            </w:r>
            <w:r>
              <w:t>D</w:t>
            </w:r>
            <w:r>
              <w:t>）</w:t>
            </w:r>
            <w:r/>
          </w:p>
        </w:tc>
        <w:tc>
          <w:tcPr>
            <w:tcW w:w="1618" w:type="dxa"/>
            <w:gridSpan w:val="4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10</w:t>
            </w:r>
          </w:p>
        </w:tc>
      </w:tr>
      <w:tr>
        <w:trPr>
          <w:trHeight w:val="414" w:hRule="atLeast"/>
        </w:trPr>
        <w:tc>
          <w:tcPr>
            <w:tcW w:w="4557" w:type="dxa"/>
            <w:gridSpan w:val="9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绩效自评总得分（</w:t>
            </w:r>
            <w:r>
              <w:t>C+D</w:t>
            </w:r>
            <w:r>
              <w:t>）</w:t>
            </w:r>
            <w:r/>
          </w:p>
        </w:tc>
        <w:tc>
          <w:tcPr>
            <w:tcW w:w="4719" w:type="dxa"/>
            <w:gridSpan w:val="12"/>
            <w:vAlign w:val="center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100</w:t>
            </w:r>
          </w:p>
        </w:tc>
      </w:tr>
    </w:tbl>
    <w:p>
      <w:pPr>
        <w:spacing w:line="584" w:lineRule="exact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800" w:top="1440" w:right="1800" w:bottom="1440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宋体">
    <w:panose1 w:val="02010600030101010101"/>
    <w:charset w:val="86"/>
    <w:family w:val="auto"/>
    <w:pitch w:val="default"/>
  </w:font>
  <w:font w:name="等线">
    <w:panose1 w:val="02010600030101010101"/>
    <w:charset w:val="86"/>
    <w:family w:val="auto"/>
    <w:pitch w:val="default"/>
  </w:font>
  <w:font w:name="仿宋_GB2312">
    <w:panose1 w:val="02010609030101010101"/>
    <w:charset w:val="86"/>
    <w:family w:val="modern"/>
    <w:pitch w:val="default"/>
  </w:font>
  <w:font w:name="黑体">
    <w:panose1 w:val="02010609060101010101"/>
    <w:charset w:val="86"/>
    <w:family w:val="modern"/>
    <w:pitch w:val="default"/>
  </w:font>
  <w:font w:name="Cambria">
    <w:panose1 w:val="020405030504060A02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420"/>
  <w:autoHyphenation w:val="0"/>
  <w:doNotShadeFormData w:val="0"/>
  <w:captions>
    <w:caption w:name="表格" w:pos="below" w:numFmt="decimal"/>
    <w:caption w:name="图解" w:pos="below" w:numFmt="decimal"/>
    <w:caption w:name="图片" w:pos="below" w:numFmt="decimal"/>
  </w:captions>
  <w:drawingGridHorizontalSpacing w:val="0"/>
  <w:drawingGridVerticalSpacing w:val="156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ExpandShiftReturn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6609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498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AppRevision w:date="1660023643" w:val="694"/>
  </w:tmLastPo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宋体" w:cs="Times New Roman"/>
        <w:kern w:val="1"/>
        <w:sz w:val="21"/>
        <w:szCs w:val="24"/>
        <w:lang w:val="en-us" w:eastAsia="zh-cn" w:bidi="ar-sa"/>
      </w:rPr>
    </w:rPrDefault>
    <w:pPrDefault>
      <w:pPr>
        <w:spacing/>
        <w:jc w:val="both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pPr>
      <w:spacing w:before="340" w:after="330" w:line="576" w:lineRule="auto"/>
      <w:keepNext/>
      <w:outlineLvl w:val="0"/>
      <w:keepLines/>
    </w:pPr>
    <w:rPr>
      <w:rFonts w:ascii="等线" w:hAnsi="等线" w:eastAsia="等线" w:cs="Arial"/>
      <w:b/>
      <w:bCs/>
      <w:sz w:val="44"/>
      <w:szCs w:val="44"/>
    </w:rPr>
  </w:style>
  <w:style w:type="paragraph" w:styleId="()">
    <w:name w:val="Normal (Web)"/>
    <w:qFormat/>
    <w:basedOn w:val=""/>
    <w:pPr>
      <w:spacing w:before="100" w:after="100" w:beforeAutospacing="1" w:afterAutospacing="1"/>
      <w:jc w:val="left"/>
      <w:widowControl/>
    </w:pPr>
    <w:rPr>
      <w:rFonts w:ascii="宋体" w:hAnsi="宋体" w:cs="宋体"/>
      <w:sz w:val="24"/>
    </w:rPr>
  </w:style>
  <w:style w:type="paragraph" w:styleId="">
    <w:name w:val="Header"/>
    <w:qFormat/>
    <w:basedOn w:val=""/>
    <w:pPr>
      <w:spacing/>
      <w:jc w:val="center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">
    <w:name w:val="Footer"/>
    <w:qFormat/>
    <w:basedOn w:val=""/>
    <w:pPr>
      <w:spacing/>
      <w:jc w:val="left"/>
      <w:tabs>
        <w:tab w:val="center" w:pos="4153" w:leader="none"/>
        <w:tab w:val="right" w:pos="8306" w:leader="none"/>
      </w:tabs>
    </w:pPr>
    <w:rPr>
      <w:sz w:val="18"/>
    </w:rPr>
  </w:style>
  <w:style w:type="paragraph" w:styleId="">
    <w:name w:val="Body Text Indent"/>
    <w:qFormat/>
    <w:basedOn w:val=""/>
    <w:pPr>
      <w:ind w:firstLine="645"/>
    </w:pPr>
    <w:rPr>
      <w:rFonts w:ascii="仿宋_GB2312" w:hAnsi="仿宋_GB2312" w:eastAsia="仿宋_GB2312"/>
      <w:sz w:val="32"/>
      <w:szCs w:val="32"/>
    </w:rPr>
  </w:style>
  <w:style w:type="paragraph" w:styleId="">
    <w:name w:val="Balloon Text"/>
    <w:qFormat/>
    <w:basedOn w:val=""/>
    <w:rPr>
      <w:sz w:val="18"/>
      <w:szCs w:val="18"/>
    </w:rPr>
  </w:style>
  <w:style w:type="paragraph" w:styleId="NewNewNewNew" w:customStyle="1">
    <w:name w:val="正文 New New New New"/>
    <w:qFormat/>
    <w:rPr>
      <w:rFonts w:cs="黑体"/>
      <w:szCs w:val="22"/>
    </w:rPr>
  </w:style>
  <w:style w:type="paragraph" w:styleId="NewNewNew" w:customStyle="1">
    <w:name w:val="正文 New New New"/>
    <w:qFormat/>
    <w:pPr>
      <w:ind w:firstLine="640"/>
      <w:spacing w:line="580" w:lineRule="atLeast"/>
      <w:widowControl/>
    </w:pPr>
    <w:rPr>
      <w:rFonts w:ascii="仿宋_GB2312" w:hAnsi="仿宋_GB2312" w:eastAsia="仿宋_GB2312" w:cs="Arial"/>
      <w:sz w:val="28"/>
      <w:szCs w:val="28"/>
    </w:rPr>
  </w:style>
  <w:style w:type="character" w:styleId="" w:default="1">
    <w:name w:val="Default Paragraph Font"/>
    <w:rPr>
      <w:szCs w:val="22"/>
    </w:rPr>
  </w:style>
  <w:style w:type="character" w:styleId="Heading1Char" w:customStyle="1">
    <w:name w:val="Heading 1 Char"/>
    <w:basedOn w:val=""/>
    <w:rPr>
      <w:rFonts w:ascii="等线" w:hAnsi="等线" w:eastAsia="等线"/>
      <w:b/>
      <w:kern w:val="1"/>
      <w:sz w:val="44"/>
    </w:rPr>
  </w:style>
  <w:style w:type="character" w:styleId="HeaderChar" w:customStyle="1">
    <w:name w:val="Header Char"/>
    <w:basedOn w:val=""/>
    <w:rPr>
      <w:rFonts w:ascii="Times New Roman" w:hAnsi="Times New Roman" w:eastAsia="宋体"/>
      <w:sz w:val="18"/>
    </w:rPr>
  </w:style>
  <w:style w:type="character" w:styleId="FooterChar" w:customStyle="1">
    <w:name w:val="Footer Char"/>
    <w:basedOn w:val=""/>
    <w:rPr>
      <w:rFonts w:ascii="Times New Roman" w:hAnsi="Times New Roman" w:eastAsia="宋体"/>
      <w:sz w:val="24"/>
    </w:rPr>
  </w:style>
  <w:style w:type="character" w:styleId="BodyTextIndentChar" w:customStyle="1">
    <w:name w:val="Body Text Indent Char"/>
    <w:basedOn w:val=""/>
    <w:rPr>
      <w:rFonts w:ascii="仿宋_GB2312" w:hAnsi="仿宋_GB2312" w:eastAsia="仿宋_GB2312"/>
      <w:sz w:val="32"/>
    </w:rPr>
  </w:style>
  <w:style w:type="character" w:styleId="BalloonTextChar" w:customStyle="1">
    <w:name w:val="Balloon Text Char"/>
    <w:basedOn w:val=""/>
    <w:rPr>
      <w:rFonts w:ascii="Times New Roman" w:hAnsi="Times New Roman" w:eastAsia="宋体"/>
      <w:sz w:val="18"/>
    </w:rPr>
  </w:style>
  <w:style w:type="character" w:styleId="CommentReference1" w:customStyle="1">
    <w:name w:val="Comment Reference1"/>
    <w:rPr>
      <w:szCs w:val="22"/>
    </w:rPr>
  </w:style>
  <w:style w:type="character" w:styleId="font121" w:customStyle="1">
    <w:name w:val="font121"/>
    <w:rPr>
      <w:rFonts w:ascii="宋体" w:hAnsi="宋体"/>
      <w:sz w:val="24"/>
      <w:szCs w:val="22"/>
    </w:rPr>
  </w:style>
  <w:style w:type="character" w:styleId="font111" w:customStyle="1">
    <w:name w:val="font111"/>
    <w:rPr>
      <w:rFonts w:ascii="宋体" w:hAnsi="宋体"/>
      <w:sz w:val="32"/>
      <w:szCs w:val="22"/>
    </w:rPr>
  </w:style>
  <w:style w:type="character" w:styleId="font11" w:customStyle="1">
    <w:name w:val="font11"/>
    <w:rPr>
      <w:rFonts w:ascii="宋体" w:hAnsi="宋体"/>
      <w:b/>
      <w:sz w:val="32"/>
      <w:szCs w:val="22"/>
    </w:rPr>
  </w:style>
  <w:style w:type="character" w:styleId="font31" w:customStyle="1">
    <w:name w:val="font31"/>
    <w:rPr>
      <w:rFonts w:ascii="宋体" w:hAnsi="宋体"/>
      <w:sz w:val="32"/>
      <w:szCs w:val="22"/>
    </w:rPr>
  </w:style>
  <w:style w:type="character" w:styleId="font61" w:customStyle="1">
    <w:name w:val="font61"/>
    <w:rPr>
      <w:rFonts w:ascii="宋体" w:hAnsi="宋体"/>
      <w:sz w:val="1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宋体" w:cs="Times New Roman"/>
        <w:kern w:val="1"/>
        <w:sz w:val="21"/>
        <w:szCs w:val="24"/>
        <w:lang w:val="en-us" w:eastAsia="zh-cn" w:bidi="ar-sa"/>
      </w:rPr>
    </w:rPrDefault>
    <w:pPrDefault>
      <w:pPr>
        <w:spacing/>
        <w:jc w:val="both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pPr>
      <w:spacing w:before="340" w:after="330" w:line="576" w:lineRule="auto"/>
      <w:keepNext/>
      <w:outlineLvl w:val="0"/>
      <w:keepLines/>
    </w:pPr>
    <w:rPr>
      <w:rFonts w:ascii="等线" w:hAnsi="等线" w:eastAsia="等线" w:cs="Arial"/>
      <w:b/>
      <w:bCs/>
      <w:sz w:val="44"/>
      <w:szCs w:val="44"/>
    </w:rPr>
  </w:style>
  <w:style w:type="paragraph" w:styleId="()">
    <w:name w:val="Normal (Web)"/>
    <w:qFormat/>
    <w:basedOn w:val=""/>
    <w:pPr>
      <w:spacing w:before="100" w:after="100" w:beforeAutospacing="1" w:afterAutospacing="1"/>
      <w:jc w:val="left"/>
      <w:widowControl/>
    </w:pPr>
    <w:rPr>
      <w:rFonts w:ascii="宋体" w:hAnsi="宋体" w:cs="宋体"/>
      <w:sz w:val="24"/>
    </w:rPr>
  </w:style>
  <w:style w:type="paragraph" w:styleId="">
    <w:name w:val="Header"/>
    <w:qFormat/>
    <w:basedOn w:val=""/>
    <w:pPr>
      <w:spacing/>
      <w:jc w:val="center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">
    <w:name w:val="Footer"/>
    <w:qFormat/>
    <w:basedOn w:val=""/>
    <w:pPr>
      <w:spacing/>
      <w:jc w:val="left"/>
      <w:tabs>
        <w:tab w:val="center" w:pos="4153" w:leader="none"/>
        <w:tab w:val="right" w:pos="8306" w:leader="none"/>
      </w:tabs>
    </w:pPr>
    <w:rPr>
      <w:sz w:val="18"/>
    </w:rPr>
  </w:style>
  <w:style w:type="paragraph" w:styleId="">
    <w:name w:val="Body Text Indent"/>
    <w:qFormat/>
    <w:basedOn w:val=""/>
    <w:pPr>
      <w:ind w:firstLine="645"/>
    </w:pPr>
    <w:rPr>
      <w:rFonts w:ascii="仿宋_GB2312" w:hAnsi="仿宋_GB2312" w:eastAsia="仿宋_GB2312"/>
      <w:sz w:val="32"/>
      <w:szCs w:val="32"/>
    </w:rPr>
  </w:style>
  <w:style w:type="paragraph" w:styleId="">
    <w:name w:val="Balloon Text"/>
    <w:qFormat/>
    <w:basedOn w:val=""/>
    <w:rPr>
      <w:sz w:val="18"/>
      <w:szCs w:val="18"/>
    </w:rPr>
  </w:style>
  <w:style w:type="paragraph" w:styleId="NewNewNewNew" w:customStyle="1">
    <w:name w:val="正文 New New New New"/>
    <w:qFormat/>
    <w:rPr>
      <w:rFonts w:cs="黑体"/>
      <w:szCs w:val="22"/>
    </w:rPr>
  </w:style>
  <w:style w:type="paragraph" w:styleId="NewNewNew" w:customStyle="1">
    <w:name w:val="正文 New New New"/>
    <w:qFormat/>
    <w:pPr>
      <w:ind w:firstLine="640"/>
      <w:spacing w:line="580" w:lineRule="atLeast"/>
      <w:widowControl/>
    </w:pPr>
    <w:rPr>
      <w:rFonts w:ascii="仿宋_GB2312" w:hAnsi="仿宋_GB2312" w:eastAsia="仿宋_GB2312" w:cs="Arial"/>
      <w:sz w:val="28"/>
      <w:szCs w:val="28"/>
    </w:rPr>
  </w:style>
  <w:style w:type="character" w:styleId="" w:default="1">
    <w:name w:val="Default Paragraph Font"/>
    <w:rPr>
      <w:szCs w:val="22"/>
    </w:rPr>
  </w:style>
  <w:style w:type="character" w:styleId="Heading1Char" w:customStyle="1">
    <w:name w:val="Heading 1 Char"/>
    <w:basedOn w:val=""/>
    <w:rPr>
      <w:rFonts w:ascii="等线" w:hAnsi="等线" w:eastAsia="等线"/>
      <w:b/>
      <w:kern w:val="1"/>
      <w:sz w:val="44"/>
    </w:rPr>
  </w:style>
  <w:style w:type="character" w:styleId="HeaderChar" w:customStyle="1">
    <w:name w:val="Header Char"/>
    <w:basedOn w:val=""/>
    <w:rPr>
      <w:rFonts w:ascii="Times New Roman" w:hAnsi="Times New Roman" w:eastAsia="宋体"/>
      <w:sz w:val="18"/>
    </w:rPr>
  </w:style>
  <w:style w:type="character" w:styleId="FooterChar" w:customStyle="1">
    <w:name w:val="Footer Char"/>
    <w:basedOn w:val=""/>
    <w:rPr>
      <w:rFonts w:ascii="Times New Roman" w:hAnsi="Times New Roman" w:eastAsia="宋体"/>
      <w:sz w:val="24"/>
    </w:rPr>
  </w:style>
  <w:style w:type="character" w:styleId="BodyTextIndentChar" w:customStyle="1">
    <w:name w:val="Body Text Indent Char"/>
    <w:basedOn w:val=""/>
    <w:rPr>
      <w:rFonts w:ascii="仿宋_GB2312" w:hAnsi="仿宋_GB2312" w:eastAsia="仿宋_GB2312"/>
      <w:sz w:val="32"/>
    </w:rPr>
  </w:style>
  <w:style w:type="character" w:styleId="BalloonTextChar" w:customStyle="1">
    <w:name w:val="Balloon Text Char"/>
    <w:basedOn w:val=""/>
    <w:rPr>
      <w:rFonts w:ascii="Times New Roman" w:hAnsi="Times New Roman" w:eastAsia="宋体"/>
      <w:sz w:val="18"/>
    </w:rPr>
  </w:style>
  <w:style w:type="character" w:styleId="CommentReference1" w:customStyle="1">
    <w:name w:val="Comment Reference1"/>
    <w:rPr>
      <w:szCs w:val="22"/>
    </w:rPr>
  </w:style>
  <w:style w:type="character" w:styleId="font121" w:customStyle="1">
    <w:name w:val="font121"/>
    <w:rPr>
      <w:rFonts w:ascii="宋体" w:hAnsi="宋体"/>
      <w:sz w:val="24"/>
      <w:szCs w:val="22"/>
    </w:rPr>
  </w:style>
  <w:style w:type="character" w:styleId="font111" w:customStyle="1">
    <w:name w:val="font111"/>
    <w:rPr>
      <w:rFonts w:ascii="宋体" w:hAnsi="宋体"/>
      <w:sz w:val="32"/>
      <w:szCs w:val="22"/>
    </w:rPr>
  </w:style>
  <w:style w:type="character" w:styleId="font11" w:customStyle="1">
    <w:name w:val="font11"/>
    <w:rPr>
      <w:rFonts w:ascii="宋体" w:hAnsi="宋体"/>
      <w:b/>
      <w:sz w:val="32"/>
      <w:szCs w:val="22"/>
    </w:rPr>
  </w:style>
  <w:style w:type="character" w:styleId="font31" w:customStyle="1">
    <w:name w:val="font31"/>
    <w:rPr>
      <w:rFonts w:ascii="宋体" w:hAnsi="宋体"/>
      <w:sz w:val="32"/>
      <w:szCs w:val="22"/>
    </w:rPr>
  </w:style>
  <w:style w:type="character" w:styleId="font61" w:customStyle="1">
    <w:name w:val="font61"/>
    <w:rPr>
      <w:rFonts w:ascii="宋体" w:hAnsi="宋体"/>
      <w:sz w:val="1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等线"/>
        <a:ea typeface="等线"/>
        <a:cs typeface="Arial"/>
      </a:majorFont>
      <a:minorFont>
        <a:latin typeface="Times New Roman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附件4-3</dc:title>
  <dc:subject/>
  <dc:creator>社会保障科-赵南</dc:creator>
  <cp:keywords/>
  <dc:description/>
  <cp:lastModifiedBy/>
  <cp:revision>6</cp:revision>
  <dcterms:created xsi:type="dcterms:W3CDTF">2022-08-08T01:46:00Z</dcterms:created>
  <dcterms:modified xsi:type="dcterms:W3CDTF">2022-08-09T13:40:43Z</dcterms:modified>
</cp:coreProperties>
</file>