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rStyle w:val="6"/>
          <w:rFonts w:hint="eastAsia" w:ascii="方正小标宋简体" w:hAnsi="方正小标宋简体" w:eastAsia="方正小标宋简体" w:cs="方正小标宋简体"/>
          <w:b w:val="0"/>
          <w:color w:val="000000" w:themeColor="text1"/>
          <w:sz w:val="44"/>
          <w:szCs w:val="44"/>
          <w:lang w:val="en-US" w:eastAsia="zh-Hans"/>
          <w14:textFill>
            <w14:solidFill>
              <w14:schemeClr w14:val="tx1"/>
            </w14:solidFill>
          </w14:textFill>
        </w:rPr>
      </w:pPr>
      <w:r>
        <w:rPr>
          <w:rStyle w:val="6"/>
          <w:rFonts w:hint="eastAsia" w:ascii="方正小标宋简体" w:hAnsi="方正小标宋简体" w:eastAsia="方正小标宋简体" w:cs="方正小标宋简体"/>
          <w:b w:val="0"/>
          <w:color w:val="000000" w:themeColor="text1"/>
          <w:sz w:val="44"/>
          <w:szCs w:val="44"/>
          <w:lang w:val="en-US" w:eastAsia="zh-Hans"/>
          <w14:textFill>
            <w14:solidFill>
              <w14:schemeClr w14:val="tx1"/>
            </w14:solidFill>
          </w14:textFill>
        </w:rPr>
        <w:t>征求意见稿解读</w:t>
      </w:r>
    </w:p>
    <w:p>
      <w:pPr>
        <w:ind w:firstLine="640" w:firstLineChars="200"/>
        <w:rPr>
          <w:rStyle w:val="6"/>
          <w:rFonts w:hint="eastAsia" w:ascii="仿宋_GB2312" w:hAnsi="黑体" w:eastAsia="仿宋_GB2312"/>
          <w:b w:val="0"/>
          <w:color w:val="000000" w:themeColor="text1"/>
          <w:sz w:val="32"/>
          <w:szCs w:val="32"/>
          <w:lang w:val="en-US" w:eastAsia="zh-Hans"/>
          <w14:textFill>
            <w14:solidFill>
              <w14:schemeClr w14:val="tx1"/>
            </w14:solidFill>
          </w14:textFill>
        </w:rPr>
      </w:pPr>
    </w:p>
    <w:p>
      <w:pPr>
        <w:ind w:firstLine="640" w:firstLineChars="200"/>
        <w:rPr>
          <w:rStyle w:val="6"/>
          <w:rFonts w:hint="default" w:ascii="仿宋_GB2312" w:hAnsi="黑体" w:eastAsia="仿宋_GB2312"/>
          <w:b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Style w:val="6"/>
          <w:rFonts w:hint="eastAsia" w:ascii="仿宋_GB2312" w:hAnsi="黑体" w:eastAsia="仿宋_GB2312"/>
          <w:b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现将</w:t>
      </w:r>
      <w:r>
        <w:rPr>
          <w:rStyle w:val="6"/>
          <w:rFonts w:hint="default" w:ascii="仿宋_GB2312" w:hAnsi="黑体" w:eastAsia="仿宋_GB2312"/>
          <w:b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《</w:t>
      </w:r>
      <w:r>
        <w:rPr>
          <w:rStyle w:val="6"/>
          <w:rFonts w:hint="eastAsia" w:ascii="仿宋_GB2312" w:hAnsi="黑体" w:eastAsia="仿宋_GB2312"/>
          <w:b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抚顺市营商环境建设“十四五”规划</w:t>
      </w:r>
      <w:r>
        <w:rPr>
          <w:rStyle w:val="6"/>
          <w:rFonts w:hint="default" w:ascii="仿宋_GB2312" w:hAnsi="黑体" w:eastAsia="仿宋_GB2312"/>
          <w:b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》</w:t>
      </w:r>
      <w:r>
        <w:rPr>
          <w:rStyle w:val="6"/>
          <w:rFonts w:hint="eastAsia" w:ascii="仿宋_GB2312" w:hAnsi="黑体" w:eastAsia="仿宋_GB2312"/>
          <w:b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解读</w:t>
      </w:r>
      <w:r>
        <w:rPr>
          <w:rStyle w:val="6"/>
          <w:rFonts w:hint="default" w:ascii="仿宋_GB2312" w:hAnsi="黑体" w:eastAsia="仿宋_GB2312"/>
          <w:b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如下</w:t>
      </w:r>
      <w:r>
        <w:rPr>
          <w:rStyle w:val="6"/>
          <w:rFonts w:hint="eastAsia" w:ascii="仿宋_GB2312" w:hAnsi="黑体" w:eastAsia="仿宋_GB2312"/>
          <w:b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：</w:t>
      </w:r>
    </w:p>
    <w:p>
      <w:pPr>
        <w:rPr>
          <w:rStyle w:val="6"/>
          <w:rFonts w:hint="eastAsia" w:ascii="仿宋_GB2312" w:hAnsi="黑体" w:eastAsia="仿宋_GB2312"/>
          <w:b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Style w:val="6"/>
          <w:rFonts w:hint="default" w:ascii="仿宋_GB2312" w:hAnsi="黑体" w:eastAsia="仿宋_GB2312"/>
          <w:b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  <w:r>
        <w:rPr>
          <w:rStyle w:val="6"/>
          <w:rFonts w:hint="eastAsia" w:ascii="黑体" w:hAnsi="黑体" w:eastAsia="黑体" w:cs="黑体"/>
          <w:b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</w:t>
      </w:r>
      <w:r>
        <w:rPr>
          <w:rStyle w:val="6"/>
          <w:rFonts w:hint="eastAsia" w:ascii="黑体" w:hAnsi="黑体" w:eastAsia="黑体" w:cs="黑体"/>
          <w:b w:val="0"/>
          <w:color w:val="000000" w:themeColor="text1"/>
          <w:sz w:val="32"/>
          <w:szCs w:val="32"/>
          <w:lang w:val="en-US" w:eastAsia="zh-Hans"/>
          <w14:textFill>
            <w14:solidFill>
              <w14:schemeClr w14:val="tx1"/>
            </w14:solidFill>
          </w14:textFill>
        </w:rPr>
        <w:t>一</w:t>
      </w:r>
      <w:r>
        <w:rPr>
          <w:rStyle w:val="6"/>
          <w:rFonts w:hint="eastAsia" w:ascii="黑体" w:hAnsi="黑体" w:eastAsia="黑体" w:cs="黑体"/>
          <w:b w:val="0"/>
          <w:color w:val="000000" w:themeColor="text1"/>
          <w:sz w:val="32"/>
          <w:szCs w:val="32"/>
          <w:lang w:eastAsia="zh-Hans"/>
          <w14:textFill>
            <w14:solidFill>
              <w14:schemeClr w14:val="tx1"/>
            </w14:solidFill>
          </w14:textFill>
        </w:rPr>
        <w:t>、</w:t>
      </w:r>
      <w:r>
        <w:rPr>
          <w:rStyle w:val="6"/>
          <w:rFonts w:hint="eastAsia" w:ascii="黑体" w:hAnsi="黑体" w:eastAsia="黑体" w:cs="黑体"/>
          <w:b w:val="0"/>
          <w:color w:val="000000" w:themeColor="text1"/>
          <w:sz w:val="32"/>
          <w:szCs w:val="32"/>
          <w:lang w:val="en-US" w:eastAsia="zh-Hans"/>
          <w14:textFill>
            <w14:solidFill>
              <w14:schemeClr w14:val="tx1"/>
            </w14:solidFill>
          </w14:textFill>
        </w:rPr>
        <w:t>制定依据</w:t>
      </w:r>
    </w:p>
    <w:p>
      <w:pPr>
        <w:ind w:firstLine="640" w:firstLineChars="200"/>
        <w:rPr>
          <w:rStyle w:val="6"/>
          <w:rFonts w:hint="eastAsia" w:ascii="仿宋_GB2312" w:hAnsi="黑体" w:eastAsia="仿宋_GB2312"/>
          <w:b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微软雅黑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根据全市“十四五”规划编制工作总体部署，从2020年初，市营商局就着手进行《规划》的编制工作，通过前期文献查询、与我市相关部门和企业家座谈、与省营商局定期联系获取相关基础材料。在认真</w:t>
      </w:r>
      <w:r>
        <w:rPr>
          <w:rFonts w:hint="eastAsia" w:ascii="仿宋_GB2312" w:hAnsi="微软雅黑" w:eastAsia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对照世界银行和国家发改委营商环境评价指标体系的基础上，</w:t>
      </w:r>
      <w:r>
        <w:rPr>
          <w:rFonts w:hint="eastAsia" w:ascii="仿宋_GB2312" w:hAnsi="微软雅黑" w:eastAsia="仿宋_GB2312"/>
          <w:color w:val="000000" w:themeColor="text1"/>
          <w:sz w:val="32"/>
          <w:szCs w:val="32"/>
          <w:shd w:val="clear" w:color="auto" w:fill="FFFFFF"/>
          <w:lang w:val="en-US" w:eastAsia="zh-Hans"/>
          <w14:textFill>
            <w14:solidFill>
              <w14:schemeClr w14:val="tx1"/>
            </w14:solidFill>
          </w14:textFill>
        </w:rPr>
        <w:t>参考</w:t>
      </w:r>
      <w:r>
        <w:rPr>
          <w:rFonts w:hint="eastAsia" w:ascii="仿宋_GB2312" w:hAnsi="微软雅黑" w:eastAsia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《辽宁省营商环境建设行动方案（2021—2025年）》</w:t>
      </w:r>
      <w:r>
        <w:rPr>
          <w:rFonts w:hint="default" w:ascii="仿宋_GB2312" w:hAnsi="微软雅黑" w:eastAsia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，</w:t>
      </w:r>
      <w:r>
        <w:rPr>
          <w:rStyle w:val="6"/>
          <w:rFonts w:hint="eastAsia" w:ascii="仿宋_GB2312" w:hAnsi="黑体" w:eastAsia="仿宋_GB2312"/>
          <w:b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制定本规划。</w:t>
      </w:r>
    </w:p>
    <w:p>
      <w:pPr>
        <w:spacing w:line="560" w:lineRule="exact"/>
        <w:ind w:firstLine="645"/>
        <w:jc w:val="left"/>
        <w:rPr>
          <w:rFonts w:ascii="黑体" w:hAnsi="黑体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二、基本框架和主要内容</w:t>
      </w:r>
    </w:p>
    <w:p>
      <w:pPr>
        <w:spacing w:line="560" w:lineRule="exact"/>
        <w:ind w:firstLine="640" w:firstLineChars="200"/>
        <w:rPr>
          <w:rFonts w:ascii="仿宋_GB2312" w:hAnsi="仿宋" w:eastAsia="仿宋_GB2312" w:cs="仿宋_GB2312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仿宋_GB2312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《规划》正文共4个部分。</w:t>
      </w:r>
    </w:p>
    <w:p>
      <w:pPr>
        <w:spacing w:line="560" w:lineRule="exact"/>
        <w:ind w:firstLine="640" w:firstLineChars="200"/>
        <w:rPr>
          <w:rFonts w:ascii="仿宋_GB2312" w:hAnsi="仿宋" w:eastAsia="仿宋_GB2312" w:cs="仿宋_GB2312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仿宋_GB2312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第一部分是“十三五”时期我市营商环境发展回顾，主要阐述“十三五”时期我市营商环境建设取得的成就和存在的突出问题、短板。</w:t>
      </w:r>
    </w:p>
    <w:p>
      <w:pPr>
        <w:spacing w:line="560" w:lineRule="exact"/>
        <w:ind w:firstLine="640" w:firstLineChars="200"/>
        <w:rPr>
          <w:rFonts w:ascii="仿宋_GB2312" w:hAnsi="仿宋" w:eastAsia="仿宋_GB2312" w:cs="仿宋_GB2312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仿宋_GB2312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第二部分是“十四五”时期我市营商环境建设的总体思路，主要阐述《规划》编制的依据、到“十四五”末期营商环境建设的主要目标、到2035年我市营商环境建设的远景目标、“十四五”时期营商环境建设的指导思想、遵循的基本原则。</w:t>
      </w:r>
    </w:p>
    <w:p>
      <w:pPr>
        <w:spacing w:line="560" w:lineRule="exact"/>
        <w:ind w:firstLine="640" w:firstLineChars="200"/>
        <w:rPr>
          <w:rFonts w:ascii="仿宋_GB2312" w:hAnsi="仿宋" w:eastAsia="仿宋_GB2312" w:cs="仿宋_GB2312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仿宋_GB2312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第三部分是“十四五”时期我市营商环境建设的主要任务，总体上按照省委、省政府要求打造“办事方便、法治良好、成本竞争力强、生态宜居”营商环境的内涵来组织，全面覆盖了世界银行和国家发改委18项营商环境评价指标及国家、省、市关于深化“放管服”改革、优化营商环境的最新要求，充分借鉴吸收了发达省、市优化营商环境的创新举措，分为4个领域提出16个方面重点任务，并作出具体工作部署。</w:t>
      </w:r>
    </w:p>
    <w:p>
      <w:pPr>
        <w:spacing w:line="560" w:lineRule="exact"/>
        <w:ind w:firstLine="640" w:firstLineChars="200"/>
        <w:rPr>
          <w:rFonts w:ascii="仿宋_GB2312" w:hAnsi="仿宋" w:eastAsia="仿宋_GB2312" w:cs="仿宋_GB2312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仿宋_GB2312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第四部分是保障措施，主要阐述提高思想认识、强化技术保障、加强组织领导等内容。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三、工作亮点</w:t>
      </w:r>
    </w:p>
    <w:p>
      <w:pPr>
        <w:spacing w:line="600" w:lineRule="exact"/>
        <w:ind w:firstLine="640" w:firstLineChars="200"/>
        <w:rPr>
          <w:rStyle w:val="6"/>
          <w:rFonts w:hint="eastAsia" w:ascii="仿宋_GB2312" w:hAnsi="黑体" w:eastAsia="仿宋_GB2312"/>
          <w:b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Style w:val="6"/>
          <w:rFonts w:hint="eastAsia" w:ascii="仿宋_GB2312" w:hAnsi="黑体" w:eastAsia="仿宋_GB2312"/>
          <w:b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市委、市政府高度重视营商环境建设，始终坚持以习近平新时代中国特色社会主义思想为指导，深入落实习近平总书记2018年9月28日在深入推进东北振兴座谈会上的重要讲话精神，全面贯彻党的十八大、十九大和十九届历次全会精神，贯彻实施《优化营商环境条例》《辽宁省优化营商环境条例》，营商环境得到了持续优化，取得了明显成效，有力支撑了全市经济社会发展。</w:t>
      </w:r>
    </w:p>
    <w:p>
      <w:pPr>
        <w:spacing w:line="600" w:lineRule="exact"/>
        <w:rPr>
          <w:rStyle w:val="6"/>
          <w:rFonts w:hint="eastAsia" w:ascii="仿宋_GB2312" w:hAnsi="黑体" w:eastAsia="仿宋_GB2312"/>
          <w:b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bookmarkStart w:id="0" w:name="_GoBack"/>
      <w:bookmarkEnd w:id="0"/>
    </w:p>
    <w:p>
      <w:pPr>
        <w:ind w:firstLine="640" w:firstLineChars="200"/>
        <w:rPr>
          <w:rStyle w:val="6"/>
          <w:rFonts w:hint="eastAsia" w:ascii="仿宋_GB2312" w:hAnsi="黑体" w:eastAsia="仿宋_GB2312"/>
          <w:b w:val="0"/>
          <w:color w:val="000000" w:themeColor="text1"/>
          <w:sz w:val="32"/>
          <w:szCs w:val="32"/>
          <w:lang w:val="en-US" w:eastAsia="zh-Hans"/>
          <w14:textFill>
            <w14:solidFill>
              <w14:schemeClr w14:val="tx1"/>
            </w14:solidFill>
          </w14:textFill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VhNWYyNTUzZjk1ZmNhZGI3ZTM5MGI5NjdjNGQ2YWEifQ=="/>
  </w:docVars>
  <w:rsids>
    <w:rsidRoot w:val="EFDD2AD4"/>
    <w:rsid w:val="3714696A"/>
    <w:rsid w:val="677F2B14"/>
    <w:rsid w:val="6FFF93EA"/>
    <w:rsid w:val="EFDD2AD4"/>
    <w:rsid w:val="EFF9493B"/>
    <w:rsid w:val="F4ED0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240" w:lineRule="exact"/>
      <w:jc w:val="center"/>
      <w:outlineLvl w:val="0"/>
    </w:pPr>
    <w:rPr>
      <w:rFonts w:eastAsia="方正小标宋简体" w:asciiTheme="minorAscii" w:hAnsiTheme="minorAscii"/>
      <w:b/>
      <w:kern w:val="44"/>
      <w:sz w:val="44"/>
      <w:szCs w:val="22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next w:val="1"/>
    <w:qFormat/>
    <w:uiPriority w:val="0"/>
    <w:rPr>
      <w:sz w:val="44"/>
    </w:rPr>
  </w:style>
  <w:style w:type="character" w:styleId="6">
    <w:name w:val="Strong"/>
    <w:basedOn w:val="5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760</Words>
  <Characters>778</Characters>
  <Lines>0</Lines>
  <Paragraphs>0</Paragraphs>
  <TotalTime>0</TotalTime>
  <ScaleCrop>false</ScaleCrop>
  <LinksUpToDate>false</LinksUpToDate>
  <CharactersWithSpaces>782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2022-05-31T15:51:00Z</dcterms:created>
  <dc:creator>chencong</dc:creator>
  <cp:lastModifiedBy>Administrator</cp:lastModifiedBy>
  <dcterms:modified xsi:type="dcterms:W3CDTF">2022-06-02T01:59:33Z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320978E47A3545E6B7032FE8E83B1A39</vt:lpwstr>
  </property>
</Properties>
</file>