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A9106">
      <w:pPr>
        <w:rPr>
          <w:rFonts w:hint="eastAsia" w:ascii="方正小标宋简体" w:hAnsi="方正小标宋简体" w:eastAsia="方正小标宋简体" w:cs="方正小标宋简体"/>
          <w:b w:val="0"/>
          <w:bCs w:val="0"/>
          <w:color w:val="auto"/>
          <w:sz w:val="44"/>
          <w:szCs w:val="44"/>
          <w:lang w:eastAsia="zh-CN"/>
        </w:rPr>
      </w:pPr>
    </w:p>
    <w:p w14:paraId="000B01BB">
      <w:pPr>
        <w:rPr>
          <w:rFonts w:hint="eastAsia" w:ascii="方正小标宋简体" w:hAnsi="方正小标宋简体" w:eastAsia="方正小标宋简体" w:cs="方正小标宋简体"/>
          <w:b w:val="0"/>
          <w:bCs w:val="0"/>
          <w:color w:val="auto"/>
          <w:sz w:val="44"/>
          <w:szCs w:val="44"/>
          <w:lang w:eastAsia="zh-CN"/>
        </w:rPr>
      </w:pPr>
    </w:p>
    <w:p w14:paraId="7E55D3A0">
      <w:pPr>
        <w:rPr>
          <w:rFonts w:hint="eastAsia" w:ascii="方正小标宋简体" w:hAnsi="方正小标宋简体" w:eastAsia="方正小标宋简体" w:cs="方正小标宋简体"/>
          <w:b w:val="0"/>
          <w:bCs w:val="0"/>
          <w:color w:val="auto"/>
          <w:sz w:val="44"/>
          <w:szCs w:val="44"/>
          <w:lang w:eastAsia="zh-CN"/>
        </w:rPr>
      </w:pPr>
    </w:p>
    <w:p w14:paraId="7C824B7D">
      <w:pPr>
        <w:rPr>
          <w:rFonts w:hint="eastAsia" w:ascii="方正小标宋简体" w:hAnsi="方正小标宋简体" w:eastAsia="方正小标宋简体" w:cs="方正小标宋简体"/>
          <w:b w:val="0"/>
          <w:bCs w:val="0"/>
          <w:color w:val="auto"/>
          <w:sz w:val="44"/>
          <w:szCs w:val="44"/>
          <w:lang w:eastAsia="zh-CN"/>
        </w:rPr>
      </w:pPr>
    </w:p>
    <w:p w14:paraId="0E24E41C">
      <w:pPr>
        <w:rPr>
          <w:rFonts w:hint="eastAsia" w:ascii="方正小标宋简体" w:hAnsi="方正小标宋简体" w:eastAsia="方正小标宋简体" w:cs="方正小标宋简体"/>
          <w:b w:val="0"/>
          <w:bCs w:val="0"/>
          <w:color w:val="auto"/>
          <w:sz w:val="44"/>
          <w:szCs w:val="44"/>
          <w:lang w:eastAsia="zh-CN"/>
        </w:rPr>
      </w:pPr>
    </w:p>
    <w:p w14:paraId="25772467">
      <w:pPr>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抚顺市政府办公室机关综合服务中心</w:t>
      </w:r>
    </w:p>
    <w:p w14:paraId="43A1AD35">
      <w:pPr>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val="en-US" w:eastAsia="zh-CN"/>
        </w:rPr>
        <w:t>2025年度部门预算</w:t>
      </w:r>
    </w:p>
    <w:p w14:paraId="53AED9EF">
      <w:pPr>
        <w:pStyle w:val="6"/>
        <w:spacing w:before="0" w:beforeAutospacing="0" w:after="0" w:afterAutospacing="0"/>
        <w:jc w:val="center"/>
        <w:rPr>
          <w:rFonts w:hint="eastAsia" w:ascii="方正小标宋简体" w:hAnsi="方正小标宋简体" w:eastAsia="方正小标宋简体" w:cs="方正小标宋简体"/>
          <w:b w:val="0"/>
          <w:bCs w:val="0"/>
          <w:color w:val="auto"/>
          <w:sz w:val="44"/>
          <w:szCs w:val="44"/>
          <w:lang w:eastAsia="zh-CN"/>
        </w:rPr>
        <w:sectPr>
          <w:pgSz w:w="11906" w:h="16838"/>
          <w:pgMar w:top="1440" w:right="1800" w:bottom="1440" w:left="1800" w:header="851" w:footer="992" w:gutter="0"/>
          <w:pgNumType w:fmt="decimal" w:start="1"/>
          <w:cols w:space="425" w:num="1"/>
          <w:docGrid w:type="lines" w:linePitch="312" w:charSpace="0"/>
        </w:sectPr>
      </w:pPr>
    </w:p>
    <w:p w14:paraId="25D1E3C9">
      <w:pPr>
        <w:pStyle w:val="6"/>
        <w:spacing w:before="0" w:beforeAutospacing="0" w:after="0" w:afterAutospacing="0"/>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目</w:t>
      </w:r>
      <w:r>
        <w:rPr>
          <w:rFonts w:hint="eastAsia" w:ascii="方正小标宋简体" w:hAnsi="方正小标宋简体" w:eastAsia="方正小标宋简体" w:cs="方正小标宋简体"/>
          <w:b w:val="0"/>
          <w:bCs w:val="0"/>
          <w:color w:val="auto"/>
          <w:sz w:val="44"/>
          <w:szCs w:val="44"/>
          <w:lang w:val="en-US" w:eastAsia="zh-CN"/>
        </w:rPr>
        <w:t xml:space="preserve">      </w:t>
      </w:r>
      <w:r>
        <w:rPr>
          <w:rFonts w:hint="eastAsia" w:ascii="方正小标宋简体" w:hAnsi="方正小标宋简体" w:eastAsia="方正小标宋简体" w:cs="方正小标宋简体"/>
          <w:b w:val="0"/>
          <w:bCs w:val="0"/>
          <w:color w:val="auto"/>
          <w:sz w:val="44"/>
          <w:szCs w:val="44"/>
          <w:lang w:eastAsia="zh-CN"/>
        </w:rPr>
        <w:t>录</w:t>
      </w:r>
    </w:p>
    <w:p w14:paraId="2152D5C0">
      <w:pPr>
        <w:pStyle w:val="6"/>
        <w:spacing w:before="0" w:beforeAutospacing="0" w:after="0" w:afterAutospacing="0"/>
        <w:jc w:val="both"/>
        <w:rPr>
          <w:rFonts w:hint="eastAsia" w:ascii="黑体" w:hAnsi="黑体" w:eastAsia="黑体" w:cs="黑体"/>
          <w:b w:val="0"/>
          <w:bCs w:val="0"/>
          <w:color w:val="auto"/>
          <w:sz w:val="32"/>
          <w:szCs w:val="32"/>
        </w:rPr>
      </w:pPr>
    </w:p>
    <w:p w14:paraId="500B2F8E">
      <w:pPr>
        <w:pStyle w:val="6"/>
        <w:spacing w:before="0" w:beforeAutospacing="0" w:after="0" w:afterAutospacing="0"/>
        <w:jc w:val="both"/>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第一部分</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eastAsia="zh-CN"/>
        </w:rPr>
        <w:t>部门预算公开管理文件</w:t>
      </w:r>
    </w:p>
    <w:p w14:paraId="542816C3">
      <w:pPr>
        <w:pStyle w:val="6"/>
        <w:spacing w:before="0" w:beforeAutospacing="0" w:after="0" w:afterAutospacing="0"/>
        <w:ind w:left="640" w:hanging="640" w:hangingChars="200"/>
        <w:jc w:val="both"/>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二</w:t>
      </w:r>
      <w:r>
        <w:rPr>
          <w:rFonts w:hint="eastAsia" w:ascii="黑体" w:hAnsi="黑体" w:eastAsia="黑体" w:cs="黑体"/>
          <w:b w:val="0"/>
          <w:bCs w:val="0"/>
          <w:color w:val="auto"/>
          <w:sz w:val="32"/>
          <w:szCs w:val="32"/>
        </w:rPr>
        <w:t>部分</w:t>
      </w:r>
      <w:r>
        <w:rPr>
          <w:rFonts w:hint="eastAsia" w:ascii="黑体" w:hAnsi="黑体" w:eastAsia="黑体" w:cs="黑体"/>
          <w:b w:val="0"/>
          <w:bCs w:val="0"/>
          <w:color w:val="auto"/>
          <w:sz w:val="32"/>
          <w:szCs w:val="32"/>
          <w:lang w:val="en-US" w:eastAsia="zh-CN"/>
        </w:rPr>
        <w:t xml:space="preserve">    抚顺市政府办公室机关综合服务中心</w:t>
      </w:r>
      <w:r>
        <w:rPr>
          <w:rFonts w:hint="eastAsia" w:ascii="黑体" w:hAnsi="黑体" w:eastAsia="黑体" w:cs="黑体"/>
          <w:b w:val="0"/>
          <w:bCs w:val="0"/>
          <w:color w:val="auto"/>
          <w:sz w:val="32"/>
          <w:szCs w:val="32"/>
        </w:rPr>
        <w:t>概况</w:t>
      </w:r>
    </w:p>
    <w:p w14:paraId="7C58742F">
      <w:pPr>
        <w:pStyle w:val="6"/>
        <w:spacing w:before="0" w:beforeAutospacing="0" w:after="0" w:afterAutospacing="0"/>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一、部门</w:t>
      </w:r>
      <w:r>
        <w:rPr>
          <w:rFonts w:hint="eastAsia" w:ascii="仿宋" w:hAnsi="仿宋" w:eastAsia="仿宋" w:cs="仿宋"/>
          <w:color w:val="auto"/>
          <w:sz w:val="32"/>
          <w:szCs w:val="32"/>
          <w:lang w:eastAsia="zh-CN"/>
        </w:rPr>
        <w:t>职责</w:t>
      </w:r>
    </w:p>
    <w:p w14:paraId="4E932B87">
      <w:pPr>
        <w:pStyle w:val="6"/>
        <w:spacing w:before="0" w:beforeAutospacing="0" w:after="0" w:afterAutospacing="0"/>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机构设置</w:t>
      </w:r>
    </w:p>
    <w:p w14:paraId="4155B392">
      <w:pPr>
        <w:pStyle w:val="6"/>
        <w:spacing w:before="0" w:beforeAutospacing="0" w:after="0" w:afterAutospacing="0"/>
        <w:jc w:val="both"/>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rPr>
        <w:t>第三部分</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202</w:t>
      </w:r>
      <w:r>
        <w:rPr>
          <w:rFonts w:hint="eastAsia" w:ascii="黑体" w:hAnsi="黑体" w:eastAsia="黑体" w:cs="黑体"/>
          <w:b w:val="0"/>
          <w:bCs w:val="0"/>
          <w:color w:val="auto"/>
          <w:sz w:val="32"/>
          <w:szCs w:val="32"/>
          <w:lang w:val="en-US" w:eastAsia="zh-CN"/>
        </w:rPr>
        <w:t>5</w:t>
      </w:r>
      <w:r>
        <w:rPr>
          <w:rFonts w:hint="eastAsia" w:ascii="黑体" w:hAnsi="黑体" w:eastAsia="黑体" w:cs="黑体"/>
          <w:b w:val="0"/>
          <w:bCs w:val="0"/>
          <w:color w:val="auto"/>
          <w:sz w:val="32"/>
          <w:szCs w:val="32"/>
        </w:rPr>
        <w:t>年部门预算情况</w:t>
      </w:r>
      <w:r>
        <w:rPr>
          <w:rFonts w:hint="eastAsia" w:ascii="黑体" w:hAnsi="黑体" w:eastAsia="黑体" w:cs="黑体"/>
          <w:b w:val="0"/>
          <w:bCs w:val="0"/>
          <w:color w:val="auto"/>
          <w:sz w:val="32"/>
          <w:szCs w:val="32"/>
          <w:lang w:eastAsia="zh-CN"/>
        </w:rPr>
        <w:t>说明</w:t>
      </w:r>
    </w:p>
    <w:p w14:paraId="5D47840C">
      <w:pPr>
        <w:pStyle w:val="6"/>
        <w:keepNext w:val="0"/>
        <w:keepLines w:val="0"/>
        <w:pageBreakBefore w:val="0"/>
        <w:widowControl/>
        <w:kinsoku/>
        <w:wordWrap/>
        <w:overflowPunct/>
        <w:topLinePunct w:val="0"/>
        <w:autoSpaceDE/>
        <w:autoSpaceDN/>
        <w:bidi w:val="0"/>
        <w:adjustRightInd/>
        <w:snapToGrid/>
        <w:spacing w:before="0" w:beforeAutospacing="0" w:after="0" w:afterAutospacing="0"/>
        <w:jc w:val="both"/>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第四部分</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名词解释</w:t>
      </w:r>
      <w:r>
        <w:rPr>
          <w:rFonts w:hint="eastAsia" w:ascii="黑体" w:hAnsi="黑体" w:eastAsia="黑体" w:cs="黑体"/>
          <w:b w:val="0"/>
          <w:bCs w:val="0"/>
          <w:color w:val="auto"/>
          <w:sz w:val="32"/>
          <w:szCs w:val="32"/>
        </w:rPr>
        <w:br w:type="textWrapping"/>
      </w: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eastAsia="zh-CN"/>
        </w:rPr>
        <w:t>五</w:t>
      </w:r>
      <w:r>
        <w:rPr>
          <w:rFonts w:hint="eastAsia" w:ascii="黑体" w:hAnsi="黑体" w:eastAsia="黑体" w:cs="黑体"/>
          <w:b w:val="0"/>
          <w:bCs w:val="0"/>
          <w:color w:val="auto"/>
          <w:sz w:val="32"/>
          <w:szCs w:val="32"/>
        </w:rPr>
        <w:t>部分</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202</w:t>
      </w:r>
      <w:r>
        <w:rPr>
          <w:rFonts w:hint="eastAsia" w:ascii="黑体" w:hAnsi="黑体" w:eastAsia="黑体" w:cs="黑体"/>
          <w:b w:val="0"/>
          <w:bCs w:val="0"/>
          <w:color w:val="auto"/>
          <w:sz w:val="32"/>
          <w:szCs w:val="32"/>
          <w:lang w:val="en-US" w:eastAsia="zh-CN"/>
        </w:rPr>
        <w:t>5</w:t>
      </w:r>
      <w:r>
        <w:rPr>
          <w:rFonts w:hint="eastAsia" w:ascii="黑体" w:hAnsi="黑体" w:eastAsia="黑体" w:cs="黑体"/>
          <w:b w:val="0"/>
          <w:bCs w:val="0"/>
          <w:color w:val="auto"/>
          <w:sz w:val="32"/>
          <w:szCs w:val="32"/>
        </w:rPr>
        <w:t>年部门预算</w:t>
      </w:r>
      <w:r>
        <w:rPr>
          <w:rFonts w:hint="eastAsia" w:ascii="黑体" w:hAnsi="黑体" w:eastAsia="黑体" w:cs="黑体"/>
          <w:b w:val="0"/>
          <w:bCs w:val="0"/>
          <w:color w:val="auto"/>
          <w:sz w:val="32"/>
          <w:szCs w:val="32"/>
          <w:lang w:eastAsia="zh-CN"/>
        </w:rPr>
        <w:t>批复</w:t>
      </w:r>
      <w:r>
        <w:rPr>
          <w:rFonts w:hint="eastAsia" w:ascii="黑体" w:hAnsi="黑体" w:eastAsia="黑体" w:cs="黑体"/>
          <w:b w:val="0"/>
          <w:bCs w:val="0"/>
          <w:color w:val="auto"/>
          <w:sz w:val="32"/>
          <w:szCs w:val="32"/>
        </w:rPr>
        <w:t>表</w:t>
      </w:r>
    </w:p>
    <w:p w14:paraId="4A863197">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年部门收支预算总表</w:t>
      </w:r>
    </w:p>
    <w:p w14:paraId="1DE0FFCD">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年部门收入预算总表</w:t>
      </w:r>
    </w:p>
    <w:p w14:paraId="662275E0">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年部门支出预算总表</w:t>
      </w:r>
    </w:p>
    <w:p w14:paraId="2AC6A1CF">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年部门财政拨款收支预算总表</w:t>
      </w:r>
    </w:p>
    <w:p w14:paraId="69AB675C">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年部门一般公共预算支出情况表</w:t>
      </w:r>
    </w:p>
    <w:p w14:paraId="09EADD7A">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六、202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年部门一般公共预算基本支出表</w:t>
      </w:r>
    </w:p>
    <w:p w14:paraId="4ACCDA72">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七、202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w:t>
      </w:r>
      <w:r>
        <w:rPr>
          <w:rFonts w:hint="eastAsia" w:ascii="仿宋" w:hAnsi="仿宋" w:eastAsia="仿宋" w:cs="仿宋"/>
          <w:color w:val="auto"/>
          <w:sz w:val="32"/>
          <w:szCs w:val="32"/>
          <w:lang w:eastAsia="zh-CN"/>
        </w:rPr>
        <w:t>财政拨款</w:t>
      </w:r>
      <w:r>
        <w:rPr>
          <w:rFonts w:hint="eastAsia" w:ascii="仿宋" w:hAnsi="仿宋" w:eastAsia="仿宋" w:cs="仿宋"/>
          <w:color w:val="auto"/>
          <w:sz w:val="32"/>
          <w:szCs w:val="32"/>
        </w:rPr>
        <w:t>预算（三公）经费支出表</w:t>
      </w:r>
    </w:p>
    <w:p w14:paraId="24D6FBBC">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八、202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年政府性基金预算支出表</w:t>
      </w:r>
    </w:p>
    <w:p w14:paraId="703CB70E">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九、202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年部门项目支出预算表</w:t>
      </w:r>
    </w:p>
    <w:p w14:paraId="2D92A070">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年部门支出功能分类预算表</w:t>
      </w:r>
    </w:p>
    <w:p w14:paraId="3BFDDF3F">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十一、202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年部门支出经济分类预算表（政府预算）</w:t>
      </w:r>
    </w:p>
    <w:p w14:paraId="76DE3FCF">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十二、202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年部门支出经济分类预算表（部门预算）</w:t>
      </w:r>
    </w:p>
    <w:p w14:paraId="6E919B24">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十三、202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年部门债务支出预算表</w:t>
      </w:r>
    </w:p>
    <w:p w14:paraId="5E44BD8B">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十四、202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年部门政府采购支出预算表</w:t>
      </w:r>
    </w:p>
    <w:p w14:paraId="61BA70E9">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十五、202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年部门政府购买服务支出预算表</w:t>
      </w:r>
    </w:p>
    <w:p w14:paraId="6C059428">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十六、202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年部门（单位）整体绩效目标表</w:t>
      </w:r>
    </w:p>
    <w:p w14:paraId="7125D78D">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十七、202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年部门预算项目（政策）绩效目标表</w:t>
      </w:r>
    </w:p>
    <w:p w14:paraId="28D5C7C8">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十八、</w:t>
      </w:r>
      <w:r>
        <w:rPr>
          <w:rFonts w:hint="eastAsia" w:ascii="仿宋" w:hAnsi="仿宋" w:eastAsia="仿宋" w:cs="仿宋"/>
          <w:color w:val="auto"/>
          <w:sz w:val="32"/>
          <w:szCs w:val="32"/>
          <w:lang w:val="en-US" w:eastAsia="zh-CN"/>
        </w:rPr>
        <w:t>2025年</w:t>
      </w:r>
      <w:r>
        <w:rPr>
          <w:rFonts w:hint="eastAsia" w:ascii="仿宋" w:hAnsi="仿宋" w:eastAsia="仿宋" w:cs="仿宋"/>
          <w:color w:val="auto"/>
          <w:sz w:val="32"/>
          <w:szCs w:val="32"/>
          <w:lang w:eastAsia="zh-CN"/>
        </w:rPr>
        <w:t>部门专项资金预算表</w:t>
      </w:r>
    </w:p>
    <w:p w14:paraId="5126A5C1">
      <w:pP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br w:type="page"/>
      </w:r>
    </w:p>
    <w:p w14:paraId="4CCBE930">
      <w:pPr>
        <w:pStyle w:val="6"/>
        <w:numPr>
          <w:ilvl w:val="0"/>
          <w:numId w:val="0"/>
        </w:numPr>
        <w:spacing w:before="0" w:beforeAutospacing="0" w:after="0" w:afterAutospacing="0"/>
        <w:jc w:val="center"/>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部门预算公开管理文件</w:t>
      </w:r>
    </w:p>
    <w:p w14:paraId="7F8CEB7D">
      <w:pPr>
        <w:pStyle w:val="6"/>
        <w:numPr>
          <w:ilvl w:val="0"/>
          <w:numId w:val="0"/>
        </w:numPr>
        <w:spacing w:before="0" w:beforeAutospacing="0" w:after="0" w:afterAutospacing="0"/>
        <w:ind w:firstLine="640" w:firstLineChars="200"/>
        <w:jc w:val="both"/>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抚顺市人民政府办公室关于印发《抚顺市人民政府办公室部门预决算信息公开管理办法（试行）》的通知（抚政办室发〔</w:t>
      </w:r>
      <w:r>
        <w:rPr>
          <w:rFonts w:hint="eastAsia" w:ascii="仿宋" w:hAnsi="仿宋" w:eastAsia="仿宋" w:cs="仿宋"/>
          <w:b w:val="0"/>
          <w:bCs w:val="0"/>
          <w:color w:val="auto"/>
          <w:sz w:val="32"/>
          <w:szCs w:val="32"/>
          <w:lang w:val="en-US" w:eastAsia="zh-CN"/>
        </w:rPr>
        <w:t>2025</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1号</w:t>
      </w:r>
      <w:r>
        <w:rPr>
          <w:rFonts w:hint="eastAsia" w:ascii="仿宋" w:hAnsi="仿宋" w:eastAsia="仿宋" w:cs="仿宋"/>
          <w:b w:val="0"/>
          <w:bCs w:val="0"/>
          <w:color w:val="auto"/>
          <w:sz w:val="32"/>
          <w:szCs w:val="32"/>
          <w:lang w:eastAsia="zh-CN"/>
        </w:rPr>
        <w:t>）。</w:t>
      </w:r>
    </w:p>
    <w:p w14:paraId="377AF625">
      <w:pPr>
        <w:pStyle w:val="2"/>
        <w:keepNext/>
        <w:keepLines/>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sz w:val="36"/>
          <w:szCs w:val="36"/>
          <w:lang w:eastAsia="zh-CN"/>
        </w:rPr>
      </w:pPr>
    </w:p>
    <w:p w14:paraId="102AB421">
      <w:pPr>
        <w:pStyle w:val="2"/>
        <w:keepNext/>
        <w:keepLines/>
        <w:pageBreakBefore w:val="0"/>
        <w:widowControl w:val="0"/>
        <w:kinsoku/>
        <w:wordWrap/>
        <w:overflowPunct/>
        <w:topLinePunct w:val="0"/>
        <w:autoSpaceDE/>
        <w:autoSpaceDN/>
        <w:bidi w:val="0"/>
        <w:adjustRightInd/>
        <w:snapToGrid/>
        <w:spacing w:line="240" w:lineRule="atLeast"/>
        <w:jc w:val="center"/>
        <w:textAlignment w:val="auto"/>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sz w:val="36"/>
          <w:szCs w:val="36"/>
          <w:lang w:eastAsia="zh-CN"/>
        </w:rPr>
        <w:t>抚顺市人民政府办公室部门</w:t>
      </w:r>
      <w:r>
        <w:rPr>
          <w:rFonts w:hint="eastAsia" w:asciiTheme="majorEastAsia" w:hAnsiTheme="majorEastAsia" w:eastAsiaTheme="majorEastAsia" w:cstheme="majorEastAsia"/>
          <w:sz w:val="36"/>
          <w:szCs w:val="36"/>
        </w:rPr>
        <w:t>预决算</w:t>
      </w:r>
      <w:r>
        <w:rPr>
          <w:rFonts w:hint="eastAsia" w:asciiTheme="majorEastAsia" w:hAnsiTheme="majorEastAsia" w:eastAsiaTheme="majorEastAsia" w:cstheme="majorEastAsia"/>
          <w:sz w:val="36"/>
          <w:szCs w:val="36"/>
          <w:lang w:val="en-US" w:eastAsia="zh-CN"/>
        </w:rPr>
        <w:t xml:space="preserve">                        </w:t>
      </w:r>
      <w:r>
        <w:rPr>
          <w:rFonts w:hint="eastAsia" w:asciiTheme="majorEastAsia" w:hAnsiTheme="majorEastAsia" w:eastAsiaTheme="majorEastAsia" w:cstheme="majorEastAsia"/>
          <w:sz w:val="36"/>
          <w:szCs w:val="36"/>
        </w:rPr>
        <w:t>信息公开管理办法（试行）</w:t>
      </w:r>
    </w:p>
    <w:p w14:paraId="77DB935D">
      <w:pPr>
        <w:rPr>
          <w:rFonts w:hint="eastAsia" w:ascii="仿宋" w:hAnsi="仿宋" w:eastAsia="仿宋"/>
          <w:sz w:val="30"/>
          <w:szCs w:val="30"/>
        </w:rPr>
      </w:pPr>
    </w:p>
    <w:p w14:paraId="405533DB">
      <w:pPr>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b/>
          <w:bCs/>
          <w:sz w:val="30"/>
          <w:szCs w:val="30"/>
          <w:lang w:val="en-US" w:eastAsia="zh-CN"/>
        </w:rPr>
        <w:t>第一条</w:t>
      </w:r>
      <w:r>
        <w:rPr>
          <w:rFonts w:hint="eastAsia" w:ascii="仿宋" w:hAnsi="仿宋" w:eastAsia="仿宋"/>
          <w:sz w:val="30"/>
          <w:szCs w:val="30"/>
          <w:lang w:val="en-US" w:eastAsia="zh-CN"/>
        </w:rPr>
        <w:t xml:space="preserve">  </w:t>
      </w:r>
      <w:r>
        <w:rPr>
          <w:rFonts w:ascii="仿宋" w:hAnsi="仿宋" w:eastAsia="仿宋"/>
          <w:sz w:val="30"/>
          <w:szCs w:val="30"/>
        </w:rPr>
        <w:t>为推进</w:t>
      </w:r>
      <w:r>
        <w:rPr>
          <w:rFonts w:hint="eastAsia" w:ascii="仿宋" w:hAnsi="仿宋" w:eastAsia="仿宋"/>
          <w:sz w:val="30"/>
          <w:szCs w:val="30"/>
          <w:lang w:eastAsia="zh-CN"/>
        </w:rPr>
        <w:t>建立全面规范透明的预算管理制度，持续提升部门预决算公开工作质效，根据</w:t>
      </w:r>
      <w:r>
        <w:rPr>
          <w:rFonts w:ascii="仿宋" w:hAnsi="仿宋" w:eastAsia="仿宋"/>
          <w:sz w:val="30"/>
          <w:szCs w:val="30"/>
        </w:rPr>
        <w:t>《中华人民共和国预算法》</w:t>
      </w:r>
      <w:r>
        <w:rPr>
          <w:rFonts w:hint="eastAsia" w:ascii="仿宋" w:hAnsi="仿宋" w:eastAsia="仿宋"/>
          <w:sz w:val="30"/>
          <w:szCs w:val="30"/>
          <w:lang w:val="en-US" w:eastAsia="zh-CN"/>
        </w:rPr>
        <w:t>《中华人民共和国预算法实施条例》</w:t>
      </w:r>
      <w:r>
        <w:rPr>
          <w:rFonts w:hint="eastAsia" w:ascii="仿宋" w:hAnsi="仿宋" w:eastAsia="仿宋"/>
          <w:sz w:val="30"/>
          <w:szCs w:val="30"/>
          <w:lang w:eastAsia="zh-CN"/>
        </w:rPr>
        <w:t>《转发省财政厅关于切实做好</w:t>
      </w:r>
      <w:r>
        <w:rPr>
          <w:rFonts w:hint="eastAsia" w:ascii="仿宋" w:hAnsi="仿宋" w:eastAsia="仿宋"/>
          <w:sz w:val="30"/>
          <w:szCs w:val="30"/>
          <w:lang w:val="en-US" w:eastAsia="zh-CN"/>
        </w:rPr>
        <w:t>2025年市县预算公开工作的通知</w:t>
      </w:r>
      <w:r>
        <w:rPr>
          <w:rFonts w:hint="eastAsia" w:ascii="仿宋" w:hAnsi="仿宋" w:eastAsia="仿宋"/>
          <w:sz w:val="30"/>
          <w:szCs w:val="30"/>
          <w:lang w:eastAsia="zh-CN"/>
        </w:rPr>
        <w:t>》（抚财预</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2025</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5</w:t>
      </w:r>
      <w:r>
        <w:rPr>
          <w:rFonts w:hint="eastAsia" w:ascii="仿宋" w:hAnsi="仿宋" w:eastAsia="仿宋" w:cs="仿宋"/>
          <w:sz w:val="30"/>
          <w:szCs w:val="30"/>
          <w:lang w:eastAsia="zh-CN"/>
        </w:rPr>
        <w:t>号</w:t>
      </w:r>
      <w:r>
        <w:rPr>
          <w:rFonts w:hint="eastAsia" w:ascii="仿宋" w:hAnsi="仿宋" w:eastAsia="仿宋"/>
          <w:sz w:val="30"/>
          <w:szCs w:val="30"/>
          <w:lang w:eastAsia="zh-CN"/>
        </w:rPr>
        <w:t>）等有关规定</w:t>
      </w:r>
      <w:r>
        <w:rPr>
          <w:rFonts w:ascii="仿宋" w:hAnsi="仿宋" w:eastAsia="仿宋"/>
          <w:sz w:val="30"/>
          <w:szCs w:val="30"/>
        </w:rPr>
        <w:t>，结合</w:t>
      </w:r>
      <w:r>
        <w:rPr>
          <w:rFonts w:hint="eastAsia" w:ascii="仿宋" w:hAnsi="仿宋" w:eastAsia="仿宋"/>
          <w:sz w:val="30"/>
          <w:szCs w:val="30"/>
          <w:lang w:eastAsia="zh-CN"/>
        </w:rPr>
        <w:t>我办</w:t>
      </w:r>
      <w:r>
        <w:rPr>
          <w:rFonts w:ascii="仿宋" w:hAnsi="仿宋" w:eastAsia="仿宋"/>
          <w:sz w:val="30"/>
          <w:szCs w:val="30"/>
        </w:rPr>
        <w:t>实际，制定本办法。</w:t>
      </w:r>
    </w:p>
    <w:p w14:paraId="19BEBD60">
      <w:pPr>
        <w:rPr>
          <w:rFonts w:hint="eastAsia"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b/>
          <w:bCs/>
          <w:sz w:val="30"/>
          <w:szCs w:val="30"/>
          <w:lang w:val="en-US" w:eastAsia="zh-CN"/>
        </w:rPr>
        <w:t>第二条</w:t>
      </w:r>
      <w:r>
        <w:rPr>
          <w:rFonts w:hint="eastAsia" w:ascii="仿宋" w:hAnsi="仿宋" w:eastAsia="仿宋"/>
          <w:sz w:val="30"/>
          <w:szCs w:val="30"/>
          <w:lang w:val="en-US" w:eastAsia="zh-CN"/>
        </w:rPr>
        <w:t xml:space="preserve"> </w:t>
      </w:r>
      <w:r>
        <w:rPr>
          <w:rFonts w:hint="eastAsia" w:ascii="仿宋" w:hAnsi="仿宋" w:eastAsia="仿宋"/>
          <w:sz w:val="30"/>
          <w:szCs w:val="30"/>
        </w:rPr>
        <w:t xml:space="preserve"> </w:t>
      </w:r>
      <w:r>
        <w:rPr>
          <w:rFonts w:ascii="仿宋" w:hAnsi="仿宋" w:eastAsia="仿宋"/>
          <w:sz w:val="30"/>
          <w:szCs w:val="30"/>
        </w:rPr>
        <w:t>本办法</w:t>
      </w:r>
      <w:r>
        <w:rPr>
          <w:rFonts w:hint="eastAsia" w:ascii="仿宋" w:hAnsi="仿宋" w:eastAsia="仿宋"/>
          <w:sz w:val="30"/>
          <w:szCs w:val="30"/>
          <w:lang w:eastAsia="zh-CN"/>
        </w:rPr>
        <w:t>适用于市政府办公室部门预决算信息公开管理。</w:t>
      </w:r>
    </w:p>
    <w:p w14:paraId="424DFEAC">
      <w:pPr>
        <w:rPr>
          <w:rFonts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b/>
          <w:bCs/>
          <w:sz w:val="30"/>
          <w:szCs w:val="30"/>
          <w:lang w:val="en-US" w:eastAsia="zh-CN"/>
        </w:rPr>
        <w:t>第三条</w:t>
      </w:r>
      <w:r>
        <w:rPr>
          <w:rFonts w:hint="eastAsia" w:ascii="仿宋" w:hAnsi="仿宋" w:eastAsia="仿宋"/>
          <w:sz w:val="30"/>
          <w:szCs w:val="30"/>
          <w:lang w:val="en-US" w:eastAsia="zh-CN"/>
        </w:rPr>
        <w:t xml:space="preserve">  </w:t>
      </w:r>
      <w:r>
        <w:rPr>
          <w:rFonts w:hint="eastAsia" w:ascii="仿宋" w:hAnsi="仿宋" w:eastAsia="仿宋"/>
          <w:sz w:val="30"/>
          <w:szCs w:val="30"/>
          <w:lang w:eastAsia="zh-CN"/>
        </w:rPr>
        <w:t>本办法</w:t>
      </w:r>
      <w:r>
        <w:rPr>
          <w:rFonts w:ascii="仿宋" w:hAnsi="仿宋" w:eastAsia="仿宋"/>
          <w:sz w:val="30"/>
          <w:szCs w:val="30"/>
        </w:rPr>
        <w:t>所称部门预决</w:t>
      </w:r>
      <w:r>
        <w:rPr>
          <w:rFonts w:hint="eastAsia" w:ascii="仿宋" w:hAnsi="仿宋" w:eastAsia="仿宋"/>
          <w:sz w:val="30"/>
          <w:szCs w:val="30"/>
          <w:lang w:eastAsia="zh-CN"/>
        </w:rPr>
        <w:t>算信息包括经市财政局批复的部门预算、决算及报表等</w:t>
      </w:r>
      <w:r>
        <w:rPr>
          <w:rFonts w:ascii="仿宋" w:hAnsi="仿宋" w:eastAsia="仿宋"/>
          <w:sz w:val="30"/>
          <w:szCs w:val="30"/>
        </w:rPr>
        <w:t>。</w:t>
      </w:r>
    </w:p>
    <w:p w14:paraId="2BF14893">
      <w:pPr>
        <w:rPr>
          <w:rFonts w:hint="default" w:ascii="仿宋" w:hAnsi="仿宋" w:eastAsia="仿宋"/>
          <w:sz w:val="30"/>
          <w:szCs w:val="30"/>
          <w:lang w:val="en-US" w:eastAsia="zh-CN"/>
        </w:rPr>
      </w:pPr>
      <w:r>
        <w:rPr>
          <w:rFonts w:hint="eastAsia" w:ascii="仿宋" w:hAnsi="仿宋" w:eastAsia="仿宋"/>
          <w:sz w:val="30"/>
          <w:szCs w:val="30"/>
          <w:lang w:val="en-US" w:eastAsia="zh-CN"/>
        </w:rPr>
        <w:t xml:space="preserve">    </w:t>
      </w:r>
      <w:r>
        <w:rPr>
          <w:rFonts w:hint="eastAsia" w:ascii="仿宋" w:hAnsi="仿宋" w:eastAsia="仿宋"/>
          <w:b/>
          <w:bCs/>
          <w:sz w:val="30"/>
          <w:szCs w:val="30"/>
          <w:lang w:val="en-US" w:eastAsia="zh-CN"/>
        </w:rPr>
        <w:t>第四条</w:t>
      </w:r>
      <w:r>
        <w:rPr>
          <w:rFonts w:hint="eastAsia" w:ascii="仿宋" w:hAnsi="仿宋" w:eastAsia="仿宋"/>
          <w:sz w:val="30"/>
          <w:szCs w:val="30"/>
          <w:lang w:val="en-US" w:eastAsia="zh-CN"/>
        </w:rPr>
        <w:t xml:space="preserve">  </w:t>
      </w:r>
      <w:r>
        <w:rPr>
          <w:rFonts w:ascii="仿宋" w:hAnsi="仿宋" w:eastAsia="仿宋"/>
          <w:sz w:val="30"/>
          <w:szCs w:val="30"/>
        </w:rPr>
        <w:t>预决算信息公开</w:t>
      </w:r>
      <w:r>
        <w:rPr>
          <w:rFonts w:hint="eastAsia" w:ascii="仿宋" w:hAnsi="仿宋" w:eastAsia="仿宋"/>
          <w:sz w:val="30"/>
          <w:szCs w:val="30"/>
          <w:lang w:eastAsia="zh-CN"/>
        </w:rPr>
        <w:t>坚持</w:t>
      </w:r>
      <w:r>
        <w:rPr>
          <w:rFonts w:ascii="仿宋" w:hAnsi="仿宋" w:eastAsia="仿宋"/>
          <w:sz w:val="30"/>
          <w:szCs w:val="30"/>
        </w:rPr>
        <w:t>公开为常态，不公开为例外，依法依规公开</w:t>
      </w:r>
      <w:r>
        <w:rPr>
          <w:rFonts w:hint="eastAsia" w:ascii="仿宋" w:hAnsi="仿宋" w:eastAsia="仿宋"/>
          <w:sz w:val="30"/>
          <w:szCs w:val="30"/>
          <w:lang w:eastAsia="zh-CN"/>
        </w:rPr>
        <w:t>原则</w:t>
      </w:r>
      <w:r>
        <w:rPr>
          <w:rFonts w:ascii="仿宋" w:hAnsi="仿宋" w:eastAsia="仿宋"/>
          <w:sz w:val="30"/>
          <w:szCs w:val="30"/>
        </w:rPr>
        <w:t>。除涉及国家秘密外，不得少公开、不公开应当公开的事项，确保预决算信息公开及时、准确和完整。</w:t>
      </w:r>
    </w:p>
    <w:p w14:paraId="7C54EFB5">
      <w:pPr>
        <w:rPr>
          <w:rFonts w:hint="default" w:ascii="仿宋" w:hAnsi="仿宋" w:eastAsia="仿宋"/>
          <w:sz w:val="30"/>
          <w:szCs w:val="30"/>
          <w:lang w:val="en-US" w:eastAsia="zh-CN"/>
        </w:rPr>
      </w:pPr>
      <w:r>
        <w:rPr>
          <w:rFonts w:hint="eastAsia" w:ascii="仿宋" w:hAnsi="仿宋" w:eastAsia="仿宋"/>
          <w:sz w:val="30"/>
          <w:szCs w:val="30"/>
          <w:lang w:val="en-US" w:eastAsia="zh-CN"/>
        </w:rPr>
        <w:t xml:space="preserve">    </w:t>
      </w:r>
      <w:r>
        <w:rPr>
          <w:rFonts w:hint="eastAsia" w:ascii="仿宋" w:hAnsi="仿宋" w:eastAsia="仿宋"/>
          <w:b/>
          <w:bCs/>
          <w:sz w:val="30"/>
          <w:szCs w:val="30"/>
          <w:lang w:val="en-US" w:eastAsia="zh-CN"/>
        </w:rPr>
        <w:t>第五条</w:t>
      </w:r>
      <w:r>
        <w:rPr>
          <w:rFonts w:hint="eastAsia" w:ascii="仿宋" w:hAnsi="仿宋" w:eastAsia="仿宋"/>
          <w:sz w:val="30"/>
          <w:szCs w:val="30"/>
          <w:lang w:val="en-US" w:eastAsia="zh-CN"/>
        </w:rPr>
        <w:t xml:space="preserve">  市政府办公室财务科负责我办部门预决算信息公开工作，履行下列职责：</w:t>
      </w:r>
    </w:p>
    <w:p w14:paraId="243C12AE">
      <w:pPr>
        <w:rPr>
          <w:rFonts w:hint="eastAsia" w:ascii="仿宋" w:hAnsi="仿宋" w:eastAsia="仿宋"/>
          <w:sz w:val="30"/>
          <w:szCs w:val="30"/>
          <w:lang w:val="en-US" w:eastAsia="zh-CN"/>
        </w:rPr>
      </w:pPr>
      <w:r>
        <w:rPr>
          <w:rFonts w:hint="eastAsia" w:ascii="仿宋" w:hAnsi="仿宋" w:eastAsia="仿宋"/>
          <w:sz w:val="30"/>
          <w:szCs w:val="30"/>
          <w:lang w:val="en-US" w:eastAsia="zh-CN"/>
        </w:rPr>
        <w:t xml:space="preserve">    （一）负责组织开展我办预决算公开工作，按规定向社会公开我办预决算信息。</w:t>
      </w:r>
    </w:p>
    <w:p w14:paraId="29B43083">
      <w:pPr>
        <w:rPr>
          <w:rFonts w:hint="default" w:ascii="仿宋" w:hAnsi="仿宋" w:eastAsia="仿宋"/>
          <w:sz w:val="30"/>
          <w:szCs w:val="30"/>
          <w:lang w:val="en-US" w:eastAsia="zh-CN"/>
        </w:rPr>
      </w:pPr>
      <w:r>
        <w:rPr>
          <w:rFonts w:hint="eastAsia" w:ascii="仿宋" w:hAnsi="仿宋" w:eastAsia="仿宋"/>
          <w:sz w:val="30"/>
          <w:szCs w:val="30"/>
          <w:lang w:val="en-US" w:eastAsia="zh-CN"/>
        </w:rPr>
        <w:t xml:space="preserve">    （二）按规定做好公民、法人、或者其他组织依申请政府预决算信息的答复工作。</w:t>
      </w:r>
    </w:p>
    <w:p w14:paraId="7D19196B">
      <w:pPr>
        <w:rPr>
          <w:rFonts w:hint="eastAsia"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b/>
          <w:bCs/>
          <w:sz w:val="30"/>
          <w:szCs w:val="30"/>
          <w:lang w:val="en-US" w:eastAsia="zh-CN"/>
        </w:rPr>
        <w:t>第六条</w:t>
      </w:r>
      <w:r>
        <w:rPr>
          <w:rFonts w:hint="eastAsia" w:ascii="仿宋" w:hAnsi="仿宋" w:eastAsia="仿宋"/>
          <w:sz w:val="30"/>
          <w:szCs w:val="30"/>
          <w:lang w:val="en-US" w:eastAsia="zh-CN"/>
        </w:rPr>
        <w:t xml:space="preserve">  </w:t>
      </w:r>
      <w:r>
        <w:rPr>
          <w:rFonts w:ascii="仿宋" w:hAnsi="仿宋" w:eastAsia="仿宋"/>
          <w:sz w:val="30"/>
          <w:szCs w:val="30"/>
        </w:rPr>
        <w:t>部门预决算信息</w:t>
      </w:r>
      <w:r>
        <w:rPr>
          <w:rFonts w:hint="eastAsia" w:ascii="仿宋" w:hAnsi="仿宋" w:eastAsia="仿宋"/>
          <w:sz w:val="30"/>
          <w:szCs w:val="30"/>
          <w:lang w:eastAsia="zh-CN"/>
        </w:rPr>
        <w:t>（涉密信息除外）</w:t>
      </w:r>
      <w:r>
        <w:rPr>
          <w:rFonts w:ascii="仿宋" w:hAnsi="仿宋" w:eastAsia="仿宋"/>
          <w:sz w:val="30"/>
          <w:szCs w:val="30"/>
        </w:rPr>
        <w:t>公开内容包括：</w:t>
      </w:r>
    </w:p>
    <w:p w14:paraId="32FFFA13">
      <w:pPr>
        <w:rPr>
          <w:rFonts w:hint="eastAsia" w:ascii="仿宋" w:hAnsi="仿宋" w:eastAsia="仿宋"/>
          <w:sz w:val="30"/>
          <w:szCs w:val="30"/>
          <w:lang w:eastAsia="zh-CN"/>
        </w:rPr>
      </w:pPr>
      <w:r>
        <w:rPr>
          <w:rFonts w:hint="eastAsia" w:ascii="仿宋" w:hAnsi="仿宋" w:eastAsia="仿宋"/>
          <w:sz w:val="30"/>
          <w:szCs w:val="30"/>
        </w:rPr>
        <w:t xml:space="preserve">    </w:t>
      </w:r>
      <w:r>
        <w:rPr>
          <w:rFonts w:ascii="仿宋" w:hAnsi="仿宋" w:eastAsia="仿宋"/>
          <w:sz w:val="30"/>
          <w:szCs w:val="30"/>
        </w:rPr>
        <w:t>（一）</w:t>
      </w:r>
      <w:r>
        <w:rPr>
          <w:rFonts w:hint="eastAsia" w:ascii="仿宋" w:hAnsi="仿宋" w:eastAsia="仿宋"/>
          <w:sz w:val="30"/>
          <w:szCs w:val="30"/>
          <w:lang w:eastAsia="zh-CN"/>
        </w:rPr>
        <w:t>部门文件。</w:t>
      </w:r>
      <w:r>
        <w:rPr>
          <w:rFonts w:ascii="仿宋" w:hAnsi="仿宋" w:eastAsia="仿宋"/>
          <w:sz w:val="30"/>
          <w:szCs w:val="30"/>
        </w:rPr>
        <w:t>部门预决算</w:t>
      </w:r>
      <w:r>
        <w:rPr>
          <w:rFonts w:hint="eastAsia" w:ascii="仿宋" w:hAnsi="仿宋" w:eastAsia="仿宋"/>
          <w:sz w:val="30"/>
          <w:szCs w:val="30"/>
          <w:lang w:eastAsia="zh-CN"/>
        </w:rPr>
        <w:t>信息</w:t>
      </w:r>
      <w:r>
        <w:rPr>
          <w:rFonts w:ascii="仿宋" w:hAnsi="仿宋" w:eastAsia="仿宋"/>
          <w:sz w:val="30"/>
          <w:szCs w:val="30"/>
        </w:rPr>
        <w:t>公开管理</w:t>
      </w:r>
      <w:r>
        <w:rPr>
          <w:rFonts w:hint="eastAsia" w:ascii="仿宋" w:hAnsi="仿宋" w:eastAsia="仿宋"/>
          <w:sz w:val="30"/>
          <w:szCs w:val="30"/>
          <w:lang w:eastAsia="zh-CN"/>
        </w:rPr>
        <w:t>办法。</w:t>
      </w:r>
    </w:p>
    <w:p w14:paraId="6B9F2402">
      <w:pPr>
        <w:rPr>
          <w:rFonts w:hint="eastAsia" w:ascii="仿宋" w:hAnsi="仿宋" w:eastAsia="仿宋"/>
          <w:sz w:val="30"/>
          <w:szCs w:val="30"/>
        </w:rPr>
      </w:pPr>
      <w:r>
        <w:rPr>
          <w:rFonts w:hint="eastAsia" w:ascii="仿宋" w:hAnsi="仿宋" w:eastAsia="仿宋"/>
          <w:sz w:val="30"/>
          <w:szCs w:val="30"/>
        </w:rPr>
        <w:t xml:space="preserve">    </w:t>
      </w:r>
      <w:r>
        <w:rPr>
          <w:rFonts w:ascii="仿宋" w:hAnsi="仿宋" w:eastAsia="仿宋"/>
          <w:sz w:val="30"/>
          <w:szCs w:val="30"/>
        </w:rPr>
        <w:t>（二）</w:t>
      </w:r>
      <w:r>
        <w:rPr>
          <w:rFonts w:hint="eastAsia" w:ascii="仿宋" w:hAnsi="仿宋" w:eastAsia="仿宋"/>
          <w:sz w:val="30"/>
          <w:szCs w:val="30"/>
          <w:lang w:eastAsia="zh-CN"/>
        </w:rPr>
        <w:t>部门概况。包括</w:t>
      </w:r>
      <w:r>
        <w:rPr>
          <w:rFonts w:ascii="仿宋" w:hAnsi="仿宋" w:eastAsia="仿宋"/>
          <w:sz w:val="30"/>
          <w:szCs w:val="30"/>
        </w:rPr>
        <w:t>部门职责、机构设置等情况。</w:t>
      </w:r>
    </w:p>
    <w:p w14:paraId="71DF99AF">
      <w:pPr>
        <w:rPr>
          <w:rFonts w:hint="eastAsia" w:ascii="仿宋" w:hAnsi="仿宋" w:eastAsia="仿宋"/>
          <w:sz w:val="30"/>
          <w:szCs w:val="30"/>
          <w:lang w:eastAsia="zh-CN"/>
        </w:rPr>
      </w:pPr>
      <w:r>
        <w:rPr>
          <w:rFonts w:hint="eastAsia" w:ascii="仿宋" w:hAnsi="仿宋" w:eastAsia="仿宋"/>
          <w:sz w:val="30"/>
          <w:szCs w:val="30"/>
        </w:rPr>
        <w:t xml:space="preserve">    </w:t>
      </w:r>
      <w:r>
        <w:rPr>
          <w:rFonts w:ascii="仿宋" w:hAnsi="仿宋" w:eastAsia="仿宋"/>
          <w:sz w:val="30"/>
          <w:szCs w:val="30"/>
        </w:rPr>
        <w:t>（三）情况说明。包括预决算年度收支、机关运行经费、政府采购、“三公”经费、国有资产占有使用和项目支出绩效目标等情况说明</w:t>
      </w:r>
      <w:r>
        <w:rPr>
          <w:rFonts w:hint="eastAsia" w:ascii="仿宋" w:hAnsi="仿宋" w:eastAsia="仿宋"/>
          <w:sz w:val="30"/>
          <w:szCs w:val="30"/>
          <w:lang w:eastAsia="zh-CN"/>
        </w:rPr>
        <w:t>；</w:t>
      </w:r>
    </w:p>
    <w:p w14:paraId="299F47BD">
      <w:pPr>
        <w:rPr>
          <w:rFonts w:hint="eastAsia" w:ascii="仿宋" w:hAnsi="仿宋" w:eastAsia="仿宋"/>
          <w:sz w:val="30"/>
          <w:szCs w:val="30"/>
          <w:lang w:eastAsia="zh-CN"/>
        </w:rPr>
      </w:pPr>
      <w:r>
        <w:rPr>
          <w:rFonts w:hint="eastAsia" w:ascii="仿宋" w:hAnsi="仿宋" w:eastAsia="仿宋"/>
          <w:sz w:val="30"/>
          <w:szCs w:val="30"/>
        </w:rPr>
        <w:t xml:space="preserve">    </w:t>
      </w:r>
      <w:r>
        <w:rPr>
          <w:rFonts w:ascii="仿宋" w:hAnsi="仿宋" w:eastAsia="仿宋"/>
          <w:sz w:val="30"/>
          <w:szCs w:val="30"/>
        </w:rPr>
        <w:t>（四）名词解释。对预决算相关专业名词进行解释说明</w:t>
      </w:r>
      <w:r>
        <w:rPr>
          <w:rFonts w:hint="eastAsia" w:ascii="仿宋" w:hAnsi="仿宋" w:eastAsia="仿宋"/>
          <w:sz w:val="30"/>
          <w:szCs w:val="30"/>
          <w:lang w:eastAsia="zh-CN"/>
        </w:rPr>
        <w:t>；</w:t>
      </w:r>
    </w:p>
    <w:p w14:paraId="7F35327E">
      <w:pPr>
        <w:rPr>
          <w:rFonts w:hint="eastAsia" w:ascii="仿宋" w:hAnsi="仿宋" w:eastAsia="仿宋"/>
          <w:sz w:val="30"/>
          <w:szCs w:val="30"/>
        </w:rPr>
      </w:pPr>
      <w:r>
        <w:rPr>
          <w:rFonts w:hint="eastAsia" w:ascii="仿宋" w:hAnsi="仿宋" w:eastAsia="仿宋"/>
          <w:sz w:val="30"/>
          <w:szCs w:val="30"/>
        </w:rPr>
        <w:t xml:space="preserve">    </w:t>
      </w:r>
      <w:r>
        <w:rPr>
          <w:rFonts w:ascii="仿宋" w:hAnsi="仿宋" w:eastAsia="仿宋"/>
          <w:sz w:val="30"/>
          <w:szCs w:val="30"/>
        </w:rPr>
        <w:t>（五）</w:t>
      </w:r>
      <w:r>
        <w:rPr>
          <w:rFonts w:hint="eastAsia" w:ascii="仿宋" w:hAnsi="仿宋" w:eastAsia="仿宋"/>
          <w:sz w:val="30"/>
          <w:szCs w:val="30"/>
          <w:lang w:eastAsia="zh-CN"/>
        </w:rPr>
        <w:t>部门</w:t>
      </w:r>
      <w:r>
        <w:rPr>
          <w:rFonts w:ascii="仿宋" w:hAnsi="仿宋" w:eastAsia="仿宋"/>
          <w:sz w:val="30"/>
          <w:szCs w:val="30"/>
        </w:rPr>
        <w:t>预决算</w:t>
      </w:r>
      <w:r>
        <w:rPr>
          <w:rFonts w:hint="eastAsia" w:ascii="仿宋" w:hAnsi="仿宋" w:eastAsia="仿宋"/>
          <w:sz w:val="30"/>
          <w:szCs w:val="30"/>
          <w:lang w:eastAsia="zh-CN"/>
        </w:rPr>
        <w:t>公开</w:t>
      </w:r>
      <w:r>
        <w:rPr>
          <w:rFonts w:hint="eastAsia" w:ascii="仿宋" w:hAnsi="仿宋" w:eastAsia="仿宋"/>
          <w:sz w:val="30"/>
          <w:szCs w:val="30"/>
        </w:rPr>
        <w:t>表。</w:t>
      </w:r>
      <w:r>
        <w:rPr>
          <w:rFonts w:hint="eastAsia" w:ascii="仿宋" w:hAnsi="仿宋" w:eastAsia="仿宋"/>
          <w:sz w:val="30"/>
          <w:szCs w:val="30"/>
          <w:lang w:val="en-US" w:eastAsia="zh-CN"/>
        </w:rPr>
        <w:t>包括部门收支总体情况、财政拨款收支情况、财政拨款“三公”经费支出情况等</w:t>
      </w:r>
      <w:r>
        <w:rPr>
          <w:rFonts w:hint="eastAsia" w:ascii="仿宋" w:hAnsi="仿宋" w:eastAsia="仿宋"/>
          <w:sz w:val="30"/>
          <w:szCs w:val="30"/>
          <w:lang w:eastAsia="zh-CN"/>
        </w:rPr>
        <w:t>。</w:t>
      </w:r>
    </w:p>
    <w:p w14:paraId="4F1F04C7">
      <w:pPr>
        <w:rPr>
          <w:rFonts w:hint="eastAsia"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b/>
          <w:bCs/>
          <w:sz w:val="30"/>
          <w:szCs w:val="30"/>
          <w:lang w:val="en-US" w:eastAsia="zh-CN"/>
        </w:rPr>
        <w:t>第七条</w:t>
      </w:r>
      <w:r>
        <w:rPr>
          <w:rFonts w:hint="eastAsia" w:ascii="仿宋" w:hAnsi="仿宋" w:eastAsia="仿宋"/>
          <w:sz w:val="30"/>
          <w:szCs w:val="30"/>
          <w:lang w:val="en-US" w:eastAsia="zh-CN"/>
        </w:rPr>
        <w:t xml:space="preserve">  </w:t>
      </w:r>
      <w:r>
        <w:rPr>
          <w:rFonts w:ascii="仿宋" w:hAnsi="仿宋" w:eastAsia="仿宋"/>
          <w:sz w:val="30"/>
          <w:szCs w:val="30"/>
        </w:rPr>
        <w:t>预决算信息</w:t>
      </w:r>
      <w:r>
        <w:rPr>
          <w:rFonts w:hint="eastAsia" w:ascii="仿宋" w:hAnsi="仿宋" w:eastAsia="仿宋"/>
          <w:sz w:val="30"/>
          <w:szCs w:val="30"/>
          <w:lang w:eastAsia="zh-CN"/>
        </w:rPr>
        <w:t>公开</w:t>
      </w:r>
      <w:r>
        <w:rPr>
          <w:rFonts w:ascii="仿宋" w:hAnsi="仿宋" w:eastAsia="仿宋"/>
          <w:sz w:val="30"/>
          <w:szCs w:val="30"/>
        </w:rPr>
        <w:t>在</w:t>
      </w:r>
      <w:r>
        <w:rPr>
          <w:rFonts w:hint="eastAsia" w:ascii="仿宋" w:hAnsi="仿宋" w:eastAsia="仿宋"/>
          <w:sz w:val="30"/>
          <w:szCs w:val="30"/>
        </w:rPr>
        <w:t>市</w:t>
      </w:r>
      <w:r>
        <w:rPr>
          <w:rFonts w:ascii="仿宋" w:hAnsi="仿宋" w:eastAsia="仿宋"/>
          <w:sz w:val="30"/>
          <w:szCs w:val="30"/>
        </w:rPr>
        <w:t>政府门户网站</w:t>
      </w:r>
      <w:r>
        <w:rPr>
          <w:rFonts w:hint="eastAsia" w:ascii="仿宋" w:hAnsi="仿宋" w:eastAsia="仿宋"/>
          <w:sz w:val="30"/>
          <w:szCs w:val="30"/>
          <w:lang w:eastAsia="zh-CN"/>
        </w:rPr>
        <w:t>和市政府</w:t>
      </w:r>
      <w:r>
        <w:rPr>
          <w:rFonts w:hint="eastAsia" w:ascii="仿宋" w:hAnsi="仿宋" w:eastAsia="仿宋"/>
          <w:sz w:val="30"/>
          <w:szCs w:val="30"/>
        </w:rPr>
        <w:t>办</w:t>
      </w:r>
      <w:r>
        <w:rPr>
          <w:rFonts w:hint="eastAsia" w:ascii="仿宋" w:hAnsi="仿宋" w:eastAsia="仿宋"/>
          <w:sz w:val="30"/>
          <w:szCs w:val="30"/>
          <w:lang w:eastAsia="zh-CN"/>
        </w:rPr>
        <w:t>公室</w:t>
      </w:r>
      <w:r>
        <w:rPr>
          <w:rFonts w:hint="eastAsia" w:ascii="仿宋" w:hAnsi="仿宋" w:eastAsia="仿宋"/>
          <w:sz w:val="30"/>
          <w:szCs w:val="30"/>
        </w:rPr>
        <w:t>政务公开</w:t>
      </w:r>
      <w:r>
        <w:rPr>
          <w:rFonts w:ascii="仿宋" w:hAnsi="仿宋" w:eastAsia="仿宋"/>
          <w:sz w:val="30"/>
          <w:szCs w:val="30"/>
        </w:rPr>
        <w:t>“预决算</w:t>
      </w:r>
      <w:r>
        <w:rPr>
          <w:rFonts w:hint="eastAsia" w:ascii="仿宋" w:hAnsi="仿宋" w:eastAsia="仿宋"/>
          <w:sz w:val="30"/>
          <w:szCs w:val="30"/>
        </w:rPr>
        <w:t>公开</w:t>
      </w:r>
      <w:r>
        <w:rPr>
          <w:rFonts w:ascii="仿宋" w:hAnsi="仿宋" w:eastAsia="仿宋"/>
          <w:sz w:val="30"/>
          <w:szCs w:val="30"/>
        </w:rPr>
        <w:t>”专栏</w:t>
      </w:r>
      <w:r>
        <w:rPr>
          <w:rFonts w:hint="eastAsia" w:ascii="仿宋" w:hAnsi="仿宋" w:eastAsia="仿宋"/>
          <w:sz w:val="30"/>
          <w:szCs w:val="30"/>
          <w:lang w:eastAsia="zh-CN"/>
        </w:rPr>
        <w:t>同步公开</w:t>
      </w:r>
      <w:r>
        <w:rPr>
          <w:rFonts w:ascii="仿宋" w:hAnsi="仿宋" w:eastAsia="仿宋"/>
          <w:sz w:val="30"/>
          <w:szCs w:val="30"/>
        </w:rPr>
        <w:t>，并保持长期公开状态</w:t>
      </w:r>
      <w:r>
        <w:rPr>
          <w:rFonts w:hint="eastAsia" w:ascii="仿宋" w:hAnsi="仿宋" w:eastAsia="仿宋"/>
          <w:sz w:val="30"/>
          <w:szCs w:val="30"/>
          <w:lang w:eastAsia="zh-CN"/>
        </w:rPr>
        <w:t>，便于社会公众查询监督</w:t>
      </w:r>
      <w:r>
        <w:rPr>
          <w:rFonts w:ascii="仿宋" w:hAnsi="仿宋" w:eastAsia="仿宋"/>
          <w:sz w:val="30"/>
          <w:szCs w:val="30"/>
        </w:rPr>
        <w:t>。</w:t>
      </w:r>
    </w:p>
    <w:p w14:paraId="1317E405">
      <w:pPr>
        <w:rPr>
          <w:rFonts w:hint="eastAsia" w:ascii="仿宋" w:hAnsi="仿宋" w:eastAsia="仿宋"/>
          <w:sz w:val="30"/>
          <w:szCs w:val="30"/>
        </w:rPr>
      </w:pPr>
      <w:r>
        <w:rPr>
          <w:rFonts w:hint="eastAsia" w:ascii="仿宋" w:hAnsi="仿宋" w:eastAsia="仿宋"/>
          <w:sz w:val="30"/>
          <w:szCs w:val="30"/>
          <w:lang w:val="en-US" w:eastAsia="zh-CN"/>
        </w:rPr>
        <w:t xml:space="preserve">    </w:t>
      </w:r>
      <w:r>
        <w:rPr>
          <w:rFonts w:hint="eastAsia" w:ascii="仿宋" w:hAnsi="仿宋" w:eastAsia="仿宋"/>
          <w:b/>
          <w:bCs/>
          <w:sz w:val="30"/>
          <w:szCs w:val="30"/>
          <w:lang w:val="en-US" w:eastAsia="zh-CN"/>
        </w:rPr>
        <w:t>第八条</w:t>
      </w:r>
      <w:r>
        <w:rPr>
          <w:rFonts w:hint="eastAsia" w:ascii="仿宋" w:hAnsi="仿宋" w:eastAsia="仿宋"/>
          <w:sz w:val="30"/>
          <w:szCs w:val="30"/>
          <w:lang w:val="en-US" w:eastAsia="zh-CN"/>
        </w:rPr>
        <w:t xml:space="preserve">  经市财政局批复的</w:t>
      </w:r>
      <w:r>
        <w:rPr>
          <w:rFonts w:ascii="仿宋" w:hAnsi="仿宋" w:eastAsia="仿宋"/>
          <w:sz w:val="30"/>
          <w:szCs w:val="30"/>
        </w:rPr>
        <w:t>部门预决算及报表</w:t>
      </w:r>
      <w:r>
        <w:rPr>
          <w:rFonts w:hint="eastAsia" w:ascii="仿宋" w:hAnsi="仿宋" w:eastAsia="仿宋"/>
          <w:sz w:val="30"/>
          <w:szCs w:val="30"/>
          <w:lang w:eastAsia="zh-CN"/>
        </w:rPr>
        <w:t>，</w:t>
      </w:r>
      <w:r>
        <w:rPr>
          <w:rFonts w:ascii="仿宋" w:hAnsi="仿宋" w:eastAsia="仿宋"/>
          <w:sz w:val="30"/>
          <w:szCs w:val="30"/>
        </w:rPr>
        <w:t>应当批复后 20 日内公开。</w:t>
      </w:r>
    </w:p>
    <w:p w14:paraId="582E207F">
      <w:pPr>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b/>
          <w:bCs/>
          <w:sz w:val="30"/>
          <w:szCs w:val="30"/>
          <w:lang w:eastAsia="zh-CN"/>
        </w:rPr>
        <w:t>第九条</w:t>
      </w:r>
      <w:r>
        <w:rPr>
          <w:rFonts w:hint="eastAsia" w:ascii="仿宋" w:hAnsi="仿宋" w:eastAsia="仿宋"/>
          <w:sz w:val="30"/>
          <w:szCs w:val="30"/>
          <w:lang w:val="en-US" w:eastAsia="zh-CN"/>
        </w:rPr>
        <w:t xml:space="preserve">  </w:t>
      </w:r>
      <w:r>
        <w:rPr>
          <w:rFonts w:ascii="仿宋" w:hAnsi="仿宋" w:eastAsia="仿宋"/>
          <w:sz w:val="30"/>
          <w:szCs w:val="30"/>
        </w:rPr>
        <w:t>本办法自</w:t>
      </w:r>
      <w:r>
        <w:rPr>
          <w:rFonts w:hint="eastAsia" w:ascii="仿宋" w:hAnsi="仿宋" w:eastAsia="仿宋"/>
          <w:sz w:val="30"/>
          <w:szCs w:val="30"/>
          <w:lang w:eastAsia="zh-CN"/>
        </w:rPr>
        <w:t>印发</w:t>
      </w:r>
      <w:r>
        <w:rPr>
          <w:rFonts w:ascii="仿宋" w:hAnsi="仿宋" w:eastAsia="仿宋"/>
          <w:sz w:val="30"/>
          <w:szCs w:val="30"/>
        </w:rPr>
        <w:t>之日起实行。</w:t>
      </w:r>
    </w:p>
    <w:p w14:paraId="134D65A0">
      <w:pPr>
        <w:rPr>
          <w:rFonts w:hint="eastAsia" w:ascii="仿宋" w:hAnsi="仿宋" w:eastAsia="仿宋" w:cs="仿宋"/>
          <w:b w:val="0"/>
          <w:bCs w:val="0"/>
          <w:color w:val="auto"/>
          <w:sz w:val="32"/>
          <w:szCs w:val="32"/>
        </w:rPr>
      </w:pPr>
      <w:r>
        <w:rPr>
          <w:rFonts w:hint="eastAsia" w:ascii="仿宋" w:hAnsi="仿宋" w:eastAsia="仿宋" w:cs="仿宋"/>
          <w:b w:val="0"/>
          <w:bCs w:val="0"/>
          <w:color w:val="auto"/>
          <w:sz w:val="32"/>
          <w:szCs w:val="32"/>
        </w:rPr>
        <w:br w:type="page"/>
      </w:r>
    </w:p>
    <w:p w14:paraId="6F280D45">
      <w:pPr>
        <w:pStyle w:val="6"/>
        <w:numPr>
          <w:ilvl w:val="0"/>
          <w:numId w:val="0"/>
        </w:numPr>
        <w:spacing w:before="0" w:beforeAutospacing="0" w:after="0" w:afterAutospacing="0"/>
        <w:jc w:val="center"/>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eastAsia="zh-CN"/>
        </w:rPr>
        <w:t>第二部分</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lang w:eastAsia="zh-CN"/>
        </w:rPr>
        <w:t>抚顺市政府办公室机关综合服务中心概况</w:t>
      </w:r>
    </w:p>
    <w:p w14:paraId="55900C4D">
      <w:pPr>
        <w:pStyle w:val="6"/>
        <w:numPr>
          <w:ilvl w:val="0"/>
          <w:numId w:val="0"/>
        </w:numPr>
        <w:spacing w:before="0" w:beforeAutospacing="0" w:after="0" w:afterAutospacing="0"/>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一、部门</w:t>
      </w:r>
      <w:r>
        <w:rPr>
          <w:rFonts w:hint="eastAsia" w:ascii="黑体" w:hAnsi="黑体" w:eastAsia="黑体" w:cs="黑体"/>
          <w:color w:val="auto"/>
          <w:sz w:val="32"/>
          <w:szCs w:val="32"/>
          <w:lang w:eastAsia="zh-CN"/>
        </w:rPr>
        <w:t>职责</w:t>
      </w:r>
    </w:p>
    <w:p w14:paraId="0B277574">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（一）承担为宣传推介抚顺，密切京抚工作联络，促进地区经济合作发展、经贸交流方面提供事务性、服务性工作职责；承担为抚顺党政机关、企事业单位来京及驻京部门提供服务保障的工作职责</w:t>
      </w:r>
      <w:r>
        <w:rPr>
          <w:rFonts w:hint="eastAsia" w:ascii="仿宋" w:hAnsi="仿宋" w:eastAsia="仿宋" w:cs="仿宋"/>
          <w:color w:val="auto"/>
          <w:sz w:val="32"/>
          <w:szCs w:val="32"/>
        </w:rPr>
        <w:t>。</w:t>
      </w:r>
    </w:p>
    <w:p w14:paraId="4EE00336">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（二）承担为集中办公区公共区域环境卫生，公共设施及设备提供维护、运行、节能等服务保障的工作职责；承担为食堂、物业等后勤提供服务保障党的工作职责。</w:t>
      </w:r>
    </w:p>
    <w:p w14:paraId="1D791472">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（三）承担市本级公务用车平台车辆的运行、调度、维修等事务性的工作职责。</w:t>
      </w:r>
    </w:p>
    <w:p w14:paraId="312CF70D">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（四）承担集中办公区有关重要会议的服务保障的工作职责。</w:t>
      </w:r>
    </w:p>
    <w:p w14:paraId="7A58FED3">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（五）承担市政府办公室交办的其他工作。</w:t>
      </w:r>
    </w:p>
    <w:p w14:paraId="238B571F">
      <w:pPr>
        <w:pStyle w:val="6"/>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rPr>
        <w:t>二、</w:t>
      </w:r>
      <w:r>
        <w:rPr>
          <w:rFonts w:hint="eastAsia" w:ascii="黑体" w:hAnsi="黑体" w:eastAsia="黑体" w:cs="黑体"/>
          <w:color w:val="auto"/>
          <w:sz w:val="32"/>
          <w:szCs w:val="32"/>
          <w:lang w:eastAsia="zh-CN"/>
        </w:rPr>
        <w:t>机构设置</w:t>
      </w:r>
      <w:r>
        <w:rPr>
          <w:rFonts w:hint="eastAsia" w:ascii="黑体" w:hAnsi="黑体" w:eastAsia="黑体" w:cs="黑体"/>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抚顺市</w:t>
      </w:r>
      <w:r>
        <w:rPr>
          <w:rFonts w:hint="eastAsia" w:ascii="仿宋" w:hAnsi="仿宋" w:eastAsia="仿宋" w:cs="仿宋"/>
          <w:color w:val="auto"/>
          <w:sz w:val="32"/>
          <w:szCs w:val="32"/>
          <w:lang w:eastAsia="zh-CN"/>
        </w:rPr>
        <w:t>政府办公室机关综合服务中心为二级预算单位，主管部门为抚顺市政府办公室，人员编制</w:t>
      </w:r>
      <w:r>
        <w:rPr>
          <w:rFonts w:hint="eastAsia" w:ascii="仿宋" w:hAnsi="仿宋" w:eastAsia="仿宋" w:cs="仿宋"/>
          <w:color w:val="auto"/>
          <w:sz w:val="32"/>
          <w:szCs w:val="32"/>
          <w:lang w:val="en-US" w:eastAsia="zh-CN"/>
        </w:rPr>
        <w:t>101名。</w:t>
      </w:r>
      <w:r>
        <w:rPr>
          <w:rFonts w:hint="eastAsia" w:ascii="仿宋" w:hAnsi="仿宋" w:eastAsia="仿宋" w:cs="仿宋"/>
          <w:color w:val="auto"/>
          <w:sz w:val="32"/>
          <w:szCs w:val="32"/>
        </w:rPr>
        <w:br w:type="textWrapping"/>
      </w:r>
    </w:p>
    <w:p w14:paraId="432B6C31">
      <w:pPr>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br w:type="page"/>
      </w:r>
    </w:p>
    <w:p w14:paraId="5A82F914">
      <w:pPr>
        <w:pStyle w:val="6"/>
        <w:spacing w:before="0" w:beforeAutospacing="0" w:after="0" w:afterAutospacing="0"/>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第三部分</w:t>
      </w:r>
      <w:r>
        <w:rPr>
          <w:rFonts w:hint="eastAsia" w:ascii="黑体" w:hAnsi="黑体" w:eastAsia="黑体" w:cs="黑体"/>
          <w:b w:val="0"/>
          <w:bCs w:val="0"/>
          <w:color w:val="auto"/>
          <w:sz w:val="32"/>
          <w:szCs w:val="32"/>
          <w:lang w:val="en-US" w:eastAsia="zh-CN"/>
        </w:rPr>
        <w:t xml:space="preserve"> </w:t>
      </w:r>
      <w:r>
        <w:rPr>
          <w:rFonts w:hint="eastAsia" w:ascii="黑体" w:hAnsi="黑体" w:eastAsia="黑体" w:cs="黑体"/>
          <w:b w:val="0"/>
          <w:bCs w:val="0"/>
          <w:color w:val="auto"/>
          <w:sz w:val="32"/>
          <w:szCs w:val="32"/>
        </w:rPr>
        <w:t> 202</w:t>
      </w:r>
      <w:r>
        <w:rPr>
          <w:rFonts w:hint="eastAsia" w:ascii="黑体" w:hAnsi="黑体" w:eastAsia="黑体" w:cs="黑体"/>
          <w:b w:val="0"/>
          <w:bCs w:val="0"/>
          <w:color w:val="auto"/>
          <w:sz w:val="32"/>
          <w:szCs w:val="32"/>
          <w:lang w:val="en-US" w:eastAsia="zh-CN"/>
        </w:rPr>
        <w:t>5</w:t>
      </w:r>
      <w:r>
        <w:rPr>
          <w:rFonts w:hint="eastAsia" w:ascii="黑体" w:hAnsi="黑体" w:eastAsia="黑体" w:cs="黑体"/>
          <w:b w:val="0"/>
          <w:bCs w:val="0"/>
          <w:color w:val="auto"/>
          <w:sz w:val="32"/>
          <w:szCs w:val="32"/>
        </w:rPr>
        <w:t>年部门预算情况说明</w:t>
      </w:r>
    </w:p>
    <w:p w14:paraId="7DF672F7">
      <w:pPr>
        <w:pStyle w:val="6"/>
        <w:spacing w:before="0" w:beforeAutospacing="0" w:after="0" w:afterAutospacing="0"/>
        <w:ind w:left="640" w:hanging="640" w:hangingChars="200"/>
        <w:jc w:val="both"/>
        <w:rPr>
          <w:rFonts w:hint="eastAsia" w:ascii="黑体" w:hAnsi="黑体" w:eastAsia="黑体" w:cs="黑体"/>
          <w:color w:val="auto"/>
          <w:sz w:val="32"/>
          <w:szCs w:val="32"/>
          <w:lang w:eastAsia="zh-CN"/>
        </w:rPr>
      </w:pPr>
      <w:r>
        <w:rPr>
          <w:rFonts w:hint="eastAsia" w:ascii="黑体" w:hAnsi="黑体" w:eastAsia="黑体" w:cs="黑体"/>
          <w:b w:val="0"/>
          <w:bCs w:val="0"/>
          <w:color w:val="auto"/>
          <w:sz w:val="32"/>
          <w:szCs w:val="32"/>
          <w:lang w:eastAsia="zh-CN"/>
        </w:rPr>
        <w:t>一、</w:t>
      </w:r>
      <w:r>
        <w:rPr>
          <w:rFonts w:hint="eastAsia" w:ascii="黑体" w:hAnsi="黑体" w:eastAsia="黑体" w:cs="黑体"/>
          <w:color w:val="auto"/>
          <w:sz w:val="32"/>
          <w:szCs w:val="32"/>
          <w:lang w:eastAsia="zh-CN"/>
        </w:rPr>
        <w:t>综合预算收支指标情况</w:t>
      </w:r>
    </w:p>
    <w:p w14:paraId="2C8E51A8">
      <w:pPr>
        <w:pStyle w:val="6"/>
        <w:spacing w:before="0" w:beforeAutospacing="0" w:after="0" w:afterAutospacing="0"/>
        <w:ind w:firstLine="643" w:firstLineChars="2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eastAsia="zh-CN"/>
        </w:rPr>
        <w:t>（一）收入</w:t>
      </w:r>
      <w:r>
        <w:rPr>
          <w:rFonts w:hint="eastAsia" w:ascii="仿宋" w:hAnsi="仿宋" w:eastAsia="仿宋" w:cs="仿宋"/>
          <w:b/>
          <w:bCs/>
          <w:color w:val="auto"/>
          <w:sz w:val="32"/>
          <w:szCs w:val="32"/>
        </w:rPr>
        <w:t xml:space="preserve">预算 </w:t>
      </w:r>
      <w:r>
        <w:rPr>
          <w:rFonts w:hint="eastAsia" w:ascii="仿宋" w:hAnsi="仿宋" w:eastAsia="仿宋" w:cs="仿宋"/>
          <w:b/>
          <w:bCs/>
          <w:color w:val="auto"/>
          <w:sz w:val="32"/>
          <w:szCs w:val="32"/>
          <w:lang w:val="en-US" w:eastAsia="zh-CN"/>
        </w:rPr>
        <w:t>6,069.32</w:t>
      </w:r>
      <w:r>
        <w:rPr>
          <w:rFonts w:hint="eastAsia" w:ascii="仿宋" w:hAnsi="仿宋" w:eastAsia="仿宋" w:cs="仿宋"/>
          <w:b/>
          <w:bCs/>
          <w:color w:val="auto"/>
          <w:sz w:val="32"/>
          <w:szCs w:val="32"/>
        </w:rPr>
        <w:t>万元</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lang w:eastAsia="zh-CN"/>
        </w:rPr>
        <w:t>其中：</w:t>
      </w:r>
    </w:p>
    <w:p w14:paraId="38C2CFD4">
      <w:pPr>
        <w:pStyle w:val="6"/>
        <w:spacing w:before="0" w:beforeAutospacing="0" w:after="0" w:afterAutospacing="0"/>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财政拨款收入</w:t>
      </w:r>
      <w:r>
        <w:rPr>
          <w:rFonts w:hint="eastAsia" w:ascii="仿宋" w:hAnsi="仿宋" w:eastAsia="仿宋" w:cs="仿宋"/>
          <w:color w:val="auto"/>
          <w:sz w:val="32"/>
          <w:szCs w:val="32"/>
          <w:lang w:val="en-US" w:eastAsia="zh-CN"/>
        </w:rPr>
        <w:t>4,927.08</w:t>
      </w:r>
      <w:r>
        <w:rPr>
          <w:rFonts w:hint="eastAsia" w:ascii="仿宋" w:hAnsi="仿宋" w:eastAsia="仿宋" w:cs="仿宋"/>
          <w:color w:val="auto"/>
          <w:sz w:val="32"/>
          <w:szCs w:val="32"/>
        </w:rPr>
        <w:t>万元，</w:t>
      </w:r>
    </w:p>
    <w:p w14:paraId="59E17FE7">
      <w:pPr>
        <w:pStyle w:val="6"/>
        <w:spacing w:before="0" w:beforeAutospacing="0" w:after="0" w:afterAutospacing="0"/>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单位资金收入</w:t>
      </w:r>
      <w:r>
        <w:rPr>
          <w:rFonts w:hint="eastAsia" w:ascii="仿宋" w:hAnsi="仿宋" w:eastAsia="仿宋" w:cs="仿宋"/>
          <w:color w:val="auto"/>
          <w:sz w:val="32"/>
          <w:szCs w:val="32"/>
          <w:lang w:val="en-US" w:eastAsia="zh-CN"/>
        </w:rPr>
        <w:t>1,142.24</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p>
    <w:p w14:paraId="518B009D">
      <w:pPr>
        <w:pStyle w:val="6"/>
        <w:spacing w:before="0" w:beforeAutospacing="0" w:after="0" w:afterAutospacing="0"/>
        <w:ind w:firstLine="643" w:firstLineChars="2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eastAsia="zh-CN"/>
        </w:rPr>
        <w:t>（二）支出预算</w:t>
      </w:r>
      <w:r>
        <w:rPr>
          <w:rFonts w:hint="eastAsia" w:ascii="仿宋" w:hAnsi="仿宋" w:eastAsia="仿宋" w:cs="仿宋"/>
          <w:b/>
          <w:bCs/>
          <w:color w:val="auto"/>
          <w:sz w:val="32"/>
          <w:szCs w:val="32"/>
        </w:rPr>
        <w:t xml:space="preserve"> </w:t>
      </w:r>
      <w:r>
        <w:rPr>
          <w:rFonts w:hint="eastAsia" w:ascii="仿宋" w:hAnsi="仿宋" w:eastAsia="仿宋" w:cs="仿宋"/>
          <w:b/>
          <w:bCs/>
          <w:color w:val="auto"/>
          <w:sz w:val="32"/>
          <w:szCs w:val="32"/>
          <w:lang w:val="en-US" w:eastAsia="zh-CN"/>
        </w:rPr>
        <w:t>6,069.32</w:t>
      </w:r>
      <w:r>
        <w:rPr>
          <w:rFonts w:hint="eastAsia" w:ascii="仿宋" w:hAnsi="仿宋" w:eastAsia="仿宋" w:cs="仿宋"/>
          <w:b/>
          <w:bCs/>
          <w:color w:val="auto"/>
          <w:sz w:val="32"/>
          <w:szCs w:val="32"/>
        </w:rPr>
        <w:t>万元</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lang w:eastAsia="zh-CN"/>
        </w:rPr>
        <w:t>其中：</w:t>
      </w:r>
    </w:p>
    <w:p w14:paraId="12655CDF">
      <w:pPr>
        <w:pStyle w:val="6"/>
        <w:spacing w:before="0" w:beforeAutospacing="0" w:after="0" w:afterAutospacing="0"/>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基本支出</w:t>
      </w:r>
      <w:r>
        <w:rPr>
          <w:rFonts w:hint="eastAsia" w:ascii="仿宋" w:hAnsi="仿宋" w:eastAsia="仿宋" w:cs="仿宋"/>
          <w:color w:val="auto"/>
          <w:sz w:val="32"/>
          <w:szCs w:val="32"/>
          <w:lang w:val="en-US" w:eastAsia="zh-CN"/>
        </w:rPr>
        <w:t>2,627.88万元，</w:t>
      </w:r>
    </w:p>
    <w:p w14:paraId="6F8FB731">
      <w:pPr>
        <w:pStyle w:val="6"/>
        <w:spacing w:before="0" w:beforeAutospacing="0" w:after="0" w:afterAutospacing="0"/>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项目支出</w:t>
      </w:r>
      <w:r>
        <w:rPr>
          <w:rFonts w:hint="eastAsia" w:ascii="仿宋" w:hAnsi="仿宋" w:eastAsia="仿宋" w:cs="仿宋"/>
          <w:color w:val="auto"/>
          <w:sz w:val="32"/>
          <w:szCs w:val="32"/>
          <w:lang w:val="en-US" w:eastAsia="zh-CN"/>
        </w:rPr>
        <w:t>3,441.44万元。</w:t>
      </w:r>
    </w:p>
    <w:p w14:paraId="4025ECF3">
      <w:pPr>
        <w:pStyle w:val="6"/>
        <w:spacing w:before="0" w:beforeAutospacing="0" w:after="0" w:afterAutospacing="0"/>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在支出预算中政府采购支出</w:t>
      </w:r>
      <w:r>
        <w:rPr>
          <w:rFonts w:hint="eastAsia" w:ascii="仿宋" w:hAnsi="仿宋" w:eastAsia="仿宋" w:cs="仿宋"/>
          <w:color w:val="auto"/>
          <w:sz w:val="32"/>
          <w:szCs w:val="32"/>
          <w:lang w:val="en-US" w:eastAsia="zh-CN"/>
        </w:rPr>
        <w:t>2,070.5万元，纳入预算绩效管理的特定目标类和其他运转类项目共10个，涉及资金3,441.44万元。</w:t>
      </w:r>
    </w:p>
    <w:p w14:paraId="6862AA7A">
      <w:pPr>
        <w:pStyle w:val="6"/>
        <w:spacing w:before="0" w:beforeAutospacing="0" w:after="0" w:afterAutospacing="0"/>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2025年收支</w:t>
      </w:r>
      <w:r>
        <w:rPr>
          <w:rFonts w:hint="eastAsia" w:ascii="仿宋" w:hAnsi="仿宋" w:eastAsia="仿宋" w:cs="仿宋"/>
          <w:color w:val="auto"/>
          <w:sz w:val="32"/>
          <w:szCs w:val="32"/>
        </w:rPr>
        <w:t>预算增减情况：202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年本部门</w:t>
      </w:r>
      <w:r>
        <w:rPr>
          <w:rFonts w:hint="eastAsia" w:ascii="仿宋" w:hAnsi="仿宋" w:eastAsia="仿宋" w:cs="仿宋"/>
          <w:color w:val="auto"/>
          <w:sz w:val="32"/>
          <w:szCs w:val="32"/>
          <w:lang w:eastAsia="zh-CN"/>
        </w:rPr>
        <w:t>收支</w:t>
      </w:r>
      <w:r>
        <w:rPr>
          <w:rFonts w:hint="eastAsia" w:ascii="仿宋" w:hAnsi="仿宋" w:eastAsia="仿宋" w:cs="仿宋"/>
          <w:color w:val="auto"/>
          <w:sz w:val="32"/>
          <w:szCs w:val="32"/>
        </w:rPr>
        <w:t>预算</w:t>
      </w:r>
      <w:r>
        <w:rPr>
          <w:rFonts w:hint="eastAsia" w:ascii="仿宋" w:hAnsi="仿宋" w:eastAsia="仿宋" w:cs="仿宋"/>
          <w:color w:val="auto"/>
          <w:sz w:val="32"/>
          <w:szCs w:val="32"/>
          <w:lang w:val="en-US" w:eastAsia="zh-CN"/>
        </w:rPr>
        <w:t>6,069.32</w:t>
      </w:r>
      <w:r>
        <w:rPr>
          <w:rFonts w:hint="eastAsia" w:ascii="仿宋" w:hAnsi="仿宋" w:eastAsia="仿宋" w:cs="仿宋"/>
          <w:color w:val="auto"/>
          <w:sz w:val="32"/>
          <w:szCs w:val="32"/>
        </w:rPr>
        <w:t>万元，比上年</w:t>
      </w:r>
      <w:r>
        <w:rPr>
          <w:rFonts w:hint="eastAsia" w:ascii="仿宋" w:hAnsi="仿宋" w:eastAsia="仿宋" w:cs="仿宋"/>
          <w:color w:val="auto"/>
          <w:sz w:val="32"/>
          <w:szCs w:val="32"/>
          <w:lang w:eastAsia="zh-CN"/>
        </w:rPr>
        <w:t>增加</w:t>
      </w:r>
      <w:r>
        <w:rPr>
          <w:rFonts w:hint="eastAsia" w:ascii="仿宋" w:hAnsi="仿宋" w:eastAsia="仿宋" w:cs="仿宋"/>
          <w:color w:val="auto"/>
          <w:sz w:val="32"/>
          <w:szCs w:val="32"/>
          <w:lang w:val="en-US" w:eastAsia="zh-CN"/>
        </w:rPr>
        <w:t>1,909.65</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增长</w:t>
      </w:r>
      <w:r>
        <w:rPr>
          <w:rFonts w:hint="eastAsia" w:ascii="仿宋" w:hAnsi="仿宋" w:eastAsia="仿宋" w:cs="仿宋"/>
          <w:color w:val="auto"/>
          <w:sz w:val="32"/>
          <w:szCs w:val="32"/>
          <w:lang w:val="en-US" w:eastAsia="zh-CN"/>
        </w:rPr>
        <w:t>45.91%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增加</w:t>
      </w:r>
      <w:r>
        <w:rPr>
          <w:rFonts w:hint="eastAsia" w:ascii="仿宋" w:hAnsi="仿宋" w:eastAsia="仿宋" w:cs="仿宋"/>
          <w:color w:val="auto"/>
          <w:sz w:val="32"/>
          <w:szCs w:val="32"/>
        </w:rPr>
        <w:t>主要原因：</w:t>
      </w:r>
      <w:r>
        <w:rPr>
          <w:rFonts w:hint="eastAsia" w:ascii="仿宋" w:hAnsi="仿宋" w:eastAsia="仿宋" w:cs="仿宋"/>
          <w:color w:val="auto"/>
          <w:sz w:val="32"/>
          <w:szCs w:val="32"/>
          <w:lang w:eastAsia="zh-CN"/>
        </w:rPr>
        <w:t>中心按照市政府办公室要求，</w:t>
      </w:r>
      <w:r>
        <w:rPr>
          <w:rFonts w:hint="eastAsia" w:ascii="仿宋" w:hAnsi="仿宋" w:eastAsia="仿宋" w:cs="仿宋"/>
          <w:color w:val="auto"/>
          <w:sz w:val="32"/>
          <w:szCs w:val="32"/>
          <w:lang w:val="en-US" w:eastAsia="zh-CN"/>
        </w:rPr>
        <w:t>2025年度</w:t>
      </w:r>
      <w:r>
        <w:rPr>
          <w:rFonts w:hint="eastAsia" w:ascii="仿宋" w:hAnsi="仿宋" w:eastAsia="仿宋" w:cs="仿宋"/>
          <w:color w:val="auto"/>
          <w:sz w:val="32"/>
          <w:szCs w:val="32"/>
          <w:lang w:eastAsia="zh-CN"/>
        </w:rPr>
        <w:t>集中办公区公共取暖费、水费、电费职能移交我中心，因此预算收支增加</w:t>
      </w:r>
      <w:r>
        <w:rPr>
          <w:rFonts w:hint="eastAsia" w:ascii="仿宋" w:hAnsi="仿宋" w:eastAsia="仿宋" w:cs="仿宋"/>
          <w:color w:val="auto"/>
          <w:sz w:val="32"/>
          <w:szCs w:val="32"/>
        </w:rPr>
        <w:t>。</w:t>
      </w:r>
    </w:p>
    <w:p w14:paraId="1AF18A45">
      <w:pPr>
        <w:pStyle w:val="6"/>
        <w:spacing w:before="0" w:beforeAutospacing="0" w:after="0" w:afterAutospacing="0"/>
        <w:ind w:firstLine="643" w:firstLineChars="2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eastAsia="zh-CN"/>
        </w:rPr>
        <w:t>（三）</w:t>
      </w:r>
      <w:r>
        <w:rPr>
          <w:rFonts w:hint="eastAsia" w:ascii="仿宋" w:hAnsi="仿宋" w:eastAsia="仿宋" w:cs="仿宋"/>
          <w:b/>
          <w:bCs/>
          <w:color w:val="auto"/>
          <w:sz w:val="32"/>
          <w:szCs w:val="32"/>
        </w:rPr>
        <w:t>财政拨款收支预算情况</w:t>
      </w:r>
      <w:r>
        <w:rPr>
          <w:rFonts w:hint="eastAsia" w:ascii="仿宋" w:hAnsi="仿宋" w:eastAsia="仿宋" w:cs="仿宋"/>
          <w:b/>
          <w:bCs/>
          <w:color w:val="auto"/>
          <w:sz w:val="32"/>
          <w:szCs w:val="32"/>
        </w:rPr>
        <w:br w:type="textWrapping"/>
      </w:r>
      <w:r>
        <w:rPr>
          <w:rFonts w:hint="eastAsia" w:ascii="仿宋" w:hAnsi="仿宋" w:eastAsia="仿宋" w:cs="仿宋"/>
          <w:color w:val="auto"/>
          <w:sz w:val="32"/>
          <w:szCs w:val="32"/>
          <w:lang w:val="en-US" w:eastAsia="zh-CN"/>
        </w:rPr>
        <w:t xml:space="preserve">    中心</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年财政拨款收支总预算</w:t>
      </w:r>
      <w:r>
        <w:rPr>
          <w:rFonts w:hint="eastAsia" w:ascii="仿宋" w:hAnsi="仿宋" w:eastAsia="仿宋" w:cs="仿宋"/>
          <w:color w:val="auto"/>
          <w:sz w:val="32"/>
          <w:szCs w:val="32"/>
          <w:lang w:val="en-US" w:eastAsia="zh-CN"/>
        </w:rPr>
        <w:t>4,927.08</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。其中：</w:t>
      </w:r>
    </w:p>
    <w:p w14:paraId="49B39269">
      <w:pPr>
        <w:pStyle w:val="6"/>
        <w:spacing w:before="0" w:beforeAutospacing="0" w:after="0" w:afterAutospacing="0"/>
        <w:ind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按功能支出分类包括：一般公共服务支出</w:t>
      </w:r>
      <w:r>
        <w:rPr>
          <w:rFonts w:hint="eastAsia" w:ascii="仿宋" w:hAnsi="仿宋" w:eastAsia="仿宋" w:cs="仿宋"/>
          <w:color w:val="auto"/>
          <w:sz w:val="32"/>
          <w:szCs w:val="32"/>
          <w:lang w:val="en-US" w:eastAsia="zh-CN"/>
        </w:rPr>
        <w:t>4,636.93</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社会保障和就业支出</w:t>
      </w:r>
      <w:r>
        <w:rPr>
          <w:rFonts w:hint="eastAsia" w:ascii="仿宋" w:hAnsi="仿宋" w:eastAsia="仿宋" w:cs="仿宋"/>
          <w:color w:val="auto"/>
          <w:sz w:val="32"/>
          <w:szCs w:val="32"/>
          <w:lang w:val="en-US" w:eastAsia="zh-CN"/>
        </w:rPr>
        <w:t>171.11</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卫生健康支出</w:t>
      </w:r>
      <w:r>
        <w:rPr>
          <w:rFonts w:hint="eastAsia" w:ascii="仿宋" w:hAnsi="仿宋" w:eastAsia="仿宋" w:cs="仿宋"/>
          <w:color w:val="auto"/>
          <w:sz w:val="32"/>
          <w:szCs w:val="32"/>
          <w:lang w:val="en-US" w:eastAsia="zh-CN"/>
        </w:rPr>
        <w:t>47.44</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住房保障支出</w:t>
      </w:r>
      <w:r>
        <w:rPr>
          <w:rFonts w:hint="eastAsia" w:ascii="仿宋" w:hAnsi="仿宋" w:eastAsia="仿宋" w:cs="仿宋"/>
          <w:color w:val="auto"/>
          <w:sz w:val="32"/>
          <w:szCs w:val="32"/>
          <w:lang w:val="en-US" w:eastAsia="zh-CN"/>
        </w:rPr>
        <w:t>71.6</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p>
    <w:p w14:paraId="1ED8407B">
      <w:pPr>
        <w:pStyle w:val="6"/>
        <w:spacing w:before="0" w:beforeAutospacing="0" w:after="0" w:afterAutospacing="0"/>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按经济支出分类包括:工资福利支出</w:t>
      </w:r>
      <w:r>
        <w:rPr>
          <w:rFonts w:hint="eastAsia" w:ascii="仿宋" w:hAnsi="仿宋" w:eastAsia="仿宋" w:cs="仿宋"/>
          <w:color w:val="auto"/>
          <w:sz w:val="32"/>
          <w:szCs w:val="32"/>
          <w:lang w:val="en-US" w:eastAsia="zh-CN"/>
        </w:rPr>
        <w:t>845.71</w:t>
      </w:r>
      <w:r>
        <w:rPr>
          <w:rFonts w:hint="eastAsia" w:ascii="仿宋" w:hAnsi="仿宋" w:eastAsia="仿宋" w:cs="仿宋"/>
          <w:color w:val="auto"/>
          <w:sz w:val="32"/>
          <w:szCs w:val="32"/>
        </w:rPr>
        <w:t>万元，商品和服务支出</w:t>
      </w:r>
      <w:r>
        <w:rPr>
          <w:rFonts w:hint="eastAsia" w:ascii="仿宋" w:hAnsi="仿宋" w:eastAsia="仿宋" w:cs="仿宋"/>
          <w:color w:val="auto"/>
          <w:sz w:val="32"/>
          <w:szCs w:val="32"/>
          <w:lang w:val="en-US" w:eastAsia="zh-CN"/>
        </w:rPr>
        <w:t>1,757.11</w:t>
      </w:r>
      <w:r>
        <w:rPr>
          <w:rFonts w:hint="eastAsia" w:ascii="仿宋" w:hAnsi="仿宋" w:eastAsia="仿宋" w:cs="仿宋"/>
          <w:color w:val="auto"/>
          <w:sz w:val="32"/>
          <w:szCs w:val="32"/>
        </w:rPr>
        <w:t>万元，对个人和家庭的补助支出</w:t>
      </w:r>
      <w:r>
        <w:rPr>
          <w:rFonts w:hint="eastAsia" w:ascii="仿宋" w:hAnsi="仿宋" w:eastAsia="仿宋" w:cs="仿宋"/>
          <w:color w:val="auto"/>
          <w:sz w:val="32"/>
          <w:szCs w:val="32"/>
          <w:lang w:val="en-US" w:eastAsia="zh-CN"/>
        </w:rPr>
        <w:t>25.06</w:t>
      </w:r>
      <w:r>
        <w:rPr>
          <w:rFonts w:hint="eastAsia" w:ascii="仿宋" w:hAnsi="仿宋" w:eastAsia="仿宋" w:cs="仿宋"/>
          <w:color w:val="auto"/>
          <w:sz w:val="32"/>
          <w:szCs w:val="32"/>
        </w:rPr>
        <w:t>万元，项目支出</w:t>
      </w:r>
      <w:r>
        <w:rPr>
          <w:rFonts w:hint="eastAsia" w:ascii="仿宋" w:hAnsi="仿宋" w:eastAsia="仿宋" w:cs="仿宋"/>
          <w:color w:val="auto"/>
          <w:sz w:val="32"/>
          <w:szCs w:val="32"/>
          <w:lang w:val="en-US" w:eastAsia="zh-CN"/>
        </w:rPr>
        <w:t>3,441.44</w:t>
      </w:r>
      <w:r>
        <w:rPr>
          <w:rFonts w:hint="eastAsia" w:ascii="仿宋" w:hAnsi="仿宋" w:eastAsia="仿宋" w:cs="仿宋"/>
          <w:color w:val="auto"/>
          <w:sz w:val="32"/>
          <w:szCs w:val="32"/>
        </w:rPr>
        <w:t>万元。</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b/>
          <w:bCs/>
          <w:color w:val="auto"/>
          <w:sz w:val="32"/>
          <w:szCs w:val="32"/>
          <w:lang w:eastAsia="zh-CN"/>
        </w:rPr>
        <w:t>（四）</w:t>
      </w:r>
      <w:r>
        <w:rPr>
          <w:rFonts w:hint="eastAsia" w:ascii="仿宋" w:hAnsi="仿宋" w:eastAsia="仿宋" w:cs="仿宋"/>
          <w:b/>
          <w:bCs/>
          <w:color w:val="auto"/>
          <w:sz w:val="32"/>
          <w:szCs w:val="32"/>
        </w:rPr>
        <w:t>关于202</w:t>
      </w:r>
      <w:r>
        <w:rPr>
          <w:rFonts w:hint="eastAsia" w:ascii="仿宋" w:hAnsi="仿宋" w:eastAsia="仿宋" w:cs="仿宋"/>
          <w:b/>
          <w:bCs/>
          <w:color w:val="auto"/>
          <w:sz w:val="32"/>
          <w:szCs w:val="32"/>
          <w:lang w:val="en-US" w:eastAsia="zh-CN"/>
        </w:rPr>
        <w:t>5</w:t>
      </w:r>
      <w:r>
        <w:rPr>
          <w:rFonts w:hint="eastAsia" w:ascii="仿宋" w:hAnsi="仿宋" w:eastAsia="仿宋" w:cs="仿宋"/>
          <w:b/>
          <w:bCs/>
          <w:color w:val="auto"/>
          <w:sz w:val="32"/>
          <w:szCs w:val="32"/>
        </w:rPr>
        <w:t>年一般公共预算基本支出情况说明</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rPr>
        <w:t>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本部门202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年一般公共预算基本支出</w:t>
      </w:r>
      <w:r>
        <w:rPr>
          <w:rFonts w:hint="eastAsia" w:ascii="仿宋" w:hAnsi="仿宋" w:eastAsia="仿宋" w:cs="仿宋"/>
          <w:color w:val="auto"/>
          <w:sz w:val="32"/>
          <w:szCs w:val="32"/>
          <w:lang w:val="en-US" w:eastAsia="zh-CN"/>
        </w:rPr>
        <w:t>2,627.88</w:t>
      </w:r>
      <w:r>
        <w:rPr>
          <w:rFonts w:hint="eastAsia" w:ascii="仿宋" w:hAnsi="仿宋" w:eastAsia="仿宋" w:cs="仿宋"/>
          <w:color w:val="auto"/>
          <w:sz w:val="32"/>
          <w:szCs w:val="32"/>
        </w:rPr>
        <w:t>万元，其中：工资福利支出</w:t>
      </w:r>
      <w:r>
        <w:rPr>
          <w:rFonts w:hint="eastAsia" w:ascii="仿宋" w:hAnsi="仿宋" w:eastAsia="仿宋" w:cs="仿宋"/>
          <w:color w:val="auto"/>
          <w:sz w:val="32"/>
          <w:szCs w:val="32"/>
          <w:lang w:val="en-US" w:eastAsia="zh-CN"/>
        </w:rPr>
        <w:t>845.71</w:t>
      </w:r>
      <w:r>
        <w:rPr>
          <w:rFonts w:hint="eastAsia" w:ascii="仿宋" w:hAnsi="仿宋" w:eastAsia="仿宋" w:cs="仿宋"/>
          <w:color w:val="auto"/>
          <w:sz w:val="32"/>
          <w:szCs w:val="32"/>
        </w:rPr>
        <w:t>万元，商品和服务支出</w:t>
      </w:r>
      <w:r>
        <w:rPr>
          <w:rFonts w:hint="eastAsia" w:ascii="仿宋" w:hAnsi="仿宋" w:eastAsia="仿宋" w:cs="仿宋"/>
          <w:color w:val="auto"/>
          <w:sz w:val="32"/>
          <w:szCs w:val="32"/>
          <w:lang w:val="en-US" w:eastAsia="zh-CN"/>
        </w:rPr>
        <w:t>1,757.11</w:t>
      </w:r>
      <w:r>
        <w:rPr>
          <w:rFonts w:hint="eastAsia" w:ascii="仿宋" w:hAnsi="仿宋" w:eastAsia="仿宋" w:cs="仿宋"/>
          <w:color w:val="auto"/>
          <w:sz w:val="32"/>
          <w:szCs w:val="32"/>
        </w:rPr>
        <w:t>万元，对个人和家庭补助支出</w:t>
      </w:r>
      <w:r>
        <w:rPr>
          <w:rFonts w:hint="eastAsia" w:ascii="仿宋" w:hAnsi="仿宋" w:eastAsia="仿宋" w:cs="仿宋"/>
          <w:color w:val="auto"/>
          <w:sz w:val="32"/>
          <w:szCs w:val="32"/>
          <w:lang w:val="en-US" w:eastAsia="zh-CN"/>
        </w:rPr>
        <w:t>25.06</w:t>
      </w:r>
      <w:r>
        <w:rPr>
          <w:rFonts w:hint="eastAsia" w:ascii="仿宋" w:hAnsi="仿宋" w:eastAsia="仿宋" w:cs="仿宋"/>
          <w:color w:val="auto"/>
          <w:sz w:val="32"/>
          <w:szCs w:val="32"/>
        </w:rPr>
        <w:t>万元。</w:t>
      </w:r>
    </w:p>
    <w:p w14:paraId="3BB38107">
      <w:pPr>
        <w:pStyle w:val="6"/>
        <w:spacing w:before="0" w:beforeAutospacing="0" w:after="0" w:afterAutospacing="0"/>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二、部门管理专项资金情况</w:t>
      </w:r>
    </w:p>
    <w:p w14:paraId="7A150ACC">
      <w:pPr>
        <w:pStyle w:val="6"/>
        <w:spacing w:before="0" w:beforeAutospacing="0" w:after="0" w:afterAutospacing="0"/>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2025年，抚顺市政府办公室机关综合服务中心管理专项资金共0个，涉及资金0元。</w:t>
      </w:r>
    </w:p>
    <w:p w14:paraId="18864355">
      <w:pPr>
        <w:pStyle w:val="6"/>
        <w:spacing w:before="0" w:beforeAutospacing="0" w:after="0" w:afterAutospacing="0"/>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三、机关运行经费安排情况</w:t>
      </w:r>
    </w:p>
    <w:p w14:paraId="4FF2307D">
      <w:pPr>
        <w:pStyle w:val="6"/>
        <w:spacing w:before="0" w:beforeAutospacing="0" w:after="0" w:afterAutospacing="0"/>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抚顺市政府办公室机关综合服务中心为事业单位，无机关运行费预算。</w:t>
      </w:r>
    </w:p>
    <w:p w14:paraId="2B811CAA">
      <w:pPr>
        <w:pStyle w:val="6"/>
        <w:spacing w:before="0" w:beforeAutospacing="0" w:after="0" w:afterAutospacing="0"/>
        <w:ind w:firstLine="640" w:firstLineChars="200"/>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四、政府采购情况</w:t>
      </w:r>
    </w:p>
    <w:p w14:paraId="34A9ADE0">
      <w:pPr>
        <w:pStyle w:val="6"/>
        <w:spacing w:before="0" w:beforeAutospacing="0" w:after="0" w:afterAutospacing="0"/>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2025年抚顺市政府办公室机关综合服务中心安排政府采购预算2,070.5万元，具体为服务2,070.5万元。包括“购买服务人员、食堂食材成本运行服务费、食堂外包服务经费”项目。</w:t>
      </w:r>
    </w:p>
    <w:p w14:paraId="11D2312E">
      <w:pPr>
        <w:pStyle w:val="6"/>
        <w:numPr>
          <w:ilvl w:val="0"/>
          <w:numId w:val="0"/>
        </w:numPr>
        <w:spacing w:before="0" w:beforeAutospacing="0" w:after="0" w:afterAutospacing="0"/>
        <w:ind w:firstLine="640" w:firstLineChars="200"/>
        <w:jc w:val="both"/>
        <w:rPr>
          <w:rFonts w:hint="eastAsia" w:ascii="仿宋" w:hAnsi="仿宋" w:eastAsia="仿宋" w:cs="仿宋"/>
          <w:color w:val="auto"/>
          <w:sz w:val="32"/>
          <w:szCs w:val="32"/>
          <w:lang w:eastAsia="zh-CN"/>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“三公”经费预算情况</w:t>
      </w:r>
      <w:r>
        <w:rPr>
          <w:rFonts w:hint="eastAsia" w:ascii="黑体" w:hAnsi="黑体" w:eastAsia="黑体" w:cs="黑体"/>
          <w:color w:val="auto"/>
          <w:sz w:val="32"/>
          <w:szCs w:val="32"/>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eastAsia="zh-CN"/>
        </w:rPr>
        <w:t>，抚顺市政府办公室机关综合服务中心财政拨款预算安排的</w:t>
      </w:r>
      <w:r>
        <w:rPr>
          <w:rFonts w:hint="eastAsia" w:ascii="仿宋" w:hAnsi="仿宋" w:eastAsia="仿宋" w:cs="仿宋"/>
          <w:color w:val="auto"/>
          <w:sz w:val="32"/>
          <w:szCs w:val="32"/>
        </w:rPr>
        <w:t>“三公”经费预算</w:t>
      </w:r>
      <w:r>
        <w:rPr>
          <w:rFonts w:hint="eastAsia" w:ascii="仿宋" w:hAnsi="仿宋" w:eastAsia="仿宋" w:cs="仿宋"/>
          <w:color w:val="auto"/>
          <w:sz w:val="32"/>
          <w:szCs w:val="32"/>
          <w:lang w:eastAsia="zh-CN"/>
        </w:rPr>
        <w:t>为</w:t>
      </w:r>
      <w:r>
        <w:rPr>
          <w:rFonts w:hint="eastAsia" w:ascii="仿宋" w:hAnsi="仿宋" w:eastAsia="仿宋" w:cs="仿宋"/>
          <w:color w:val="auto"/>
          <w:sz w:val="32"/>
          <w:szCs w:val="32"/>
          <w:lang w:val="en-US" w:eastAsia="zh-CN"/>
        </w:rPr>
        <w:t>15.8</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比上年</w:t>
      </w:r>
      <w:r>
        <w:rPr>
          <w:rFonts w:hint="eastAsia" w:ascii="仿宋" w:hAnsi="仿宋" w:eastAsia="仿宋" w:cs="仿宋"/>
          <w:color w:val="auto"/>
          <w:sz w:val="32"/>
          <w:szCs w:val="32"/>
        </w:rPr>
        <w:t>减少</w:t>
      </w:r>
      <w:r>
        <w:rPr>
          <w:rFonts w:hint="eastAsia" w:ascii="仿宋" w:hAnsi="仿宋" w:eastAsia="仿宋" w:cs="仿宋"/>
          <w:color w:val="auto"/>
          <w:sz w:val="32"/>
          <w:szCs w:val="32"/>
          <w:lang w:val="en-US" w:eastAsia="zh-CN"/>
        </w:rPr>
        <w:t>131</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其中：</w:t>
      </w:r>
    </w:p>
    <w:p w14:paraId="0F94036B">
      <w:pPr>
        <w:pStyle w:val="6"/>
        <w:numPr>
          <w:ilvl w:val="0"/>
          <w:numId w:val="0"/>
        </w:numPr>
        <w:spacing w:before="0" w:beforeAutospacing="0" w:after="0" w:afterAutospacing="0"/>
        <w:jc w:val="both"/>
        <w:rPr>
          <w:rFonts w:hint="eastAsia" w:ascii="仿宋" w:hAnsi="仿宋" w:eastAsia="仿宋" w:cs="仿宋"/>
          <w:color w:val="auto"/>
          <w:sz w:val="32"/>
          <w:szCs w:val="32"/>
        </w:rPr>
      </w:pPr>
      <w:r>
        <w:rPr>
          <w:rFonts w:hint="eastAsia" w:ascii="仿宋" w:hAnsi="仿宋" w:eastAsia="仿宋" w:cs="仿宋"/>
          <w:color w:val="auto"/>
          <w:sz w:val="32"/>
          <w:szCs w:val="32"/>
        </w:rPr>
        <w:t>公务接待费用</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，对比上年减少</w:t>
      </w:r>
      <w:r>
        <w:rPr>
          <w:rFonts w:hint="eastAsia" w:ascii="仿宋" w:hAnsi="仿宋" w:eastAsia="仿宋" w:cs="仿宋"/>
          <w:color w:val="auto"/>
          <w:sz w:val="32"/>
          <w:szCs w:val="32"/>
          <w:lang w:val="en-US" w:eastAsia="zh-CN"/>
        </w:rPr>
        <w:t>2万元，下降66.67%，主要原因是驻京联络处公务接待费预算减少</w:t>
      </w:r>
      <w:r>
        <w:rPr>
          <w:rFonts w:hint="eastAsia" w:ascii="仿宋" w:hAnsi="仿宋" w:eastAsia="仿宋" w:cs="仿宋"/>
          <w:color w:val="auto"/>
          <w:sz w:val="32"/>
          <w:szCs w:val="32"/>
        </w:rPr>
        <w:t>；</w:t>
      </w:r>
    </w:p>
    <w:p w14:paraId="5766234D">
      <w:pPr>
        <w:pStyle w:val="6"/>
        <w:numPr>
          <w:ilvl w:val="0"/>
          <w:numId w:val="0"/>
        </w:numPr>
        <w:spacing w:before="0" w:beforeAutospacing="0" w:after="0" w:afterAutospacing="0"/>
        <w:ind w:firstLine="640" w:firstLineChars="200"/>
        <w:jc w:val="both"/>
        <w:rPr>
          <w:rFonts w:hint="eastAsia" w:ascii="黑体" w:hAnsi="黑体" w:eastAsia="黑体" w:cs="黑体"/>
          <w:color w:val="auto"/>
          <w:sz w:val="32"/>
          <w:szCs w:val="32"/>
          <w:lang w:val="en-US" w:eastAsia="zh-CN"/>
        </w:rPr>
      </w:pPr>
      <w:r>
        <w:rPr>
          <w:rFonts w:hint="eastAsia" w:ascii="仿宋" w:hAnsi="仿宋" w:eastAsia="仿宋" w:cs="仿宋"/>
          <w:color w:val="auto"/>
          <w:sz w:val="32"/>
          <w:szCs w:val="32"/>
        </w:rPr>
        <w:t>公务用车运行维护费</w:t>
      </w:r>
      <w:r>
        <w:rPr>
          <w:rFonts w:hint="eastAsia" w:ascii="仿宋" w:hAnsi="仿宋" w:eastAsia="仿宋" w:cs="仿宋"/>
          <w:color w:val="auto"/>
          <w:sz w:val="32"/>
          <w:szCs w:val="32"/>
          <w:lang w:val="en-US" w:eastAsia="zh-CN"/>
        </w:rPr>
        <w:t>12.8</w:t>
      </w:r>
      <w:r>
        <w:rPr>
          <w:rFonts w:hint="eastAsia" w:ascii="仿宋" w:hAnsi="仿宋" w:eastAsia="仿宋" w:cs="仿宋"/>
          <w:color w:val="auto"/>
          <w:sz w:val="32"/>
          <w:szCs w:val="32"/>
        </w:rPr>
        <w:t>万</w:t>
      </w:r>
      <w:r>
        <w:rPr>
          <w:rFonts w:hint="eastAsia" w:ascii="仿宋" w:hAnsi="仿宋" w:eastAsia="仿宋" w:cs="仿宋"/>
          <w:color w:val="auto"/>
          <w:sz w:val="32"/>
          <w:szCs w:val="32"/>
          <w:lang w:eastAsia="zh-CN"/>
        </w:rPr>
        <w:t>元，对比上年减少</w:t>
      </w:r>
      <w:r>
        <w:rPr>
          <w:rFonts w:hint="eastAsia" w:ascii="仿宋" w:hAnsi="仿宋" w:eastAsia="仿宋" w:cs="仿宋"/>
          <w:color w:val="auto"/>
          <w:sz w:val="32"/>
          <w:szCs w:val="32"/>
          <w:lang w:val="en-US" w:eastAsia="zh-CN"/>
        </w:rPr>
        <w:t>129万元，下降90.97%，主要</w:t>
      </w:r>
      <w:r>
        <w:rPr>
          <w:rFonts w:hint="eastAsia" w:ascii="仿宋" w:hAnsi="仿宋" w:eastAsia="仿宋" w:cs="仿宋"/>
          <w:color w:val="auto"/>
          <w:sz w:val="32"/>
          <w:szCs w:val="32"/>
        </w:rPr>
        <w:t>原因</w:t>
      </w:r>
      <w:r>
        <w:rPr>
          <w:rFonts w:hint="eastAsia" w:ascii="仿宋" w:hAnsi="仿宋" w:eastAsia="仿宋" w:cs="仿宋"/>
          <w:color w:val="auto"/>
          <w:sz w:val="32"/>
          <w:szCs w:val="32"/>
          <w:lang w:eastAsia="zh-CN"/>
        </w:rPr>
        <w:t>是我中心按要求将公务平台车辆资产移交市政府办公室，因此</w:t>
      </w:r>
      <w:r>
        <w:rPr>
          <w:rFonts w:hint="eastAsia" w:ascii="仿宋" w:hAnsi="仿宋" w:eastAsia="仿宋" w:cs="仿宋"/>
          <w:color w:val="auto"/>
          <w:sz w:val="32"/>
          <w:szCs w:val="32"/>
          <w:lang w:val="en-US" w:eastAsia="zh-CN"/>
        </w:rPr>
        <w:t>2025年</w:t>
      </w:r>
      <w:r>
        <w:rPr>
          <w:rFonts w:hint="eastAsia" w:ascii="仿宋" w:hAnsi="仿宋" w:eastAsia="仿宋" w:cs="仿宋"/>
          <w:color w:val="auto"/>
          <w:sz w:val="32"/>
          <w:szCs w:val="32"/>
        </w:rPr>
        <w:t>公务用车运行费</w:t>
      </w:r>
      <w:r>
        <w:rPr>
          <w:rFonts w:hint="eastAsia" w:ascii="仿宋" w:hAnsi="仿宋" w:eastAsia="仿宋" w:cs="仿宋"/>
          <w:color w:val="auto"/>
          <w:sz w:val="32"/>
          <w:szCs w:val="32"/>
          <w:lang w:eastAsia="zh-CN"/>
        </w:rPr>
        <w:t>预算减少</w:t>
      </w:r>
      <w:r>
        <w:rPr>
          <w:rFonts w:hint="eastAsia" w:ascii="仿宋" w:hAnsi="仿宋" w:eastAsia="仿宋" w:cs="仿宋"/>
          <w:color w:val="auto"/>
          <w:sz w:val="32"/>
          <w:szCs w:val="32"/>
        </w:rPr>
        <w:t>。</w:t>
      </w:r>
      <w:r>
        <w:rPr>
          <w:rFonts w:hint="eastAsia" w:ascii="仿宋" w:hAnsi="仿宋" w:eastAsia="仿宋" w:cs="仿宋"/>
          <w:color w:val="auto"/>
          <w:sz w:val="32"/>
          <w:szCs w:val="32"/>
        </w:rPr>
        <w:br w:type="textWrapping"/>
      </w:r>
      <w:r>
        <w:rPr>
          <w:rFonts w:hint="eastAsia" w:ascii="仿宋" w:hAnsi="仿宋" w:eastAsia="仿宋" w:cs="仿宋"/>
          <w:color w:val="auto"/>
          <w:sz w:val="32"/>
          <w:szCs w:val="32"/>
          <w:lang w:val="en-US" w:eastAsia="zh-CN"/>
        </w:rPr>
        <w:t xml:space="preserve">   </w:t>
      </w:r>
      <w:r>
        <w:rPr>
          <w:rFonts w:hint="eastAsia" w:ascii="黑体" w:hAnsi="黑体" w:eastAsia="黑体" w:cs="黑体"/>
          <w:color w:val="auto"/>
          <w:sz w:val="32"/>
          <w:szCs w:val="32"/>
          <w:lang w:val="en-US" w:eastAsia="zh-CN"/>
        </w:rPr>
        <w:t xml:space="preserve"> 六、国有资产占用情况</w:t>
      </w:r>
    </w:p>
    <w:p w14:paraId="068305AD">
      <w:pPr>
        <w:pStyle w:val="6"/>
        <w:numPr>
          <w:ilvl w:val="0"/>
          <w:numId w:val="0"/>
        </w:numPr>
        <w:spacing w:before="0" w:beforeAutospacing="0" w:after="0" w:afterAutospacing="0"/>
        <w:ind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抚顺市政府办公室机关综合服务中心2025年年初预算购置车辆0台，金额0万元，单位价值50万元以上的通用设备</w:t>
      </w:r>
      <w:r>
        <w:rPr>
          <w:rFonts w:hint="default" w:ascii="仿宋" w:hAnsi="仿宋" w:eastAsia="仿宋" w:cs="仿宋"/>
          <w:color w:val="auto"/>
          <w:sz w:val="32"/>
          <w:szCs w:val="32"/>
          <w:lang w:val="en-US" w:eastAsia="zh-CN"/>
        </w:rPr>
        <w:t>0</w:t>
      </w:r>
      <w:r>
        <w:rPr>
          <w:rFonts w:hint="eastAsia" w:ascii="仿宋" w:hAnsi="仿宋" w:eastAsia="仿宋" w:cs="仿宋"/>
          <w:color w:val="auto"/>
          <w:sz w:val="32"/>
          <w:szCs w:val="32"/>
          <w:lang w:val="en-US" w:eastAsia="zh-CN"/>
        </w:rPr>
        <w:t>台，单位价值100万元以上的专用设备</w:t>
      </w:r>
      <w:r>
        <w:rPr>
          <w:rFonts w:hint="default" w:ascii="仿宋" w:hAnsi="仿宋" w:eastAsia="仿宋" w:cs="仿宋"/>
          <w:color w:val="auto"/>
          <w:sz w:val="32"/>
          <w:szCs w:val="32"/>
          <w:lang w:val="en-US" w:eastAsia="zh-CN"/>
        </w:rPr>
        <w:t>0</w:t>
      </w:r>
      <w:bookmarkStart w:id="0" w:name="_GoBack"/>
      <w:bookmarkEnd w:id="0"/>
      <w:r>
        <w:rPr>
          <w:rFonts w:hint="eastAsia" w:ascii="仿宋" w:hAnsi="仿宋" w:eastAsia="仿宋" w:cs="仿宋"/>
          <w:color w:val="auto"/>
          <w:sz w:val="32"/>
          <w:szCs w:val="32"/>
          <w:lang w:val="en-US" w:eastAsia="zh-CN"/>
        </w:rPr>
        <w:t>台。截至</w:t>
      </w:r>
      <w:r>
        <w:rPr>
          <w:rFonts w:hint="default" w:ascii="仿宋" w:hAnsi="仿宋" w:eastAsia="仿宋" w:cs="仿宋"/>
          <w:color w:val="auto"/>
          <w:sz w:val="32"/>
          <w:szCs w:val="32"/>
          <w:lang w:val="en-US" w:eastAsia="zh-CN"/>
        </w:rPr>
        <w:t>2024</w:t>
      </w:r>
      <w:r>
        <w:rPr>
          <w:rFonts w:hint="eastAsia" w:ascii="仿宋" w:hAnsi="仿宋" w:eastAsia="仿宋" w:cs="仿宋"/>
          <w:color w:val="auto"/>
          <w:sz w:val="32"/>
          <w:szCs w:val="32"/>
          <w:lang w:val="en-US" w:eastAsia="zh-CN"/>
        </w:rPr>
        <w:t>年12月31日，我中心固定资产净值</w:t>
      </w:r>
      <w:r>
        <w:rPr>
          <w:rFonts w:hint="default" w:ascii="仿宋" w:hAnsi="仿宋" w:eastAsia="仿宋" w:cs="仿宋"/>
          <w:b w:val="0"/>
          <w:i w:val="0"/>
          <w:color w:val="000000"/>
          <w:sz w:val="32"/>
          <w:szCs w:val="32"/>
          <w:u w:val="none"/>
          <w:lang w:val="en-US"/>
        </w:rPr>
        <w:t>491.65</w:t>
      </w:r>
      <w:r>
        <w:rPr>
          <w:rFonts w:hint="eastAsia" w:ascii="仿宋" w:hAnsi="仿宋" w:eastAsia="仿宋" w:cs="仿宋"/>
          <w:b w:val="0"/>
          <w:i w:val="0"/>
          <w:color w:val="000000"/>
          <w:sz w:val="32"/>
          <w:szCs w:val="32"/>
          <w:u w:val="none"/>
        </w:rPr>
        <w:t>万元</w:t>
      </w:r>
      <w:r>
        <w:rPr>
          <w:rFonts w:hint="eastAsia" w:ascii="仿宋" w:hAnsi="仿宋" w:eastAsia="仿宋" w:cs="仿宋"/>
          <w:b w:val="0"/>
          <w:i w:val="0"/>
          <w:color w:val="000000"/>
          <w:sz w:val="32"/>
          <w:szCs w:val="32"/>
          <w:u w:val="none"/>
          <w:lang w:eastAsia="zh-CN"/>
        </w:rPr>
        <w:t>，其中</w:t>
      </w:r>
      <w:r>
        <w:rPr>
          <w:rFonts w:hint="eastAsia" w:ascii="仿宋" w:hAnsi="仿宋" w:eastAsia="仿宋" w:cs="仿宋"/>
          <w:b w:val="0"/>
          <w:i w:val="0"/>
          <w:color w:val="000000"/>
          <w:sz w:val="32"/>
          <w:szCs w:val="32"/>
          <w:u w:val="none"/>
        </w:rPr>
        <w:t>房屋和构筑物</w:t>
      </w:r>
      <w:r>
        <w:rPr>
          <w:rFonts w:hint="default" w:ascii="仿宋" w:hAnsi="仿宋" w:eastAsia="仿宋" w:cs="仿宋"/>
          <w:b w:val="0"/>
          <w:i w:val="0"/>
          <w:color w:val="000000"/>
          <w:sz w:val="32"/>
          <w:szCs w:val="32"/>
          <w:u w:val="none"/>
          <w:lang w:val="en-US"/>
        </w:rPr>
        <w:t>113.41</w:t>
      </w:r>
      <w:r>
        <w:rPr>
          <w:rFonts w:hint="eastAsia" w:ascii="仿宋" w:hAnsi="仿宋" w:eastAsia="仿宋" w:cs="仿宋"/>
          <w:b w:val="0"/>
          <w:i w:val="0"/>
          <w:color w:val="000000"/>
          <w:sz w:val="32"/>
          <w:szCs w:val="32"/>
          <w:u w:val="none"/>
        </w:rPr>
        <w:t>万元，设备</w:t>
      </w:r>
      <w:r>
        <w:rPr>
          <w:rFonts w:hint="default" w:ascii="仿宋" w:hAnsi="仿宋" w:eastAsia="仿宋" w:cs="仿宋"/>
          <w:b w:val="0"/>
          <w:i w:val="0"/>
          <w:color w:val="000000"/>
          <w:sz w:val="32"/>
          <w:szCs w:val="32"/>
          <w:u w:val="none"/>
          <w:lang w:val="en-US"/>
        </w:rPr>
        <w:t>336.55</w:t>
      </w:r>
      <w:r>
        <w:rPr>
          <w:rFonts w:hint="eastAsia" w:ascii="仿宋" w:hAnsi="仿宋" w:eastAsia="仿宋" w:cs="仿宋"/>
          <w:b w:val="0"/>
          <w:i w:val="0"/>
          <w:color w:val="000000"/>
          <w:sz w:val="32"/>
          <w:szCs w:val="32"/>
          <w:u w:val="none"/>
        </w:rPr>
        <w:t>万元，家具和用具</w:t>
      </w:r>
      <w:r>
        <w:rPr>
          <w:rFonts w:hint="default" w:ascii="仿宋" w:hAnsi="仿宋" w:eastAsia="仿宋" w:cs="仿宋"/>
          <w:b w:val="0"/>
          <w:i w:val="0"/>
          <w:color w:val="000000"/>
          <w:sz w:val="32"/>
          <w:szCs w:val="32"/>
          <w:u w:val="none"/>
          <w:lang w:val="en-US"/>
        </w:rPr>
        <w:t>41.69</w:t>
      </w:r>
      <w:r>
        <w:rPr>
          <w:rFonts w:hint="eastAsia" w:ascii="仿宋" w:hAnsi="仿宋" w:eastAsia="仿宋" w:cs="仿宋"/>
          <w:b w:val="0"/>
          <w:i w:val="0"/>
          <w:color w:val="000000"/>
          <w:sz w:val="32"/>
          <w:szCs w:val="32"/>
          <w:u w:val="none"/>
        </w:rPr>
        <w:t>万元。</w:t>
      </w:r>
    </w:p>
    <w:p w14:paraId="273FE678">
      <w:pPr>
        <w:pStyle w:val="6"/>
        <w:numPr>
          <w:ilvl w:val="0"/>
          <w:numId w:val="0"/>
        </w:numPr>
        <w:spacing w:before="0" w:beforeAutospacing="0" w:after="0" w:afterAutospacing="0"/>
        <w:ind w:firstLine="640" w:firstLineChars="200"/>
        <w:jc w:val="both"/>
        <w:rPr>
          <w:rFonts w:hint="eastAsia" w:ascii="仿宋" w:hAnsi="仿宋" w:eastAsia="仿宋" w:cs="仿宋"/>
          <w:color w:val="auto"/>
          <w:sz w:val="32"/>
          <w:szCs w:val="32"/>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预算绩效</w:t>
      </w:r>
      <w:r>
        <w:rPr>
          <w:rFonts w:hint="eastAsia" w:ascii="黑体" w:hAnsi="黑体" w:eastAsia="黑体" w:cs="黑体"/>
          <w:color w:val="auto"/>
          <w:sz w:val="32"/>
          <w:szCs w:val="32"/>
          <w:lang w:eastAsia="zh-CN"/>
        </w:rPr>
        <w:t>目标</w:t>
      </w:r>
      <w:r>
        <w:rPr>
          <w:rFonts w:hint="eastAsia" w:ascii="黑体" w:hAnsi="黑体" w:eastAsia="黑体" w:cs="黑体"/>
          <w:color w:val="auto"/>
          <w:sz w:val="32"/>
          <w:szCs w:val="32"/>
        </w:rPr>
        <w:t>情况</w:t>
      </w:r>
      <w:r>
        <w:rPr>
          <w:rFonts w:hint="eastAsia" w:ascii="黑体" w:hAnsi="黑体" w:eastAsia="黑体" w:cs="黑体"/>
          <w:color w:val="auto"/>
          <w:sz w:val="32"/>
          <w:szCs w:val="32"/>
        </w:rPr>
        <w:br w:type="textWrapping"/>
      </w:r>
      <w:r>
        <w:rPr>
          <w:rFonts w:hint="eastAsia" w:ascii="仿宋" w:hAnsi="仿宋" w:eastAsia="仿宋" w:cs="仿宋"/>
          <w:color w:val="auto"/>
          <w:sz w:val="32"/>
          <w:szCs w:val="32"/>
          <w:lang w:val="en-US" w:eastAsia="zh-CN"/>
        </w:rPr>
        <w:t xml:space="preserve">   根据预算绩效管理要求，抚顺市政府办公室机关综合服务中心应编制部门（单位）整体绩效目标27个，实际编制部门（单位）整体绩效目标27个，编制部门（单位）整体绩效目标覆盖率100%，2025年应编制绩效目标的特定目标类和其他运转类</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个，</w:t>
      </w:r>
      <w:r>
        <w:rPr>
          <w:rFonts w:hint="eastAsia" w:ascii="仿宋" w:hAnsi="仿宋" w:eastAsia="仿宋" w:cs="仿宋"/>
          <w:color w:val="auto"/>
          <w:sz w:val="32"/>
          <w:szCs w:val="32"/>
          <w:lang w:val="en-US" w:eastAsia="zh-CN"/>
        </w:rPr>
        <w:t>实际编制绩效目标的特定目标类和其他运转类</w:t>
      </w:r>
      <w:r>
        <w:rPr>
          <w:rFonts w:hint="eastAsia" w:ascii="仿宋" w:hAnsi="仿宋" w:eastAsia="仿宋" w:cs="仿宋"/>
          <w:color w:val="auto"/>
          <w:sz w:val="32"/>
          <w:szCs w:val="32"/>
        </w:rPr>
        <w:t>项目</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个，</w:t>
      </w:r>
      <w:r>
        <w:rPr>
          <w:rFonts w:hint="eastAsia" w:ascii="仿宋" w:hAnsi="仿宋" w:eastAsia="仿宋" w:cs="仿宋"/>
          <w:color w:val="auto"/>
          <w:sz w:val="32"/>
          <w:szCs w:val="32"/>
          <w:lang w:eastAsia="zh-CN"/>
        </w:rPr>
        <w:t>涉及资金</w:t>
      </w:r>
      <w:r>
        <w:rPr>
          <w:rFonts w:hint="eastAsia" w:ascii="仿宋" w:hAnsi="仿宋" w:eastAsia="仿宋" w:cs="仿宋"/>
          <w:color w:val="auto"/>
          <w:sz w:val="32"/>
          <w:szCs w:val="32"/>
          <w:lang w:val="en-US" w:eastAsia="zh-CN"/>
        </w:rPr>
        <w:t>3,441.44</w:t>
      </w:r>
      <w:r>
        <w:rPr>
          <w:rFonts w:hint="eastAsia" w:ascii="仿宋" w:hAnsi="仿宋" w:eastAsia="仿宋" w:cs="仿宋"/>
          <w:color w:val="auto"/>
          <w:sz w:val="32"/>
          <w:szCs w:val="32"/>
        </w:rPr>
        <w:t>万元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编制特定目标类和其他运转类绩效目标的</w:t>
      </w:r>
      <w:r>
        <w:rPr>
          <w:rFonts w:hint="eastAsia" w:ascii="仿宋" w:hAnsi="仿宋" w:eastAsia="仿宋" w:cs="仿宋"/>
          <w:color w:val="auto"/>
          <w:sz w:val="32"/>
          <w:szCs w:val="32"/>
        </w:rPr>
        <w:t>项目</w:t>
      </w:r>
      <w:r>
        <w:rPr>
          <w:rFonts w:hint="eastAsia" w:ascii="仿宋" w:hAnsi="仿宋" w:eastAsia="仿宋" w:cs="仿宋"/>
          <w:color w:val="auto"/>
          <w:sz w:val="32"/>
          <w:szCs w:val="32"/>
          <w:lang w:eastAsia="zh-CN"/>
        </w:rPr>
        <w:t>覆盖率为</w:t>
      </w:r>
      <w:r>
        <w:rPr>
          <w:rFonts w:hint="eastAsia" w:ascii="仿宋" w:hAnsi="仿宋" w:eastAsia="仿宋" w:cs="仿宋"/>
          <w:color w:val="auto"/>
          <w:sz w:val="32"/>
          <w:szCs w:val="32"/>
          <w:lang w:val="en-US" w:eastAsia="zh-CN"/>
        </w:rPr>
        <w:t>100%。</w:t>
      </w:r>
    </w:p>
    <w:p w14:paraId="04163C03">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1DD1612">
      <w:pPr>
        <w:pStyle w:val="6"/>
        <w:spacing w:before="0" w:beforeAutospacing="0" w:after="0" w:afterAutospacing="0"/>
        <w:jc w:val="center"/>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第四部分</w:t>
      </w:r>
      <w:r>
        <w:rPr>
          <w:rFonts w:hint="eastAsia" w:ascii="黑体" w:hAnsi="黑体" w:eastAsia="黑体" w:cs="黑体"/>
          <w:b w:val="0"/>
          <w:bCs w:val="0"/>
          <w:color w:val="333333"/>
          <w:sz w:val="32"/>
          <w:szCs w:val="32"/>
          <w:lang w:val="en-US" w:eastAsia="zh-CN"/>
        </w:rPr>
        <w:t xml:space="preserve">    </w:t>
      </w:r>
      <w:r>
        <w:rPr>
          <w:rFonts w:hint="eastAsia" w:ascii="黑体" w:hAnsi="黑体" w:eastAsia="黑体" w:cs="黑体"/>
          <w:b w:val="0"/>
          <w:bCs w:val="0"/>
          <w:color w:val="333333"/>
          <w:sz w:val="32"/>
          <w:szCs w:val="32"/>
        </w:rPr>
        <w:t>名词解释</w:t>
      </w:r>
    </w:p>
    <w:p w14:paraId="5A711605">
      <w:pPr>
        <w:pStyle w:val="6"/>
        <w:keepNext w:val="0"/>
        <w:keepLines w:val="0"/>
        <w:pageBreakBefore w:val="0"/>
        <w:widowControl/>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lang w:eastAsia="zh-CN"/>
        </w:rPr>
        <w:t>一般公共预算：是对以税收为主体的财政收入，安排用于保障和改善民生、推动经济社会发展、维护国家安全、维持国家机构正常运转等方面的收支预算</w:t>
      </w:r>
      <w:r>
        <w:rPr>
          <w:rFonts w:hint="eastAsia" w:ascii="仿宋" w:hAnsi="仿宋" w:eastAsia="仿宋" w:cs="仿宋"/>
          <w:color w:val="000000"/>
          <w:sz w:val="32"/>
          <w:szCs w:val="32"/>
        </w:rPr>
        <w:t>。</w:t>
      </w:r>
    </w:p>
    <w:p w14:paraId="3C72E2E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基本支出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指为保障机构正常运转、完成日常工作任务而发生的支出</w:t>
      </w:r>
      <w:r>
        <w:rPr>
          <w:rFonts w:hint="eastAsia" w:ascii="仿宋" w:hAnsi="仿宋" w:eastAsia="仿宋" w:cs="仿宋"/>
          <w:color w:val="000000"/>
          <w:sz w:val="32"/>
          <w:szCs w:val="32"/>
          <w:lang w:eastAsia="zh-CN"/>
        </w:rPr>
        <w:t>，包括人员经费和公用经费</w:t>
      </w:r>
      <w:r>
        <w:rPr>
          <w:rFonts w:hint="eastAsia" w:ascii="仿宋" w:hAnsi="仿宋" w:eastAsia="仿宋" w:cs="仿宋"/>
          <w:color w:val="000000"/>
          <w:sz w:val="32"/>
          <w:szCs w:val="32"/>
        </w:rPr>
        <w:t>。</w:t>
      </w:r>
    </w:p>
    <w:p w14:paraId="11B0FBE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项目支出</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指</w:t>
      </w:r>
      <w:r>
        <w:rPr>
          <w:rFonts w:hint="eastAsia" w:ascii="仿宋" w:hAnsi="仿宋" w:eastAsia="仿宋" w:cs="仿宋"/>
          <w:color w:val="000000"/>
          <w:sz w:val="32"/>
          <w:szCs w:val="32"/>
          <w:lang w:eastAsia="zh-CN"/>
        </w:rPr>
        <w:t>为</w:t>
      </w:r>
      <w:r>
        <w:rPr>
          <w:rFonts w:hint="eastAsia" w:ascii="仿宋" w:hAnsi="仿宋" w:eastAsia="仿宋" w:cs="仿宋"/>
          <w:color w:val="000000"/>
          <w:sz w:val="32"/>
          <w:szCs w:val="32"/>
        </w:rPr>
        <w:t>完成特定</w:t>
      </w:r>
      <w:r>
        <w:rPr>
          <w:rFonts w:hint="eastAsia" w:ascii="仿宋" w:hAnsi="仿宋" w:eastAsia="仿宋" w:cs="仿宋"/>
          <w:color w:val="000000"/>
          <w:sz w:val="32"/>
          <w:szCs w:val="32"/>
          <w:lang w:eastAsia="zh-CN"/>
        </w:rPr>
        <w:t>工作</w:t>
      </w:r>
      <w:r>
        <w:rPr>
          <w:rFonts w:hint="eastAsia" w:ascii="仿宋" w:hAnsi="仿宋" w:eastAsia="仿宋" w:cs="仿宋"/>
          <w:color w:val="000000"/>
          <w:sz w:val="32"/>
          <w:szCs w:val="32"/>
        </w:rPr>
        <w:t>任务和事业发展目标所发生的支出。</w:t>
      </w:r>
    </w:p>
    <w:p w14:paraId="18B06E4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机关运行经费：是指行政机关及参公单位的公用经费，包括办公及印刷费、邮电费、差旅费、会议费、福利费、日常维护费、专用材料及一般设备购置费、办公用房水电费、办公用房取暖费、办公用房物业管理费、办公用车运行维护费及其他费用。</w:t>
      </w:r>
    </w:p>
    <w:p w14:paraId="5CCB431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5.上年结转：指以前年度尚未使用完毕，结转到本年仍按原规定用途继续使用的资金。</w:t>
      </w:r>
    </w:p>
    <w:p w14:paraId="2A11E35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333333"/>
          <w:sz w:val="32"/>
          <w:szCs w:val="32"/>
        </w:rPr>
      </w:pPr>
      <w:r>
        <w:rPr>
          <w:rFonts w:hint="eastAsia" w:ascii="仿宋" w:hAnsi="仿宋" w:eastAsia="仿宋" w:cs="仿宋"/>
          <w:color w:val="000000"/>
          <w:sz w:val="32"/>
          <w:szCs w:val="32"/>
          <w:lang w:val="en-US" w:eastAsia="zh-CN"/>
        </w:rPr>
        <w:t>6.</w:t>
      </w:r>
      <w:r>
        <w:rPr>
          <w:rFonts w:hint="eastAsia" w:ascii="仿宋" w:hAnsi="仿宋" w:eastAsia="仿宋" w:cs="仿宋"/>
          <w:color w:val="000000"/>
          <w:sz w:val="32"/>
          <w:szCs w:val="32"/>
        </w:rPr>
        <w:t>“三公”经费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纳入财政预决算管理的“三公”经费，是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A821E3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7.</w:t>
      </w:r>
      <w:r>
        <w:rPr>
          <w:rFonts w:hint="eastAsia" w:ascii="仿宋" w:hAnsi="仿宋" w:eastAsia="仿宋" w:cs="仿宋"/>
          <w:color w:val="000000"/>
          <w:sz w:val="32"/>
          <w:szCs w:val="32"/>
        </w:rPr>
        <w:t>一般公务服务支出（类）政府办公厅（室）及相关机构事务（款）行政运行（项）:为保障行政单位(包括参照公务员法管理的事业单位)运行用于购买货物和服务的各项资金，包括基本工资、津贴补贴、奖金、办公及印刷费、邮电费、公用取暖费、差旅费、会议费、培训费、福利费、劳务费、工会经费、维修（护）费、公务用车运行维护费以及其他费用。</w:t>
      </w:r>
    </w:p>
    <w:p w14:paraId="2466186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8.</w:t>
      </w:r>
      <w:r>
        <w:rPr>
          <w:rFonts w:hint="eastAsia" w:ascii="仿宋" w:hAnsi="仿宋" w:eastAsia="仿宋" w:cs="仿宋"/>
          <w:color w:val="000000"/>
          <w:sz w:val="32"/>
          <w:szCs w:val="32"/>
        </w:rPr>
        <w:t>社会保障和就业(类)行政事业单位离退休(款)归口管理的行政单位离退休(项):指统一管理的部机关离退休人员的支出，以及离退休人员的支出。</w:t>
      </w:r>
    </w:p>
    <w:p w14:paraId="522717D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9.</w:t>
      </w:r>
      <w:r>
        <w:rPr>
          <w:rFonts w:hint="eastAsia" w:ascii="仿宋" w:hAnsi="仿宋" w:eastAsia="仿宋" w:cs="仿宋"/>
          <w:color w:val="000000"/>
          <w:sz w:val="32"/>
          <w:szCs w:val="32"/>
        </w:rPr>
        <w:t>社会保障和就业(类)行政事业单位离退休(款)离退休人员管理机构(项):指为离退休人员提供管理服务的支出。</w:t>
      </w:r>
    </w:p>
    <w:p w14:paraId="50FF515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10.</w:t>
      </w:r>
      <w:r>
        <w:rPr>
          <w:rFonts w:hint="eastAsia" w:ascii="仿宋" w:hAnsi="仿宋" w:eastAsia="仿宋" w:cs="仿宋"/>
          <w:color w:val="000000"/>
          <w:sz w:val="32"/>
          <w:szCs w:val="32"/>
        </w:rPr>
        <w:t>社会保障和就业(类)行政事业单位离退休(款)事业单位离退休（项）：指为事业单位退休人员提供管理服务的支出</w:t>
      </w:r>
    </w:p>
    <w:p w14:paraId="2928B34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11.</w:t>
      </w:r>
      <w:r>
        <w:rPr>
          <w:rFonts w:hint="eastAsia" w:ascii="仿宋" w:hAnsi="仿宋" w:eastAsia="仿宋" w:cs="仿宋"/>
          <w:color w:val="000000"/>
          <w:sz w:val="32"/>
          <w:szCs w:val="32"/>
        </w:rPr>
        <w:t>社会保障和就业(类)行政事业单位离退休(款)机关事业单位养老保险缴费支出（项）：指为行政单位、事业单位人员提供养老保险缴费的支出</w:t>
      </w:r>
    </w:p>
    <w:p w14:paraId="458DB4E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12.</w:t>
      </w:r>
      <w:r>
        <w:rPr>
          <w:rFonts w:hint="eastAsia" w:ascii="仿宋" w:hAnsi="仿宋" w:eastAsia="仿宋" w:cs="仿宋"/>
          <w:color w:val="000000"/>
          <w:sz w:val="32"/>
          <w:szCs w:val="32"/>
        </w:rPr>
        <w:t>住房保障(类)住房改革支出(款)住房公积金(项):指按照《住房公积金管理条例》的规定，由单位及其在职职工缴存的长期住房储金。该项政策始于上世纪九十年代中期，在全国机关、企事业单位在职职工中普遍实施，缴存比例最低不低于5%，最高不超过12%，缴存基数为职工本人上年工资，目前已实施约20年时间。行政单位缴存基数包括国家统一规定的公务员职务工资、级别工资、机关工人岗位工资和技术等级(职务)工资、年终一次性奖金、特殊岗位津贴、艰苦边远地区津贴，规范后发放的工作性津贴、生活性补贴等;事业单位缴存基数包括国家统一规定的岗位工资、薪级工资、绩效工资、艰苦边远地区津贴、特殊岗位津贴等。</w:t>
      </w:r>
    </w:p>
    <w:p w14:paraId="10802E2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13.</w:t>
      </w:r>
      <w:r>
        <w:rPr>
          <w:rFonts w:hint="eastAsia" w:ascii="仿宋" w:hAnsi="仿宋" w:eastAsia="仿宋" w:cs="仿宋"/>
          <w:color w:val="000000"/>
          <w:sz w:val="32"/>
          <w:szCs w:val="32"/>
        </w:rPr>
        <w:t>住房保障(类)住房改革支出(款)购房补贴(项):指根据《国务院关于进一步深化城镇住房制度改革加快住房建设的通知》(国发[1998] 23号)的规定，从1998年下半年停止实物分房后，房价收入比超过4倍以上地区对无房和住房未达标职工发放的住房货币化改革补贴资金。</w:t>
      </w:r>
    </w:p>
    <w:p w14:paraId="3253C102">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14.</w:t>
      </w:r>
      <w:r>
        <w:rPr>
          <w:rFonts w:hint="eastAsia" w:ascii="仿宋" w:hAnsi="仿宋" w:eastAsia="仿宋" w:cs="仿宋"/>
          <w:color w:val="000000"/>
          <w:sz w:val="32"/>
          <w:szCs w:val="32"/>
        </w:rPr>
        <w:t>医疗卫生与计划生育支出（类）医疗保险（款）行政单位医疗（项）：指为行政单位人员的医疗保险缴费支出。</w:t>
      </w:r>
    </w:p>
    <w:p w14:paraId="7438CF3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15.</w:t>
      </w:r>
      <w:r>
        <w:rPr>
          <w:rFonts w:hint="eastAsia" w:ascii="仿宋" w:hAnsi="仿宋" w:eastAsia="仿宋" w:cs="仿宋"/>
          <w:color w:val="000000"/>
          <w:sz w:val="32"/>
          <w:szCs w:val="32"/>
        </w:rPr>
        <w:t>医疗卫生与计划生育支出（类）医疗保险（款）事业单位医疗（项）：指为事业单位人员的医疗保险缴费支出。</w:t>
      </w:r>
    </w:p>
    <w:p w14:paraId="16D0118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16.</w:t>
      </w:r>
      <w:r>
        <w:rPr>
          <w:rFonts w:hint="eastAsia" w:ascii="仿宋" w:hAnsi="仿宋" w:eastAsia="仿宋" w:cs="仿宋"/>
          <w:color w:val="000000"/>
          <w:sz w:val="32"/>
          <w:szCs w:val="32"/>
        </w:rPr>
        <w:t>一般公务服务支出（类）政府办公厅（室）及相关机构事务（款）机关服务（项）:为保障事业单位运行用于购买货物和服务的各项资金，包括基本工资、津贴补贴、奖金、办公及印刷费、邮电费、、差旅费、会议费、培训费、福利费、工会经费、维修（护）费、公务用车运行维护费以及其他费用。</w:t>
      </w:r>
    </w:p>
    <w:p w14:paraId="409BFB0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17.</w:t>
      </w:r>
      <w:r>
        <w:rPr>
          <w:rFonts w:hint="eastAsia" w:ascii="仿宋" w:hAnsi="仿宋" w:eastAsia="仿宋" w:cs="仿宋"/>
          <w:color w:val="000000"/>
          <w:sz w:val="32"/>
          <w:szCs w:val="32"/>
        </w:rPr>
        <w:t>非税收入（类）国有资源（资产）有偿使用收入（款）非经营性国有资产收入（项）事业单位国有资产出租出借收入：中央与地方共用收入科目。反应执行事业单位财务和会计制度的各类事业单位和社会团体取得的，按照相关制度规定需上缴的国有资产出租、出借相关收入。</w:t>
      </w:r>
    </w:p>
    <w:p w14:paraId="2C8A8496">
      <w:pPr>
        <w:pStyle w:val="9"/>
        <w:shd w:val="clear" w:color="auto" w:fill="FFFFFF"/>
        <w:spacing w:before="0" w:beforeAutospacing="0" w:after="0" w:afterAutospacing="0"/>
        <w:ind w:firstLine="480"/>
        <w:jc w:val="both"/>
        <w:rPr>
          <w:rFonts w:hint="eastAsia" w:ascii="仿宋" w:hAnsi="仿宋" w:eastAsia="仿宋" w:cs="仿宋"/>
          <w:color w:val="000000"/>
          <w:sz w:val="32"/>
          <w:szCs w:val="32"/>
        </w:rPr>
      </w:pPr>
    </w:p>
    <w:p w14:paraId="1A0CD050">
      <w:pPr>
        <w:pStyle w:val="9"/>
        <w:shd w:val="clear" w:color="auto" w:fill="FFFFFF"/>
        <w:spacing w:before="0" w:beforeAutospacing="0" w:after="0" w:afterAutospacing="0"/>
        <w:ind w:firstLine="480"/>
        <w:jc w:val="both"/>
        <w:rPr>
          <w:rFonts w:hint="eastAsia" w:ascii="仿宋" w:hAnsi="仿宋" w:eastAsia="仿宋" w:cs="仿宋"/>
          <w:color w:val="000000"/>
          <w:sz w:val="32"/>
          <w:szCs w:val="32"/>
        </w:rPr>
      </w:pPr>
    </w:p>
    <w:p w14:paraId="3FB7D175">
      <w:pPr>
        <w:pStyle w:val="9"/>
        <w:shd w:val="clear" w:color="auto" w:fill="FFFFFF"/>
        <w:spacing w:before="0" w:beforeAutospacing="0" w:after="0" w:afterAutospacing="0"/>
        <w:ind w:firstLine="480"/>
        <w:jc w:val="both"/>
        <w:rPr>
          <w:rFonts w:hint="eastAsia" w:ascii="仿宋" w:hAnsi="仿宋" w:eastAsia="仿宋" w:cs="仿宋"/>
          <w:color w:val="000000"/>
          <w:sz w:val="32"/>
          <w:szCs w:val="32"/>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9E342">
    <w:pPr>
      <w:pStyle w:val="4"/>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DC6BF3C">
                <w:pPr>
                  <w:pStyle w:val="4"/>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c2NjYwN2FkZjhjMzVjZDdlMWRiNmNlYmQ5MGQzNWIifQ=="/>
  </w:docVars>
  <w:rsids>
    <w:rsidRoot w:val="004E0E86"/>
    <w:rsid w:val="00392CBA"/>
    <w:rsid w:val="004E0E86"/>
    <w:rsid w:val="004F091B"/>
    <w:rsid w:val="00584021"/>
    <w:rsid w:val="0063752C"/>
    <w:rsid w:val="006F57BA"/>
    <w:rsid w:val="00740480"/>
    <w:rsid w:val="007D5415"/>
    <w:rsid w:val="009C79FF"/>
    <w:rsid w:val="00AC62D6"/>
    <w:rsid w:val="00BC18F1"/>
    <w:rsid w:val="00E21E51"/>
    <w:rsid w:val="01E90207"/>
    <w:rsid w:val="04AA5624"/>
    <w:rsid w:val="05FE9DEA"/>
    <w:rsid w:val="08C87720"/>
    <w:rsid w:val="0AF95D1A"/>
    <w:rsid w:val="0E2A6901"/>
    <w:rsid w:val="1B3F02FD"/>
    <w:rsid w:val="1F7BBA12"/>
    <w:rsid w:val="1FA4120D"/>
    <w:rsid w:val="266FCFA3"/>
    <w:rsid w:val="2BDF9310"/>
    <w:rsid w:val="2F7FC82C"/>
    <w:rsid w:val="317F6D3B"/>
    <w:rsid w:val="34603561"/>
    <w:rsid w:val="35FD6F91"/>
    <w:rsid w:val="3679CD8F"/>
    <w:rsid w:val="37DF19AC"/>
    <w:rsid w:val="396FA72A"/>
    <w:rsid w:val="3B9F3E43"/>
    <w:rsid w:val="3BFBBAB0"/>
    <w:rsid w:val="3FC7AB67"/>
    <w:rsid w:val="3FCC3C71"/>
    <w:rsid w:val="40DA7093"/>
    <w:rsid w:val="45F72B5F"/>
    <w:rsid w:val="47A01313"/>
    <w:rsid w:val="4B6E7644"/>
    <w:rsid w:val="4C47099F"/>
    <w:rsid w:val="50ED36D9"/>
    <w:rsid w:val="55FB2BC4"/>
    <w:rsid w:val="57B8BF0D"/>
    <w:rsid w:val="57D642BB"/>
    <w:rsid w:val="58FF9121"/>
    <w:rsid w:val="5BAF9A0E"/>
    <w:rsid w:val="5ECEFA28"/>
    <w:rsid w:val="5FDB0E73"/>
    <w:rsid w:val="5FF35F5B"/>
    <w:rsid w:val="5FFAA16A"/>
    <w:rsid w:val="63BA00D6"/>
    <w:rsid w:val="69920793"/>
    <w:rsid w:val="74F72028"/>
    <w:rsid w:val="775FB8A3"/>
    <w:rsid w:val="797ECDB5"/>
    <w:rsid w:val="7BE11A3A"/>
    <w:rsid w:val="7CDD0C8F"/>
    <w:rsid w:val="7E7EF87E"/>
    <w:rsid w:val="7EEDCE26"/>
    <w:rsid w:val="7F232490"/>
    <w:rsid w:val="7FE5AD2D"/>
    <w:rsid w:val="7FF5FD5A"/>
    <w:rsid w:val="7FFF66BE"/>
    <w:rsid w:val="A97F15F3"/>
    <w:rsid w:val="B9FA276F"/>
    <w:rsid w:val="BF76FF09"/>
    <w:rsid w:val="BFAE601C"/>
    <w:rsid w:val="BFFE2FF0"/>
    <w:rsid w:val="BFFF40B0"/>
    <w:rsid w:val="C7567BEE"/>
    <w:rsid w:val="D67B4F28"/>
    <w:rsid w:val="DB7E8A3A"/>
    <w:rsid w:val="DD6B406E"/>
    <w:rsid w:val="DF543EC1"/>
    <w:rsid w:val="DF7AC093"/>
    <w:rsid w:val="DF7F6039"/>
    <w:rsid w:val="E3BFEE70"/>
    <w:rsid w:val="E3FE380A"/>
    <w:rsid w:val="E7BC6156"/>
    <w:rsid w:val="EEFB93A4"/>
    <w:rsid w:val="F5FF67BB"/>
    <w:rsid w:val="F7AE885C"/>
    <w:rsid w:val="F7FE5CB6"/>
    <w:rsid w:val="FB0ECE4F"/>
    <w:rsid w:val="FB8FB323"/>
    <w:rsid w:val="FDBBF360"/>
    <w:rsid w:val="FDFA780C"/>
    <w:rsid w:val="FDFFA788"/>
    <w:rsid w:val="FE799BDB"/>
    <w:rsid w:val="FF2D0533"/>
    <w:rsid w:val="FF9D2035"/>
    <w:rsid w:val="FFD768B2"/>
    <w:rsid w:val="FFF2A813"/>
    <w:rsid w:val="FFF7FD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qFormat/>
    <w:uiPriority w:val="99"/>
    <w:pPr>
      <w:tabs>
        <w:tab w:val="center" w:pos="4153"/>
        <w:tab w:val="right" w:pos="8306"/>
      </w:tabs>
      <w:snapToGrid w:val="0"/>
      <w:jc w:val="left"/>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9">
    <w:name w:val="p"/>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标题 3 Char"/>
    <w:basedOn w:val="8"/>
    <w:link w:val="3"/>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3847</Words>
  <Characters>4236</Characters>
  <Lines>30</Lines>
  <Paragraphs>8</Paragraphs>
  <TotalTime>0</TotalTime>
  <ScaleCrop>false</ScaleCrop>
  <LinksUpToDate>false</LinksUpToDate>
  <CharactersWithSpaces>4341</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2022-01-27T17:36:00Z</dcterms:created>
  <dc:creator>Microsoft</dc:creator>
  <cp:lastModifiedBy>fushunshi</cp:lastModifiedBy>
  <cp:lastPrinted>2025-02-10T23:39:00Z</cp:lastPrinted>
  <dcterms:modified xsi:type="dcterms:W3CDTF">2026-05-22T08:49:04Z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46C70055A0264E959185D3158FB70721</vt:lpwstr>
  </property>
</Properties>
</file>