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kinsoku/>
        <w:wordWrap/>
        <w:overflowPunct/>
        <w:topLinePunct w:val="0"/>
        <w:autoSpaceDE/>
        <w:autoSpaceDN/>
        <w:bidi w:val="0"/>
        <w:spacing w:line="360" w:lineRule="auto"/>
        <w:ind w:left="0" w:leftChars="0"/>
        <w:jc w:val="both"/>
        <w:rPr>
          <w:rFonts w:ascii="方正粗黑宋简体" w:hAnsi="方正粗黑宋简体" w:eastAsia="方正粗黑宋简体"/>
          <w:b/>
          <w:w w:val="80"/>
          <w:sz w:val="52"/>
          <w:szCs w:val="52"/>
        </w:rPr>
      </w:pPr>
    </w:p>
    <w:p>
      <w:pPr>
        <w:keepNext w:val="0"/>
        <w:keepLines w:val="0"/>
        <w:kinsoku/>
        <w:wordWrap/>
        <w:overflowPunct/>
        <w:topLinePunct w:val="0"/>
        <w:autoSpaceDE/>
        <w:autoSpaceDN/>
        <w:bidi w:val="0"/>
        <w:spacing w:line="360" w:lineRule="auto"/>
        <w:ind w:left="0" w:leftChars="0"/>
        <w:jc w:val="both"/>
        <w:rPr>
          <w:rFonts w:hint="eastAsia" w:ascii="宋体" w:hAnsi="宋体" w:eastAsia="宋体" w:cs="宋体"/>
          <w:b/>
          <w:w w:val="80"/>
          <w:sz w:val="52"/>
          <w:szCs w:val="52"/>
        </w:rPr>
      </w:pP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val="0"/>
          <w:color w:val="auto"/>
          <w:w w:val="100"/>
          <w:sz w:val="52"/>
          <w:szCs w:val="52"/>
          <w:highlight w:val="none"/>
        </w:rPr>
      </w:pPr>
      <w:r>
        <w:rPr>
          <w:rFonts w:hint="eastAsia" w:ascii="宋体" w:hAnsi="宋体" w:eastAsia="宋体" w:cs="宋体"/>
          <w:b/>
          <w:bCs w:val="0"/>
          <w:color w:val="auto"/>
          <w:w w:val="100"/>
          <w:sz w:val="52"/>
          <w:szCs w:val="52"/>
          <w:highlight w:val="none"/>
        </w:rPr>
        <w:t>抚顺市</w:t>
      </w:r>
      <w:r>
        <w:rPr>
          <w:rFonts w:hint="eastAsia" w:ascii="宋体" w:hAnsi="宋体" w:cs="宋体"/>
          <w:b/>
          <w:bCs w:val="0"/>
          <w:color w:val="auto"/>
          <w:w w:val="100"/>
          <w:sz w:val="52"/>
          <w:szCs w:val="52"/>
          <w:highlight w:val="none"/>
          <w:lang w:eastAsia="zh-CN"/>
        </w:rPr>
        <w:t>煤矸石综合利用</w:t>
      </w:r>
      <w:r>
        <w:rPr>
          <w:rFonts w:hint="eastAsia" w:ascii="宋体" w:hAnsi="宋体" w:eastAsia="宋体" w:cs="宋体"/>
          <w:b/>
          <w:bCs w:val="0"/>
          <w:color w:val="auto"/>
          <w:w w:val="100"/>
          <w:sz w:val="52"/>
          <w:szCs w:val="52"/>
          <w:highlight w:val="none"/>
        </w:rPr>
        <w:t>产业</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b/>
          <w:bCs w:val="0"/>
          <w:color w:val="auto"/>
          <w:w w:val="100"/>
          <w:sz w:val="52"/>
          <w:szCs w:val="52"/>
          <w:highlight w:val="none"/>
        </w:rPr>
      </w:pPr>
      <w:r>
        <w:rPr>
          <w:rFonts w:hint="default" w:ascii="宋体" w:hAnsi="宋体" w:eastAsia="宋体" w:cs="宋体"/>
          <w:b/>
          <w:bCs w:val="0"/>
          <w:color w:val="auto"/>
          <w:w w:val="100"/>
          <w:sz w:val="52"/>
          <w:szCs w:val="52"/>
          <w:highlight w:val="none"/>
          <w:lang w:val="en-US" w:eastAsia="zh-CN"/>
        </w:rPr>
        <w:t>“</w:t>
      </w:r>
      <w:r>
        <w:rPr>
          <w:rFonts w:hint="eastAsia" w:ascii="宋体" w:hAnsi="宋体" w:eastAsia="宋体" w:cs="宋体"/>
          <w:b/>
          <w:bCs w:val="0"/>
          <w:color w:val="auto"/>
          <w:w w:val="100"/>
          <w:sz w:val="52"/>
          <w:szCs w:val="52"/>
          <w:highlight w:val="none"/>
          <w:lang w:val="en-US" w:eastAsia="zh-CN"/>
        </w:rPr>
        <w:t>十四五”发展</w:t>
      </w:r>
      <w:r>
        <w:rPr>
          <w:rFonts w:hint="eastAsia" w:ascii="宋体" w:hAnsi="宋体" w:eastAsia="宋体" w:cs="宋体"/>
          <w:b/>
          <w:bCs w:val="0"/>
          <w:color w:val="auto"/>
          <w:w w:val="100"/>
          <w:sz w:val="52"/>
          <w:szCs w:val="52"/>
          <w:highlight w:val="none"/>
        </w:rPr>
        <w:t>规划</w:t>
      </w: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pStyle w:val="6"/>
        <w:keepNext w:val="0"/>
        <w:keepLines w:val="0"/>
        <w:kinsoku/>
        <w:wordWrap/>
        <w:overflowPunct/>
        <w:topLinePunct w:val="0"/>
        <w:autoSpaceDE/>
        <w:autoSpaceDN/>
        <w:bidi w:val="0"/>
        <w:spacing w:line="360" w:lineRule="auto"/>
        <w:ind w:left="0" w:leftChars="0" w:firstLine="0" w:firstLineChars="0"/>
        <w:jc w:val="both"/>
      </w:pPr>
    </w:p>
    <w:p>
      <w:pPr>
        <w:pStyle w:val="6"/>
        <w:keepNext w:val="0"/>
        <w:keepLines w:val="0"/>
        <w:kinsoku/>
        <w:wordWrap/>
        <w:overflowPunct/>
        <w:topLinePunct w:val="0"/>
        <w:autoSpaceDE/>
        <w:autoSpaceDN/>
        <w:bidi w:val="0"/>
        <w:spacing w:line="360" w:lineRule="auto"/>
        <w:ind w:left="0" w:leftChars="0" w:firstLine="0" w:firstLine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pStyle w:val="2"/>
        <w:keepNext w:val="0"/>
        <w:keepLines w:val="0"/>
        <w:kinsoku/>
        <w:wordWrap/>
        <w:overflowPunct/>
        <w:topLinePunct w:val="0"/>
        <w:autoSpaceDE/>
        <w:autoSpaceDN/>
        <w:bidi w:val="0"/>
        <w:spacing w:line="360" w:lineRule="auto"/>
        <w:ind w:left="0" w:leftChars="0" w:firstLine="0" w:firstLineChars="0"/>
        <w:jc w:val="both"/>
        <w:rPr>
          <w:rFonts w:hint="eastAsia"/>
          <w:lang w:val="en-US" w:eastAsia="zh-CN"/>
        </w:rPr>
      </w:pPr>
    </w:p>
    <w:p>
      <w:pPr>
        <w:keepNext w:val="0"/>
        <w:keepLines w:val="0"/>
        <w:kinsoku/>
        <w:wordWrap/>
        <w:overflowPunct/>
        <w:topLinePunct w:val="0"/>
        <w:autoSpaceDE/>
        <w:autoSpaceDN/>
        <w:bidi w:val="0"/>
        <w:spacing w:line="360" w:lineRule="auto"/>
        <w:ind w:left="0" w:leftChars="0"/>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二〇二一年九月</w:t>
      </w:r>
    </w:p>
    <w:p>
      <w:pPr>
        <w:pStyle w:val="6"/>
        <w:keepNext w:val="0"/>
        <w:keepLines w:val="0"/>
        <w:kinsoku/>
        <w:wordWrap/>
        <w:overflowPunct/>
        <w:topLinePunct w:val="0"/>
        <w:autoSpaceDE/>
        <w:autoSpaceDN/>
        <w:bidi w:val="0"/>
        <w:spacing w:line="360" w:lineRule="auto"/>
        <w:ind w:left="0" w:leftChars="0"/>
        <w:jc w:val="both"/>
      </w:pPr>
    </w:p>
    <w:p>
      <w:pPr>
        <w:keepNext w:val="0"/>
        <w:keepLines w:val="0"/>
        <w:kinsoku/>
        <w:wordWrap/>
        <w:overflowPunct/>
        <w:topLinePunct w:val="0"/>
        <w:autoSpaceDE/>
        <w:autoSpaceDN/>
        <w:bidi w:val="0"/>
        <w:spacing w:line="360" w:lineRule="auto"/>
        <w:ind w:left="0" w:leftChars="0"/>
        <w:jc w:val="both"/>
      </w:pPr>
    </w:p>
    <w:p>
      <w:pPr>
        <w:pStyle w:val="10"/>
        <w:keepNext w:val="0"/>
        <w:keepLines w:val="0"/>
        <w:kinsoku/>
        <w:wordWrap/>
        <w:overflowPunct/>
        <w:topLinePunct w:val="0"/>
        <w:autoSpaceDE/>
        <w:autoSpaceDN/>
        <w:bidi w:val="0"/>
        <w:spacing w:line="360" w:lineRule="auto"/>
        <w:ind w:left="0" w:leftChars="0"/>
        <w:jc w:val="both"/>
        <w:rPr>
          <w:rFonts w:hint="eastAsia" w:ascii="黑体" w:hAnsi="黑体" w:eastAsia="黑体" w:cs="黑体"/>
          <w:b/>
          <w:bCs/>
          <w:sz w:val="36"/>
          <w:szCs w:val="36"/>
          <w:lang w:val="en-US" w:eastAsia="zh-CN"/>
        </w:rPr>
        <w:sectPr>
          <w:pgSz w:w="11906" w:h="16838"/>
          <w:pgMar w:top="1440" w:right="1800" w:bottom="1440" w:left="1800" w:header="851" w:footer="992" w:gutter="0"/>
          <w:cols w:space="425" w:num="1"/>
          <w:docGrid w:type="lines" w:linePitch="312" w:charSpace="0"/>
        </w:sectPr>
      </w:pPr>
    </w:p>
    <w:sdt>
      <w:sdtPr>
        <w:rPr>
          <w:rFonts w:hint="eastAsia" w:ascii="仿宋" w:hAnsi="仿宋" w:eastAsia="仿宋" w:cs="仿宋"/>
          <w:b/>
          <w:bCs/>
          <w:kern w:val="2"/>
          <w:sz w:val="32"/>
          <w:szCs w:val="32"/>
          <w:lang w:val="en-US" w:eastAsia="zh-CN" w:bidi="ar-SA"/>
        </w:rPr>
        <w:id w:val="147460780"/>
        <w15:color w:val="DBDBDB"/>
        <w:docPartObj>
          <w:docPartGallery w:val="Table of Contents"/>
          <w:docPartUnique/>
        </w:docPartObj>
      </w:sdtPr>
      <w:sdtEndPr>
        <w:rPr>
          <w:rFonts w:hint="eastAsia" w:ascii="黑体" w:hAnsi="黑体" w:eastAsia="黑体" w:cs="黑体"/>
          <w:b/>
          <w:bCs/>
          <w:kern w:val="2"/>
          <w:sz w:val="28"/>
          <w:szCs w:val="28"/>
          <w:lang w:val="en-US" w:eastAsia="zh-CN" w:bidi="ar-SA"/>
        </w:rPr>
      </w:sdtEndPr>
      <w:sdtContent>
        <w:p>
          <w:pPr>
            <w:keepNext w:val="0"/>
            <w:keepLines w:val="0"/>
            <w:kinsoku/>
            <w:wordWrap/>
            <w:overflowPunct/>
            <w:topLinePunct w:val="0"/>
            <w:autoSpaceDE/>
            <w:autoSpaceDN/>
            <w:bidi w:val="0"/>
            <w:spacing w:line="360" w:lineRule="auto"/>
            <w:ind w:left="0" w:leftChars="0" w:right="0" w:rightChars="0" w:firstLine="0" w:firstLineChars="0"/>
            <w:jc w:val="center"/>
            <w:rPr>
              <w:rFonts w:hint="eastAsia" w:ascii="仿宋" w:hAnsi="仿宋" w:eastAsia="仿宋" w:cs="仿宋"/>
              <w:b/>
              <w:bCs/>
              <w:sz w:val="32"/>
              <w:szCs w:val="32"/>
            </w:rPr>
          </w:pPr>
          <w:r>
            <w:rPr>
              <w:rFonts w:hint="eastAsia" w:ascii="仿宋" w:hAnsi="仿宋" w:eastAsia="仿宋" w:cs="仿宋"/>
              <w:b/>
              <w:bCs/>
              <w:sz w:val="32"/>
              <w:szCs w:val="32"/>
            </w:rPr>
            <w:t>目</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录</w:t>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TOC \o "1-2" \h \u </w:instrText>
          </w:r>
          <w:r>
            <w:rPr>
              <w:rFonts w:hint="eastAsia" w:ascii="仿宋" w:hAnsi="仿宋" w:eastAsia="仿宋" w:cs="仿宋"/>
              <w:sz w:val="28"/>
              <w:szCs w:val="28"/>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_Toc4386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前  言</w:t>
          </w:r>
          <w:r>
            <w:rPr>
              <w:sz w:val="28"/>
              <w:szCs w:val="28"/>
            </w:rPr>
            <w:tab/>
          </w:r>
          <w:r>
            <w:rPr>
              <w:sz w:val="28"/>
              <w:szCs w:val="28"/>
            </w:rPr>
            <w:fldChar w:fldCharType="begin"/>
          </w:r>
          <w:r>
            <w:rPr>
              <w:sz w:val="28"/>
              <w:szCs w:val="28"/>
            </w:rPr>
            <w:instrText xml:space="preserve"> PAGEREF _Toc4386 \h </w:instrText>
          </w:r>
          <w:r>
            <w:rPr>
              <w:sz w:val="28"/>
              <w:szCs w:val="28"/>
            </w:rPr>
            <w:fldChar w:fldCharType="separate"/>
          </w:r>
          <w:r>
            <w:rPr>
              <w:sz w:val="28"/>
              <w:szCs w:val="28"/>
            </w:rPr>
            <w:t>1</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_Toc14219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一、总则</w:t>
          </w:r>
          <w:r>
            <w:rPr>
              <w:sz w:val="28"/>
              <w:szCs w:val="28"/>
            </w:rPr>
            <w:tab/>
          </w:r>
          <w:r>
            <w:rPr>
              <w:sz w:val="28"/>
              <w:szCs w:val="28"/>
            </w:rPr>
            <w:fldChar w:fldCharType="begin"/>
          </w:r>
          <w:r>
            <w:rPr>
              <w:sz w:val="28"/>
              <w:szCs w:val="28"/>
            </w:rPr>
            <w:instrText xml:space="preserve"> PAGEREF _Toc14219 \h </w:instrText>
          </w:r>
          <w:r>
            <w:rPr>
              <w:sz w:val="28"/>
              <w:szCs w:val="28"/>
            </w:rPr>
            <w:fldChar w:fldCharType="separate"/>
          </w:r>
          <w:r>
            <w:rPr>
              <w:sz w:val="28"/>
              <w:szCs w:val="28"/>
            </w:rPr>
            <w:t>2</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_Toc3124 </w:instrText>
          </w:r>
          <w:r>
            <w:rPr>
              <w:rFonts w:hint="eastAsia" w:ascii="仿宋" w:hAnsi="仿宋" w:eastAsia="仿宋" w:cs="仿宋"/>
              <w:sz w:val="28"/>
              <w:szCs w:val="28"/>
            </w:rPr>
            <w:fldChar w:fldCharType="separate"/>
          </w:r>
          <w:r>
            <w:rPr>
              <w:rFonts w:hint="eastAsia" w:ascii="仿宋_GB2312" w:hAnsi="仿宋_GB2312" w:eastAsia="仿宋_GB2312" w:cs="仿宋_GB2312"/>
              <w:bCs/>
              <w:sz w:val="28"/>
              <w:szCs w:val="28"/>
              <w:lang w:val="en-US" w:eastAsia="zh-CN"/>
            </w:rPr>
            <w:t>（一）规划周期</w:t>
          </w:r>
          <w:r>
            <w:rPr>
              <w:sz w:val="28"/>
              <w:szCs w:val="28"/>
            </w:rPr>
            <w:tab/>
          </w:r>
          <w:r>
            <w:rPr>
              <w:sz w:val="28"/>
              <w:szCs w:val="28"/>
            </w:rPr>
            <w:fldChar w:fldCharType="begin"/>
          </w:r>
          <w:r>
            <w:rPr>
              <w:sz w:val="28"/>
              <w:szCs w:val="28"/>
            </w:rPr>
            <w:instrText xml:space="preserve"> PAGEREF _Toc3124 \h </w:instrText>
          </w:r>
          <w:r>
            <w:rPr>
              <w:sz w:val="28"/>
              <w:szCs w:val="28"/>
            </w:rPr>
            <w:fldChar w:fldCharType="separate"/>
          </w:r>
          <w:r>
            <w:rPr>
              <w:sz w:val="28"/>
              <w:szCs w:val="28"/>
            </w:rPr>
            <w:t>2</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_Toc20034 </w:instrText>
          </w:r>
          <w:r>
            <w:rPr>
              <w:rFonts w:hint="eastAsia" w:ascii="仿宋" w:hAnsi="仿宋" w:eastAsia="仿宋" w:cs="仿宋"/>
              <w:sz w:val="28"/>
              <w:szCs w:val="28"/>
            </w:rPr>
            <w:fldChar w:fldCharType="separate"/>
          </w:r>
          <w:r>
            <w:rPr>
              <w:rFonts w:hint="eastAsia" w:ascii="仿宋_GB2312" w:hAnsi="仿宋_GB2312" w:eastAsia="仿宋_GB2312" w:cs="仿宋_GB2312"/>
              <w:bCs/>
              <w:sz w:val="28"/>
              <w:szCs w:val="28"/>
              <w:lang w:val="en-US" w:eastAsia="zh-CN"/>
            </w:rPr>
            <w:t>（二）规划范围</w:t>
          </w:r>
          <w:r>
            <w:rPr>
              <w:sz w:val="28"/>
              <w:szCs w:val="28"/>
            </w:rPr>
            <w:tab/>
          </w:r>
          <w:r>
            <w:rPr>
              <w:sz w:val="28"/>
              <w:szCs w:val="28"/>
            </w:rPr>
            <w:fldChar w:fldCharType="begin"/>
          </w:r>
          <w:r>
            <w:rPr>
              <w:sz w:val="28"/>
              <w:szCs w:val="28"/>
            </w:rPr>
            <w:instrText xml:space="preserve"> PAGEREF _Toc20034 \h </w:instrText>
          </w:r>
          <w:r>
            <w:rPr>
              <w:sz w:val="28"/>
              <w:szCs w:val="28"/>
            </w:rPr>
            <w:fldChar w:fldCharType="separate"/>
          </w:r>
          <w:r>
            <w:rPr>
              <w:sz w:val="28"/>
              <w:szCs w:val="28"/>
            </w:rPr>
            <w:t>2</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_Toc16619 </w:instrText>
          </w:r>
          <w:r>
            <w:rPr>
              <w:rFonts w:hint="eastAsia" w:ascii="仿宋" w:hAnsi="仿宋" w:eastAsia="仿宋" w:cs="仿宋"/>
              <w:sz w:val="28"/>
              <w:szCs w:val="28"/>
            </w:rPr>
            <w:fldChar w:fldCharType="separate"/>
          </w:r>
          <w:r>
            <w:rPr>
              <w:rFonts w:hint="eastAsia" w:ascii="仿宋_GB2312" w:hAnsi="仿宋_GB2312" w:eastAsia="仿宋_GB2312" w:cs="仿宋_GB2312"/>
              <w:bCs/>
              <w:sz w:val="28"/>
              <w:szCs w:val="28"/>
              <w:lang w:val="en-US" w:eastAsia="zh-CN"/>
            </w:rPr>
            <w:t>（三）规划内容</w:t>
          </w:r>
          <w:r>
            <w:rPr>
              <w:sz w:val="28"/>
              <w:szCs w:val="28"/>
            </w:rPr>
            <w:tab/>
          </w:r>
          <w:r>
            <w:rPr>
              <w:sz w:val="28"/>
              <w:szCs w:val="28"/>
            </w:rPr>
            <w:fldChar w:fldCharType="begin"/>
          </w:r>
          <w:r>
            <w:rPr>
              <w:sz w:val="28"/>
              <w:szCs w:val="28"/>
            </w:rPr>
            <w:instrText xml:space="preserve"> PAGEREF _Toc16619 \h </w:instrText>
          </w:r>
          <w:r>
            <w:rPr>
              <w:sz w:val="28"/>
              <w:szCs w:val="28"/>
            </w:rPr>
            <w:fldChar w:fldCharType="separate"/>
          </w:r>
          <w:r>
            <w:rPr>
              <w:sz w:val="28"/>
              <w:szCs w:val="28"/>
            </w:rPr>
            <w:t>2</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_Toc5029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二、发展基础</w:t>
          </w:r>
          <w:r>
            <w:rPr>
              <w:sz w:val="28"/>
              <w:szCs w:val="28"/>
            </w:rPr>
            <w:tab/>
          </w:r>
          <w:r>
            <w:rPr>
              <w:sz w:val="28"/>
              <w:szCs w:val="28"/>
            </w:rPr>
            <w:fldChar w:fldCharType="begin"/>
          </w:r>
          <w:r>
            <w:rPr>
              <w:sz w:val="28"/>
              <w:szCs w:val="28"/>
            </w:rPr>
            <w:instrText xml:space="preserve"> PAGEREF _Toc5029 \h </w:instrText>
          </w:r>
          <w:r>
            <w:rPr>
              <w:sz w:val="28"/>
              <w:szCs w:val="28"/>
            </w:rPr>
            <w:fldChar w:fldCharType="separate"/>
          </w:r>
          <w:r>
            <w:rPr>
              <w:sz w:val="28"/>
              <w:szCs w:val="28"/>
            </w:rPr>
            <w:t>2</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_Toc23495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（一）</w:t>
          </w:r>
          <w:r>
            <w:rPr>
              <w:rFonts w:hint="default" w:ascii="仿宋_GB2312" w:hAnsi="仿宋_GB2312" w:eastAsia="仿宋_GB2312" w:cs="仿宋_GB2312"/>
              <w:bCs/>
              <w:kern w:val="0"/>
              <w:sz w:val="28"/>
              <w:szCs w:val="28"/>
              <w:lang w:val="en-US" w:eastAsia="zh-CN" w:bidi="ar"/>
            </w:rPr>
            <w:t>产业</w:t>
          </w:r>
          <w:r>
            <w:rPr>
              <w:rFonts w:hint="eastAsia" w:ascii="仿宋_GB2312" w:hAnsi="仿宋_GB2312" w:eastAsia="仿宋_GB2312" w:cs="仿宋_GB2312"/>
              <w:bCs/>
              <w:kern w:val="0"/>
              <w:sz w:val="28"/>
              <w:szCs w:val="28"/>
              <w:lang w:val="en-US" w:eastAsia="zh-CN" w:bidi="ar"/>
            </w:rPr>
            <w:t>发展有序推进</w:t>
          </w:r>
          <w:r>
            <w:rPr>
              <w:sz w:val="28"/>
              <w:szCs w:val="28"/>
            </w:rPr>
            <w:tab/>
          </w:r>
          <w:r>
            <w:rPr>
              <w:sz w:val="28"/>
              <w:szCs w:val="28"/>
            </w:rPr>
            <w:fldChar w:fldCharType="begin"/>
          </w:r>
          <w:r>
            <w:rPr>
              <w:sz w:val="28"/>
              <w:szCs w:val="28"/>
            </w:rPr>
            <w:instrText xml:space="preserve"> PAGEREF _Toc23495 \h </w:instrText>
          </w:r>
          <w:r>
            <w:rPr>
              <w:sz w:val="28"/>
              <w:szCs w:val="28"/>
            </w:rPr>
            <w:fldChar w:fldCharType="separate"/>
          </w:r>
          <w:r>
            <w:rPr>
              <w:sz w:val="28"/>
              <w:szCs w:val="28"/>
            </w:rPr>
            <w:t>3</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_Toc16674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highlight w:val="none"/>
              <w:lang w:val="en-US" w:eastAsia="zh-CN" w:bidi="ar"/>
            </w:rPr>
            <w:t>（二）龙头企业蓬勃发展</w:t>
          </w:r>
          <w:r>
            <w:rPr>
              <w:sz w:val="28"/>
              <w:szCs w:val="28"/>
            </w:rPr>
            <w:tab/>
          </w:r>
          <w:r>
            <w:rPr>
              <w:sz w:val="28"/>
              <w:szCs w:val="28"/>
            </w:rPr>
            <w:fldChar w:fldCharType="begin"/>
          </w:r>
          <w:r>
            <w:rPr>
              <w:sz w:val="28"/>
              <w:szCs w:val="28"/>
            </w:rPr>
            <w:instrText xml:space="preserve"> PAGEREF _Toc16674 \h </w:instrText>
          </w:r>
          <w:r>
            <w:rPr>
              <w:sz w:val="28"/>
              <w:szCs w:val="28"/>
            </w:rPr>
            <w:fldChar w:fldCharType="separate"/>
          </w:r>
          <w:r>
            <w:rPr>
              <w:sz w:val="28"/>
              <w:szCs w:val="28"/>
            </w:rPr>
            <w:t>3</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_Toc7103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（三）园区建设步伐加快</w:t>
          </w:r>
          <w:r>
            <w:rPr>
              <w:sz w:val="28"/>
              <w:szCs w:val="28"/>
            </w:rPr>
            <w:tab/>
          </w:r>
          <w:r>
            <w:rPr>
              <w:sz w:val="28"/>
              <w:szCs w:val="28"/>
            </w:rPr>
            <w:fldChar w:fldCharType="begin"/>
          </w:r>
          <w:r>
            <w:rPr>
              <w:sz w:val="28"/>
              <w:szCs w:val="28"/>
            </w:rPr>
            <w:instrText xml:space="preserve"> PAGEREF _Toc7103 \h </w:instrText>
          </w:r>
          <w:r>
            <w:rPr>
              <w:sz w:val="28"/>
              <w:szCs w:val="28"/>
            </w:rPr>
            <w:fldChar w:fldCharType="separate"/>
          </w:r>
          <w:r>
            <w:rPr>
              <w:sz w:val="28"/>
              <w:szCs w:val="28"/>
            </w:rPr>
            <w:t>4</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_Toc24586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（四）创新</w:t>
          </w:r>
          <w:r>
            <w:rPr>
              <w:rFonts w:hint="default" w:ascii="仿宋_GB2312" w:hAnsi="仿宋_GB2312" w:eastAsia="仿宋_GB2312" w:cs="仿宋_GB2312"/>
              <w:bCs/>
              <w:kern w:val="0"/>
              <w:sz w:val="28"/>
              <w:szCs w:val="28"/>
              <w:lang w:val="en-US" w:eastAsia="zh-CN" w:bidi="ar"/>
            </w:rPr>
            <w:t>能力</w:t>
          </w:r>
          <w:r>
            <w:rPr>
              <w:rFonts w:hint="eastAsia" w:ascii="仿宋_GB2312" w:hAnsi="仿宋_GB2312" w:eastAsia="仿宋_GB2312" w:cs="仿宋_GB2312"/>
              <w:bCs/>
              <w:kern w:val="0"/>
              <w:sz w:val="28"/>
              <w:szCs w:val="28"/>
              <w:lang w:val="en-US" w:eastAsia="zh-CN" w:bidi="ar"/>
            </w:rPr>
            <w:t>持续增</w:t>
          </w:r>
          <w:r>
            <w:rPr>
              <w:rFonts w:hint="default" w:ascii="仿宋_GB2312" w:hAnsi="仿宋_GB2312" w:eastAsia="仿宋_GB2312" w:cs="仿宋_GB2312"/>
              <w:bCs/>
              <w:kern w:val="0"/>
              <w:sz w:val="28"/>
              <w:szCs w:val="28"/>
              <w:lang w:val="en-US" w:eastAsia="zh-CN" w:bidi="ar"/>
            </w:rPr>
            <w:t>强</w:t>
          </w:r>
          <w:r>
            <w:rPr>
              <w:sz w:val="28"/>
              <w:szCs w:val="28"/>
            </w:rPr>
            <w:tab/>
          </w:r>
          <w:r>
            <w:rPr>
              <w:sz w:val="28"/>
              <w:szCs w:val="28"/>
            </w:rPr>
            <w:fldChar w:fldCharType="begin"/>
          </w:r>
          <w:r>
            <w:rPr>
              <w:sz w:val="28"/>
              <w:szCs w:val="28"/>
            </w:rPr>
            <w:instrText xml:space="preserve"> PAGEREF _Toc24586 \h </w:instrText>
          </w:r>
          <w:r>
            <w:rPr>
              <w:sz w:val="28"/>
              <w:szCs w:val="28"/>
            </w:rPr>
            <w:fldChar w:fldCharType="separate"/>
          </w:r>
          <w:r>
            <w:rPr>
              <w:sz w:val="28"/>
              <w:szCs w:val="28"/>
            </w:rPr>
            <w:t>5</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_Toc31283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三、发展环境</w:t>
          </w:r>
          <w:r>
            <w:rPr>
              <w:sz w:val="28"/>
              <w:szCs w:val="28"/>
            </w:rPr>
            <w:tab/>
          </w:r>
          <w:r>
            <w:rPr>
              <w:sz w:val="28"/>
              <w:szCs w:val="28"/>
            </w:rPr>
            <w:fldChar w:fldCharType="begin"/>
          </w:r>
          <w:r>
            <w:rPr>
              <w:sz w:val="28"/>
              <w:szCs w:val="28"/>
            </w:rPr>
            <w:instrText xml:space="preserve"> PAGEREF _Toc31283 \h </w:instrText>
          </w:r>
          <w:r>
            <w:rPr>
              <w:sz w:val="28"/>
              <w:szCs w:val="28"/>
            </w:rPr>
            <w:fldChar w:fldCharType="separate"/>
          </w:r>
          <w:r>
            <w:rPr>
              <w:sz w:val="28"/>
              <w:szCs w:val="28"/>
            </w:rPr>
            <w:t>6</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_Toc3148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（一）国内外发展环境</w:t>
          </w:r>
          <w:r>
            <w:rPr>
              <w:sz w:val="28"/>
              <w:szCs w:val="28"/>
            </w:rPr>
            <w:tab/>
          </w:r>
          <w:r>
            <w:rPr>
              <w:sz w:val="28"/>
              <w:szCs w:val="28"/>
            </w:rPr>
            <w:fldChar w:fldCharType="begin"/>
          </w:r>
          <w:r>
            <w:rPr>
              <w:sz w:val="28"/>
              <w:szCs w:val="28"/>
            </w:rPr>
            <w:instrText xml:space="preserve"> PAGEREF _Toc3148 \h </w:instrText>
          </w:r>
          <w:r>
            <w:rPr>
              <w:sz w:val="28"/>
              <w:szCs w:val="28"/>
            </w:rPr>
            <w:fldChar w:fldCharType="separate"/>
          </w:r>
          <w:r>
            <w:rPr>
              <w:sz w:val="28"/>
              <w:szCs w:val="28"/>
            </w:rPr>
            <w:t>6</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_Toc13112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（二）抚顺市发展环境</w:t>
          </w:r>
          <w:r>
            <w:rPr>
              <w:sz w:val="28"/>
              <w:szCs w:val="28"/>
            </w:rPr>
            <w:tab/>
          </w:r>
          <w:r>
            <w:rPr>
              <w:sz w:val="28"/>
              <w:szCs w:val="28"/>
            </w:rPr>
            <w:fldChar w:fldCharType="begin"/>
          </w:r>
          <w:r>
            <w:rPr>
              <w:sz w:val="28"/>
              <w:szCs w:val="28"/>
            </w:rPr>
            <w:instrText xml:space="preserve"> PAGEREF _Toc13112 \h </w:instrText>
          </w:r>
          <w:r>
            <w:rPr>
              <w:sz w:val="28"/>
              <w:szCs w:val="28"/>
            </w:rPr>
            <w:fldChar w:fldCharType="separate"/>
          </w:r>
          <w:r>
            <w:rPr>
              <w:sz w:val="28"/>
              <w:szCs w:val="28"/>
            </w:rPr>
            <w:t>8</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_Toc27134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四、总体要求</w:t>
          </w:r>
          <w:r>
            <w:rPr>
              <w:sz w:val="28"/>
              <w:szCs w:val="28"/>
            </w:rPr>
            <w:tab/>
          </w:r>
          <w:r>
            <w:rPr>
              <w:sz w:val="28"/>
              <w:szCs w:val="28"/>
            </w:rPr>
            <w:fldChar w:fldCharType="begin"/>
          </w:r>
          <w:r>
            <w:rPr>
              <w:sz w:val="28"/>
              <w:szCs w:val="28"/>
            </w:rPr>
            <w:instrText xml:space="preserve"> PAGEREF _Toc27134 \h </w:instrText>
          </w:r>
          <w:r>
            <w:rPr>
              <w:sz w:val="28"/>
              <w:szCs w:val="28"/>
            </w:rPr>
            <w:fldChar w:fldCharType="separate"/>
          </w:r>
          <w:r>
            <w:rPr>
              <w:sz w:val="28"/>
              <w:szCs w:val="28"/>
            </w:rPr>
            <w:t>10</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_Toc14716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（一）指导思想</w:t>
          </w:r>
          <w:r>
            <w:rPr>
              <w:sz w:val="28"/>
              <w:szCs w:val="28"/>
            </w:rPr>
            <w:tab/>
          </w:r>
          <w:r>
            <w:rPr>
              <w:sz w:val="28"/>
              <w:szCs w:val="28"/>
            </w:rPr>
            <w:fldChar w:fldCharType="begin"/>
          </w:r>
          <w:r>
            <w:rPr>
              <w:sz w:val="28"/>
              <w:szCs w:val="28"/>
            </w:rPr>
            <w:instrText xml:space="preserve"> PAGEREF _Toc14716 \h </w:instrText>
          </w:r>
          <w:r>
            <w:rPr>
              <w:sz w:val="28"/>
              <w:szCs w:val="28"/>
            </w:rPr>
            <w:fldChar w:fldCharType="separate"/>
          </w:r>
          <w:r>
            <w:rPr>
              <w:sz w:val="28"/>
              <w:szCs w:val="28"/>
            </w:rPr>
            <w:t>10</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_Toc19525 </w:instrText>
          </w:r>
          <w:r>
            <w:rPr>
              <w:rFonts w:hint="eastAsia" w:ascii="仿宋" w:hAnsi="仿宋" w:eastAsia="仿宋" w:cs="仿宋"/>
              <w:sz w:val="28"/>
              <w:szCs w:val="28"/>
            </w:rPr>
            <w:fldChar w:fldCharType="separate"/>
          </w:r>
          <w:r>
            <w:rPr>
              <w:rFonts w:hint="eastAsia" w:ascii="仿宋_GB2312" w:hAnsi="仿宋_GB2312" w:eastAsia="仿宋_GB2312" w:cs="仿宋_GB2312"/>
              <w:kern w:val="0"/>
              <w:sz w:val="28"/>
              <w:szCs w:val="28"/>
              <w:lang w:val="en-US" w:eastAsia="zh-CN" w:bidi="ar"/>
            </w:rPr>
            <w:t>（二）</w:t>
          </w:r>
          <w:r>
            <w:rPr>
              <w:rFonts w:hint="eastAsia" w:ascii="仿宋_GB2312" w:hAnsi="仿宋_GB2312" w:eastAsia="仿宋_GB2312" w:cs="仿宋_GB2312"/>
              <w:bCs/>
              <w:kern w:val="0"/>
              <w:sz w:val="28"/>
              <w:szCs w:val="28"/>
              <w:lang w:val="en-US" w:eastAsia="zh-CN" w:bidi="ar"/>
            </w:rPr>
            <w:t>基本原则</w:t>
          </w:r>
          <w:r>
            <w:rPr>
              <w:sz w:val="28"/>
              <w:szCs w:val="28"/>
            </w:rPr>
            <w:tab/>
          </w:r>
          <w:r>
            <w:rPr>
              <w:sz w:val="28"/>
              <w:szCs w:val="28"/>
            </w:rPr>
            <w:fldChar w:fldCharType="begin"/>
          </w:r>
          <w:r>
            <w:rPr>
              <w:sz w:val="28"/>
              <w:szCs w:val="28"/>
            </w:rPr>
            <w:instrText xml:space="preserve"> PAGEREF _Toc19525 \h </w:instrText>
          </w:r>
          <w:r>
            <w:rPr>
              <w:sz w:val="28"/>
              <w:szCs w:val="28"/>
            </w:rPr>
            <w:fldChar w:fldCharType="separate"/>
          </w:r>
          <w:r>
            <w:rPr>
              <w:sz w:val="28"/>
              <w:szCs w:val="28"/>
            </w:rPr>
            <w:t>10</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_Toc14868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（三）发展路径</w:t>
          </w:r>
          <w:r>
            <w:rPr>
              <w:sz w:val="28"/>
              <w:szCs w:val="28"/>
            </w:rPr>
            <w:tab/>
          </w:r>
          <w:r>
            <w:rPr>
              <w:sz w:val="28"/>
              <w:szCs w:val="28"/>
            </w:rPr>
            <w:fldChar w:fldCharType="begin"/>
          </w:r>
          <w:r>
            <w:rPr>
              <w:sz w:val="28"/>
              <w:szCs w:val="28"/>
            </w:rPr>
            <w:instrText xml:space="preserve"> PAGEREF _Toc14868 \h </w:instrText>
          </w:r>
          <w:r>
            <w:rPr>
              <w:sz w:val="28"/>
              <w:szCs w:val="28"/>
            </w:rPr>
            <w:fldChar w:fldCharType="separate"/>
          </w:r>
          <w:r>
            <w:rPr>
              <w:sz w:val="28"/>
              <w:szCs w:val="28"/>
            </w:rPr>
            <w:t>11</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_Toc16469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（四）发展目标</w:t>
          </w:r>
          <w:r>
            <w:rPr>
              <w:sz w:val="28"/>
              <w:szCs w:val="28"/>
            </w:rPr>
            <w:tab/>
          </w:r>
          <w:r>
            <w:rPr>
              <w:sz w:val="28"/>
              <w:szCs w:val="28"/>
            </w:rPr>
            <w:fldChar w:fldCharType="begin"/>
          </w:r>
          <w:r>
            <w:rPr>
              <w:sz w:val="28"/>
              <w:szCs w:val="28"/>
            </w:rPr>
            <w:instrText xml:space="preserve"> PAGEREF _Toc16469 \h </w:instrText>
          </w:r>
          <w:r>
            <w:rPr>
              <w:sz w:val="28"/>
              <w:szCs w:val="28"/>
            </w:rPr>
            <w:fldChar w:fldCharType="separate"/>
          </w:r>
          <w:r>
            <w:rPr>
              <w:sz w:val="28"/>
              <w:szCs w:val="28"/>
            </w:rPr>
            <w:t>13</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_Toc14323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（五）空间布局</w:t>
          </w:r>
          <w:r>
            <w:rPr>
              <w:sz w:val="28"/>
              <w:szCs w:val="28"/>
            </w:rPr>
            <w:tab/>
          </w:r>
          <w:r>
            <w:rPr>
              <w:sz w:val="28"/>
              <w:szCs w:val="28"/>
            </w:rPr>
            <w:fldChar w:fldCharType="begin"/>
          </w:r>
          <w:r>
            <w:rPr>
              <w:sz w:val="28"/>
              <w:szCs w:val="28"/>
            </w:rPr>
            <w:instrText xml:space="preserve"> PAGEREF _Toc14323 \h </w:instrText>
          </w:r>
          <w:r>
            <w:rPr>
              <w:sz w:val="28"/>
              <w:szCs w:val="28"/>
            </w:rPr>
            <w:fldChar w:fldCharType="separate"/>
          </w:r>
          <w:r>
            <w:rPr>
              <w:sz w:val="28"/>
              <w:szCs w:val="28"/>
            </w:rPr>
            <w:t>16</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_Toc1445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五、发展重点及主要任务</w:t>
          </w:r>
          <w:r>
            <w:rPr>
              <w:sz w:val="28"/>
              <w:szCs w:val="28"/>
            </w:rPr>
            <w:tab/>
          </w:r>
          <w:r>
            <w:rPr>
              <w:sz w:val="28"/>
              <w:szCs w:val="28"/>
            </w:rPr>
            <w:fldChar w:fldCharType="begin"/>
          </w:r>
          <w:r>
            <w:rPr>
              <w:sz w:val="28"/>
              <w:szCs w:val="28"/>
            </w:rPr>
            <w:instrText xml:space="preserve"> PAGEREF _Toc1445 \h </w:instrText>
          </w:r>
          <w:r>
            <w:rPr>
              <w:sz w:val="28"/>
              <w:szCs w:val="28"/>
            </w:rPr>
            <w:fldChar w:fldCharType="separate"/>
          </w:r>
          <w:r>
            <w:rPr>
              <w:sz w:val="28"/>
              <w:szCs w:val="28"/>
            </w:rPr>
            <w:t>21</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_Toc17371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（一）发展重点</w:t>
          </w:r>
          <w:r>
            <w:rPr>
              <w:sz w:val="28"/>
              <w:szCs w:val="28"/>
            </w:rPr>
            <w:tab/>
          </w:r>
          <w:r>
            <w:rPr>
              <w:sz w:val="28"/>
              <w:szCs w:val="28"/>
            </w:rPr>
            <w:fldChar w:fldCharType="begin"/>
          </w:r>
          <w:r>
            <w:rPr>
              <w:sz w:val="28"/>
              <w:szCs w:val="28"/>
            </w:rPr>
            <w:instrText xml:space="preserve"> PAGEREF _Toc17371 \h </w:instrText>
          </w:r>
          <w:r>
            <w:rPr>
              <w:sz w:val="28"/>
              <w:szCs w:val="28"/>
            </w:rPr>
            <w:fldChar w:fldCharType="separate"/>
          </w:r>
          <w:r>
            <w:rPr>
              <w:sz w:val="28"/>
              <w:szCs w:val="28"/>
            </w:rPr>
            <w:t>23</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_Toc1160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（二）主要任务</w:t>
          </w:r>
          <w:r>
            <w:rPr>
              <w:sz w:val="28"/>
              <w:szCs w:val="28"/>
            </w:rPr>
            <w:tab/>
          </w:r>
          <w:r>
            <w:rPr>
              <w:sz w:val="28"/>
              <w:szCs w:val="28"/>
            </w:rPr>
            <w:fldChar w:fldCharType="begin"/>
          </w:r>
          <w:r>
            <w:rPr>
              <w:sz w:val="28"/>
              <w:szCs w:val="28"/>
            </w:rPr>
            <w:instrText xml:space="preserve"> PAGEREF _Toc1160 \h </w:instrText>
          </w:r>
          <w:r>
            <w:rPr>
              <w:sz w:val="28"/>
              <w:szCs w:val="28"/>
            </w:rPr>
            <w:fldChar w:fldCharType="separate"/>
          </w:r>
          <w:r>
            <w:rPr>
              <w:sz w:val="28"/>
              <w:szCs w:val="28"/>
            </w:rPr>
            <w:t>26</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_Toc15617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六、精准招商</w:t>
          </w:r>
          <w:r>
            <w:rPr>
              <w:sz w:val="28"/>
              <w:szCs w:val="28"/>
            </w:rPr>
            <w:tab/>
          </w:r>
          <w:r>
            <w:rPr>
              <w:sz w:val="28"/>
              <w:szCs w:val="28"/>
            </w:rPr>
            <w:fldChar w:fldCharType="begin"/>
          </w:r>
          <w:r>
            <w:rPr>
              <w:sz w:val="28"/>
              <w:szCs w:val="28"/>
            </w:rPr>
            <w:instrText xml:space="preserve"> PAGEREF _Toc15617 \h </w:instrText>
          </w:r>
          <w:r>
            <w:rPr>
              <w:sz w:val="28"/>
              <w:szCs w:val="28"/>
            </w:rPr>
            <w:fldChar w:fldCharType="separate"/>
          </w:r>
          <w:r>
            <w:rPr>
              <w:sz w:val="28"/>
              <w:szCs w:val="28"/>
            </w:rPr>
            <w:t>33</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_Toc7883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（一）科技创新招商</w:t>
          </w:r>
          <w:r>
            <w:rPr>
              <w:sz w:val="28"/>
              <w:szCs w:val="28"/>
            </w:rPr>
            <w:tab/>
          </w:r>
          <w:r>
            <w:rPr>
              <w:sz w:val="28"/>
              <w:szCs w:val="28"/>
            </w:rPr>
            <w:fldChar w:fldCharType="begin"/>
          </w:r>
          <w:r>
            <w:rPr>
              <w:sz w:val="28"/>
              <w:szCs w:val="28"/>
            </w:rPr>
            <w:instrText xml:space="preserve"> PAGEREF _Toc7883 \h </w:instrText>
          </w:r>
          <w:r>
            <w:rPr>
              <w:sz w:val="28"/>
              <w:szCs w:val="28"/>
            </w:rPr>
            <w:fldChar w:fldCharType="separate"/>
          </w:r>
          <w:r>
            <w:rPr>
              <w:sz w:val="28"/>
              <w:szCs w:val="28"/>
            </w:rPr>
            <w:t>35</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_Toc10178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（二）重点项目招商</w:t>
          </w:r>
          <w:r>
            <w:rPr>
              <w:sz w:val="28"/>
              <w:szCs w:val="28"/>
            </w:rPr>
            <w:tab/>
          </w:r>
          <w:r>
            <w:rPr>
              <w:sz w:val="28"/>
              <w:szCs w:val="28"/>
            </w:rPr>
            <w:fldChar w:fldCharType="begin"/>
          </w:r>
          <w:r>
            <w:rPr>
              <w:sz w:val="28"/>
              <w:szCs w:val="28"/>
            </w:rPr>
            <w:instrText xml:space="preserve"> PAGEREF _Toc10178 \h </w:instrText>
          </w:r>
          <w:r>
            <w:rPr>
              <w:sz w:val="28"/>
              <w:szCs w:val="28"/>
            </w:rPr>
            <w:fldChar w:fldCharType="separate"/>
          </w:r>
          <w:r>
            <w:rPr>
              <w:sz w:val="28"/>
              <w:szCs w:val="28"/>
            </w:rPr>
            <w:t>40</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_Toc21000 </w:instrText>
          </w:r>
          <w:r>
            <w:rPr>
              <w:rFonts w:hint="eastAsia" w:ascii="仿宋" w:hAnsi="仿宋" w:eastAsia="仿宋" w:cs="仿宋"/>
              <w:sz w:val="28"/>
              <w:szCs w:val="28"/>
            </w:rPr>
            <w:fldChar w:fldCharType="separate"/>
          </w:r>
          <w:r>
            <w:rPr>
              <w:rFonts w:hint="eastAsia" w:ascii="楷体_GB2312" w:hAnsi="楷体_GB2312" w:eastAsia="楷体_GB2312" w:cs="楷体_GB2312"/>
              <w:bCs/>
              <w:kern w:val="0"/>
              <w:sz w:val="28"/>
              <w:szCs w:val="28"/>
              <w:lang w:val="en-US" w:eastAsia="zh-CN" w:bidi="ar"/>
            </w:rPr>
            <w:t>七、保障措施</w:t>
          </w:r>
          <w:r>
            <w:rPr>
              <w:sz w:val="28"/>
              <w:szCs w:val="28"/>
            </w:rPr>
            <w:tab/>
          </w:r>
          <w:r>
            <w:rPr>
              <w:sz w:val="28"/>
              <w:szCs w:val="28"/>
            </w:rPr>
            <w:fldChar w:fldCharType="begin"/>
          </w:r>
          <w:r>
            <w:rPr>
              <w:sz w:val="28"/>
              <w:szCs w:val="28"/>
            </w:rPr>
            <w:instrText xml:space="preserve"> PAGEREF _Toc21000 \h </w:instrText>
          </w:r>
          <w:r>
            <w:rPr>
              <w:sz w:val="28"/>
              <w:szCs w:val="28"/>
            </w:rPr>
            <w:fldChar w:fldCharType="separate"/>
          </w:r>
          <w:r>
            <w:rPr>
              <w:sz w:val="28"/>
              <w:szCs w:val="28"/>
            </w:rPr>
            <w:t>50</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_Toc21280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（一）加强组织协调</w:t>
          </w:r>
          <w:r>
            <w:rPr>
              <w:sz w:val="28"/>
              <w:szCs w:val="28"/>
            </w:rPr>
            <w:tab/>
          </w:r>
          <w:r>
            <w:rPr>
              <w:sz w:val="28"/>
              <w:szCs w:val="28"/>
            </w:rPr>
            <w:fldChar w:fldCharType="begin"/>
          </w:r>
          <w:r>
            <w:rPr>
              <w:sz w:val="28"/>
              <w:szCs w:val="28"/>
            </w:rPr>
            <w:instrText xml:space="preserve"> PAGEREF _Toc21280 \h </w:instrText>
          </w:r>
          <w:r>
            <w:rPr>
              <w:sz w:val="28"/>
              <w:szCs w:val="28"/>
            </w:rPr>
            <w:fldChar w:fldCharType="separate"/>
          </w:r>
          <w:r>
            <w:rPr>
              <w:sz w:val="28"/>
              <w:szCs w:val="28"/>
            </w:rPr>
            <w:t>50</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_Toc8655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（二）强化要素保障</w:t>
          </w:r>
          <w:r>
            <w:rPr>
              <w:sz w:val="28"/>
              <w:szCs w:val="28"/>
            </w:rPr>
            <w:tab/>
          </w:r>
          <w:r>
            <w:rPr>
              <w:sz w:val="28"/>
              <w:szCs w:val="28"/>
            </w:rPr>
            <w:fldChar w:fldCharType="begin"/>
          </w:r>
          <w:r>
            <w:rPr>
              <w:sz w:val="28"/>
              <w:szCs w:val="28"/>
            </w:rPr>
            <w:instrText xml:space="preserve"> PAGEREF _Toc8655 \h </w:instrText>
          </w:r>
          <w:r>
            <w:rPr>
              <w:sz w:val="28"/>
              <w:szCs w:val="28"/>
            </w:rPr>
            <w:fldChar w:fldCharType="separate"/>
          </w:r>
          <w:r>
            <w:rPr>
              <w:sz w:val="28"/>
              <w:szCs w:val="28"/>
            </w:rPr>
            <w:t>51</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_Toc2768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（三）营造良好发展环境</w:t>
          </w:r>
          <w:r>
            <w:rPr>
              <w:sz w:val="28"/>
              <w:szCs w:val="28"/>
            </w:rPr>
            <w:tab/>
          </w:r>
          <w:r>
            <w:rPr>
              <w:sz w:val="28"/>
              <w:szCs w:val="28"/>
            </w:rPr>
            <w:fldChar w:fldCharType="begin"/>
          </w:r>
          <w:r>
            <w:rPr>
              <w:sz w:val="28"/>
              <w:szCs w:val="28"/>
            </w:rPr>
            <w:instrText xml:space="preserve"> PAGEREF _Toc2768 \h </w:instrText>
          </w:r>
          <w:r>
            <w:rPr>
              <w:sz w:val="28"/>
              <w:szCs w:val="28"/>
            </w:rPr>
            <w:fldChar w:fldCharType="separate"/>
          </w:r>
          <w:r>
            <w:rPr>
              <w:sz w:val="28"/>
              <w:szCs w:val="28"/>
            </w:rPr>
            <w:t>52</w:t>
          </w:r>
          <w:r>
            <w:rPr>
              <w:sz w:val="28"/>
              <w:szCs w:val="28"/>
            </w:rPr>
            <w:fldChar w:fldCharType="end"/>
          </w:r>
          <w:r>
            <w:rPr>
              <w:rFonts w:hint="eastAsia" w:ascii="仿宋" w:hAnsi="仿宋" w:eastAsia="仿宋" w:cs="仿宋"/>
              <w:sz w:val="28"/>
              <w:szCs w:val="28"/>
            </w:rPr>
            <w:fldChar w:fldCharType="end"/>
          </w:r>
        </w:p>
        <w:p>
          <w:pPr>
            <w:pStyle w:val="13"/>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_Toc12242 </w:instrText>
          </w:r>
          <w:r>
            <w:rPr>
              <w:rFonts w:hint="eastAsia" w:ascii="仿宋" w:hAnsi="仿宋" w:eastAsia="仿宋" w:cs="仿宋"/>
              <w:sz w:val="28"/>
              <w:szCs w:val="28"/>
            </w:rPr>
            <w:fldChar w:fldCharType="separate"/>
          </w:r>
          <w:r>
            <w:rPr>
              <w:rFonts w:hint="eastAsia" w:ascii="仿宋_GB2312" w:hAnsi="仿宋_GB2312" w:eastAsia="仿宋_GB2312" w:cs="仿宋_GB2312"/>
              <w:bCs/>
              <w:kern w:val="0"/>
              <w:sz w:val="28"/>
              <w:szCs w:val="28"/>
              <w:lang w:val="en-US" w:eastAsia="zh-CN" w:bidi="ar"/>
            </w:rPr>
            <w:t>（四）加强对外合作交流</w:t>
          </w:r>
          <w:r>
            <w:rPr>
              <w:sz w:val="28"/>
              <w:szCs w:val="28"/>
            </w:rPr>
            <w:tab/>
          </w:r>
          <w:r>
            <w:rPr>
              <w:sz w:val="28"/>
              <w:szCs w:val="28"/>
            </w:rPr>
            <w:fldChar w:fldCharType="begin"/>
          </w:r>
          <w:r>
            <w:rPr>
              <w:sz w:val="28"/>
              <w:szCs w:val="28"/>
            </w:rPr>
            <w:instrText xml:space="preserve"> PAGEREF _Toc12242 \h </w:instrText>
          </w:r>
          <w:r>
            <w:rPr>
              <w:sz w:val="28"/>
              <w:szCs w:val="28"/>
            </w:rPr>
            <w:fldChar w:fldCharType="separate"/>
          </w:r>
          <w:r>
            <w:rPr>
              <w:sz w:val="28"/>
              <w:szCs w:val="28"/>
            </w:rPr>
            <w:t>54</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_Toc17194 </w:instrText>
          </w:r>
          <w:r>
            <w:rPr>
              <w:rFonts w:hint="eastAsia" w:ascii="仿宋" w:hAnsi="仿宋" w:eastAsia="仿宋" w:cs="仿宋"/>
              <w:sz w:val="28"/>
              <w:szCs w:val="28"/>
            </w:rPr>
            <w:fldChar w:fldCharType="separate"/>
          </w:r>
          <w:r>
            <w:rPr>
              <w:rFonts w:hint="eastAsia" w:ascii="仿宋" w:hAnsi="仿宋" w:eastAsia="仿宋" w:cs="仿宋"/>
              <w:b/>
              <w:bCs w:val="0"/>
              <w:kern w:val="0"/>
              <w:sz w:val="28"/>
              <w:szCs w:val="28"/>
              <w:lang w:val="en-US" w:eastAsia="zh-CN" w:bidi="ar"/>
            </w:rPr>
            <w:t>附件</w:t>
          </w:r>
          <w:r>
            <w:rPr>
              <w:rFonts w:hint="eastAsia" w:ascii="仿宋" w:hAnsi="仿宋" w:eastAsia="仿宋" w:cs="仿宋"/>
              <w:bCs/>
              <w:kern w:val="0"/>
              <w:sz w:val="28"/>
              <w:szCs w:val="28"/>
              <w:lang w:val="en-US" w:eastAsia="zh-CN" w:bidi="ar"/>
            </w:rPr>
            <w:t>：</w:t>
          </w:r>
          <w:r>
            <w:rPr>
              <w:sz w:val="28"/>
              <w:szCs w:val="28"/>
            </w:rPr>
            <w:tab/>
          </w:r>
          <w:r>
            <w:rPr>
              <w:sz w:val="28"/>
              <w:szCs w:val="28"/>
            </w:rPr>
            <w:fldChar w:fldCharType="begin"/>
          </w:r>
          <w:r>
            <w:rPr>
              <w:sz w:val="28"/>
              <w:szCs w:val="28"/>
            </w:rPr>
            <w:instrText xml:space="preserve"> PAGEREF _Toc17194 \h </w:instrText>
          </w:r>
          <w:r>
            <w:rPr>
              <w:sz w:val="28"/>
              <w:szCs w:val="28"/>
            </w:rPr>
            <w:fldChar w:fldCharType="separate"/>
          </w:r>
          <w:r>
            <w:rPr>
              <w:sz w:val="28"/>
              <w:szCs w:val="28"/>
            </w:rPr>
            <w:t>55</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_Toc23224 </w:instrText>
          </w:r>
          <w:r>
            <w:rPr>
              <w:rFonts w:hint="eastAsia" w:ascii="仿宋" w:hAnsi="仿宋" w:eastAsia="仿宋" w:cs="仿宋"/>
              <w:sz w:val="28"/>
              <w:szCs w:val="28"/>
            </w:rPr>
            <w:fldChar w:fldCharType="separate"/>
          </w:r>
          <w:r>
            <w:rPr>
              <w:rFonts w:hint="eastAsia" w:ascii="仿宋_GB2312" w:hAnsi="仿宋_GB2312" w:eastAsia="仿宋_GB2312" w:cs="仿宋_GB2312"/>
              <w:kern w:val="0"/>
              <w:sz w:val="28"/>
              <w:szCs w:val="28"/>
              <w:lang w:val="en-US" w:eastAsia="zh-CN" w:bidi="ar"/>
            </w:rPr>
            <w:t>1.煤矸石综合利用产业发展支持政策</w:t>
          </w:r>
          <w:r>
            <w:rPr>
              <w:sz w:val="28"/>
              <w:szCs w:val="28"/>
            </w:rPr>
            <w:tab/>
          </w:r>
          <w:r>
            <w:rPr>
              <w:sz w:val="28"/>
              <w:szCs w:val="28"/>
            </w:rPr>
            <w:fldChar w:fldCharType="begin"/>
          </w:r>
          <w:r>
            <w:rPr>
              <w:sz w:val="28"/>
              <w:szCs w:val="28"/>
            </w:rPr>
            <w:instrText xml:space="preserve"> PAGEREF _Toc23224 \h </w:instrText>
          </w:r>
          <w:r>
            <w:rPr>
              <w:sz w:val="28"/>
              <w:szCs w:val="28"/>
            </w:rPr>
            <w:fldChar w:fldCharType="separate"/>
          </w:r>
          <w:r>
            <w:rPr>
              <w:sz w:val="28"/>
              <w:szCs w:val="28"/>
            </w:rPr>
            <w:t>55</w:t>
          </w:r>
          <w:r>
            <w:rPr>
              <w:sz w:val="28"/>
              <w:szCs w:val="28"/>
            </w:rPr>
            <w:fldChar w:fldCharType="end"/>
          </w:r>
          <w:r>
            <w:rPr>
              <w:rFonts w:hint="eastAsia" w:ascii="仿宋" w:hAnsi="仿宋" w:eastAsia="仿宋" w:cs="仿宋"/>
              <w:sz w:val="28"/>
              <w:szCs w:val="28"/>
            </w:rPr>
            <w:fldChar w:fldCharType="end"/>
          </w:r>
        </w:p>
        <w:p>
          <w:pPr>
            <w:pStyle w:val="12"/>
            <w:tabs>
              <w:tab w:val="right" w:leader="dot" w:pos="8306"/>
            </w:tabs>
            <w:rPr>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_Toc21823 </w:instrText>
          </w:r>
          <w:r>
            <w:rPr>
              <w:rFonts w:hint="eastAsia" w:ascii="仿宋" w:hAnsi="仿宋" w:eastAsia="仿宋" w:cs="仿宋"/>
              <w:sz w:val="28"/>
              <w:szCs w:val="28"/>
            </w:rPr>
            <w:fldChar w:fldCharType="separate"/>
          </w:r>
          <w:r>
            <w:rPr>
              <w:rFonts w:hint="eastAsia" w:ascii="仿宋_GB2312" w:hAnsi="仿宋_GB2312" w:eastAsia="仿宋_GB2312" w:cs="仿宋_GB2312"/>
              <w:kern w:val="0"/>
              <w:sz w:val="28"/>
              <w:szCs w:val="28"/>
              <w:lang w:val="en-US" w:eastAsia="zh-CN" w:bidi="ar"/>
            </w:rPr>
            <w:t>2.抚顺市促进煤矸石综合利用产业快速发展办法</w:t>
          </w:r>
          <w:r>
            <w:rPr>
              <w:sz w:val="28"/>
              <w:szCs w:val="28"/>
            </w:rPr>
            <w:tab/>
          </w:r>
          <w:r>
            <w:rPr>
              <w:sz w:val="28"/>
              <w:szCs w:val="28"/>
            </w:rPr>
            <w:fldChar w:fldCharType="begin"/>
          </w:r>
          <w:r>
            <w:rPr>
              <w:sz w:val="28"/>
              <w:szCs w:val="28"/>
            </w:rPr>
            <w:instrText xml:space="preserve"> PAGEREF _Toc21823 \h </w:instrText>
          </w:r>
          <w:r>
            <w:rPr>
              <w:sz w:val="28"/>
              <w:szCs w:val="28"/>
            </w:rPr>
            <w:fldChar w:fldCharType="separate"/>
          </w:r>
          <w:r>
            <w:rPr>
              <w:sz w:val="28"/>
              <w:szCs w:val="28"/>
            </w:rPr>
            <w:t>55</w:t>
          </w:r>
          <w:r>
            <w:rPr>
              <w:sz w:val="28"/>
              <w:szCs w:val="28"/>
            </w:rPr>
            <w:fldChar w:fldCharType="end"/>
          </w:r>
          <w:r>
            <w:rPr>
              <w:rFonts w:hint="eastAsia" w:ascii="仿宋" w:hAnsi="仿宋" w:eastAsia="仿宋" w:cs="仿宋"/>
              <w:sz w:val="28"/>
              <w:szCs w:val="28"/>
            </w:rPr>
            <w:fldChar w:fldCharType="end"/>
          </w:r>
        </w:p>
        <w:p>
          <w:pPr>
            <w:keepNext w:val="0"/>
            <w:keepLines w:val="0"/>
            <w:pageBreakBefore w:val="0"/>
            <w:widowControl w:val="0"/>
            <w:kinsoku/>
            <w:wordWrap/>
            <w:overflowPunct/>
            <w:topLinePunct w:val="0"/>
            <w:autoSpaceDE/>
            <w:autoSpaceDN/>
            <w:bidi w:val="0"/>
            <w:adjustRightInd/>
            <w:snapToGrid/>
            <w:spacing w:line="360" w:lineRule="auto"/>
            <w:ind w:left="0" w:leftChars="0"/>
            <w:jc w:val="both"/>
            <w:textAlignment w:val="auto"/>
            <w:rPr>
              <w:sz w:val="28"/>
              <w:szCs w:val="28"/>
            </w:rPr>
          </w:pPr>
          <w:r>
            <w:rPr>
              <w:rFonts w:hint="eastAsia" w:ascii="仿宋" w:hAnsi="仿宋" w:eastAsia="仿宋" w:cs="仿宋"/>
              <w:sz w:val="28"/>
              <w:szCs w:val="28"/>
            </w:rPr>
            <w:fldChar w:fldCharType="end"/>
          </w:r>
        </w:p>
      </w:sdtContent>
    </w:sdt>
    <w:p>
      <w:pPr>
        <w:pStyle w:val="10"/>
        <w:keepNext w:val="0"/>
        <w:keepLines w:val="0"/>
        <w:pageBreakBefore/>
        <w:widowControl w:val="0"/>
        <w:kinsoku/>
        <w:wordWrap/>
        <w:overflowPunct/>
        <w:topLinePunct w:val="0"/>
        <w:autoSpaceDE/>
        <w:autoSpaceDN/>
        <w:bidi w:val="0"/>
        <w:adjustRightInd/>
        <w:snapToGrid w:val="0"/>
        <w:spacing w:line="360" w:lineRule="auto"/>
        <w:ind w:left="0" w:leftChars="0"/>
        <w:jc w:val="both"/>
        <w:textAlignment w:val="auto"/>
        <w:outlineLvl w:val="0"/>
        <w:rPr>
          <w:rFonts w:hint="eastAsia" w:ascii="黑体" w:hAnsi="黑体" w:eastAsia="黑体" w:cs="黑体"/>
          <w:b/>
          <w:bCs/>
          <w:sz w:val="28"/>
          <w:szCs w:val="28"/>
          <w:lang w:val="en-US" w:eastAsia="zh-CN"/>
        </w:rPr>
        <w:sectPr>
          <w:footerReference r:id="rId3" w:type="default"/>
          <w:pgSz w:w="11906" w:h="16838"/>
          <w:pgMar w:top="1440" w:right="1800" w:bottom="1440" w:left="1800" w:header="851" w:footer="992" w:gutter="0"/>
          <w:pgNumType w:start="1"/>
          <w:cols w:space="425" w:num="1"/>
          <w:docGrid w:type="lines" w:linePitch="312" w:charSpace="0"/>
        </w:sectPr>
      </w:pPr>
    </w:p>
    <w:p>
      <w:pPr>
        <w:pStyle w:val="10"/>
        <w:keepNext w:val="0"/>
        <w:keepLines w:val="0"/>
        <w:pageBreakBefore/>
        <w:widowControl w:val="0"/>
        <w:kinsoku/>
        <w:wordWrap/>
        <w:overflowPunct/>
        <w:topLinePunct w:val="0"/>
        <w:autoSpaceDE/>
        <w:autoSpaceDN/>
        <w:bidi w:val="0"/>
        <w:adjustRightInd/>
        <w:snapToGrid w:val="0"/>
        <w:spacing w:after="313" w:afterLines="100" w:line="360" w:lineRule="auto"/>
        <w:ind w:left="0" w:leftChars="0"/>
        <w:jc w:val="center"/>
        <w:textAlignment w:val="auto"/>
        <w:outlineLvl w:val="0"/>
        <w:rPr>
          <w:rFonts w:hint="eastAsia" w:ascii="仿宋_GB2312" w:hAnsi="仿宋_GB2312" w:eastAsia="仿宋_GB2312" w:cs="仿宋_GB2312"/>
          <w:color w:val="auto"/>
          <w:kern w:val="0"/>
          <w:sz w:val="32"/>
          <w:szCs w:val="32"/>
          <w:lang w:val="en-US" w:eastAsia="zh-CN" w:bidi="ar"/>
        </w:rPr>
      </w:pPr>
      <w:bookmarkStart w:id="0" w:name="_Toc4386"/>
      <w:r>
        <w:rPr>
          <w:rFonts w:hint="eastAsia" w:ascii="仿宋_GB2312" w:hAnsi="仿宋_GB2312" w:eastAsia="仿宋_GB2312" w:cs="仿宋_GB2312"/>
          <w:b/>
          <w:bCs/>
          <w:color w:val="auto"/>
          <w:kern w:val="0"/>
          <w:sz w:val="32"/>
          <w:szCs w:val="32"/>
          <w:lang w:val="en-US" w:eastAsia="zh-CN" w:bidi="ar"/>
        </w:rPr>
        <w:t>前  言</w:t>
      </w:r>
      <w:bookmarkEnd w:id="0"/>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color w:val="auto"/>
          <w:kern w:val="0"/>
          <w:sz w:val="32"/>
          <w:szCs w:val="32"/>
          <w:lang w:val="en-US" w:eastAsia="zh-CN" w:bidi="ar"/>
        </w:rPr>
        <w:t>抚顺因煤而兴，曾被誉为共和国的“煤都”。抚顺煤层埋藏浅、厚度大、质量好，曾经是国家重要的煤炭能源基地，为推动国家工业化进程做出了重要贡献。随着煤炭开采形成了大量的煤矸石排放和堆放，不仅占用宝贵的土地资源，而且污染和破坏生态环境。《抚顺市国民经济和社会发展第十四个五年规划和二〇三五年远景目标纲要》中提出“十四五”期间抚顺市要强力推进实体经济发展，重点发展高端精细化工、冶金高端新材料、新型清洁能源、新型煤化工及煤矸石综合利用、先进装备制造、特色农产品深加工“六大产业”，构建高质量发展的现代化产业体系。实施煤矸石综合利用产业发展对推动抚顺市资源枯竭型城市转型发展，加快构建循环经济的生产方式，具有十分重要意义。抚顺市煤矸石以大宗量综合利用为重点，延伸发展高科技含量、高附加值的煤矸石综合利用技术和产品为实施路径，</w:t>
      </w:r>
      <w:r>
        <w:rPr>
          <w:rFonts w:hint="eastAsia" w:ascii="仿宋_GB2312" w:hAnsi="仿宋_GB2312" w:eastAsia="仿宋_GB2312" w:cs="仿宋_GB2312"/>
          <w:color w:val="auto"/>
          <w:sz w:val="32"/>
          <w:szCs w:val="32"/>
        </w:rPr>
        <w:t>推动煤矸石综合利用产业</w:t>
      </w:r>
      <w:r>
        <w:rPr>
          <w:rFonts w:hint="eastAsia" w:ascii="仿宋_GB2312" w:hAnsi="仿宋_GB2312" w:eastAsia="仿宋_GB2312" w:cs="仿宋_GB2312"/>
          <w:color w:val="auto"/>
          <w:sz w:val="32"/>
          <w:szCs w:val="32"/>
          <w:lang w:val="en-US" w:eastAsia="zh-CN"/>
        </w:rPr>
        <w:t>化</w:t>
      </w:r>
      <w:r>
        <w:rPr>
          <w:rFonts w:hint="eastAsia" w:ascii="仿宋_GB2312" w:hAnsi="仿宋_GB2312" w:eastAsia="仿宋_GB2312" w:cs="仿宋_GB2312"/>
          <w:color w:val="auto"/>
          <w:sz w:val="32"/>
          <w:szCs w:val="32"/>
        </w:rPr>
        <w:t>发展</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kern w:val="0"/>
          <w:sz w:val="32"/>
          <w:szCs w:val="32"/>
          <w:lang w:val="en-US" w:eastAsia="zh-CN" w:bidi="ar"/>
        </w:rPr>
        <w:t>实现资源优势向经济优势转化。根据《抚顺市国民经济和社会发展第十四个五年规划和二〇三五年远景目标纲要》《抚顺市培育壮大“新字号”专项行动计划（2021-2023年）》等文件编制本产业发展规划，规划期为2021年至2025年。</w:t>
      </w:r>
    </w:p>
    <w:p>
      <w:pPr>
        <w:pStyle w:val="2"/>
        <w:keepNext w:val="0"/>
        <w:keepLines w:val="0"/>
        <w:kinsoku/>
        <w:wordWrap/>
        <w:overflowPunct/>
        <w:topLinePunct w:val="0"/>
        <w:autoSpaceDE/>
        <w:autoSpaceDN/>
        <w:bidi w:val="0"/>
        <w:spacing w:line="360" w:lineRule="auto"/>
        <w:ind w:left="0" w:leftChars="0"/>
        <w:jc w:val="both"/>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outlineLvl w:val="0"/>
        <w:rPr>
          <w:rFonts w:hint="eastAsia" w:ascii="楷体_GB2312" w:hAnsi="楷体_GB2312" w:eastAsia="楷体_GB2312" w:cs="楷体_GB2312"/>
          <w:b/>
          <w:bCs/>
          <w:color w:val="000000"/>
          <w:kern w:val="0"/>
          <w:sz w:val="32"/>
          <w:szCs w:val="32"/>
          <w:lang w:val="en-US" w:eastAsia="zh-CN" w:bidi="ar"/>
        </w:rPr>
      </w:pPr>
      <w:bookmarkStart w:id="1" w:name="_Toc14219"/>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3" w:firstLineChars="200"/>
        <w:jc w:val="both"/>
        <w:textAlignment w:val="auto"/>
        <w:outlineLvl w:val="0"/>
        <w:rPr>
          <w:rFonts w:hint="eastAsia" w:ascii="楷体_GB2312" w:hAnsi="楷体_GB2312" w:eastAsia="楷体_GB2312" w:cs="楷体_GB2312"/>
          <w:b/>
          <w:bCs/>
          <w:color w:val="000000"/>
          <w:kern w:val="0"/>
          <w:sz w:val="32"/>
          <w:szCs w:val="32"/>
          <w:lang w:val="en-US" w:eastAsia="zh-CN" w:bidi="ar"/>
        </w:rPr>
      </w:pPr>
      <w:bookmarkStart w:id="303" w:name="_GoBack"/>
      <w:bookmarkEnd w:id="303"/>
      <w:r>
        <w:rPr>
          <w:rFonts w:hint="eastAsia" w:ascii="楷体_GB2312" w:hAnsi="楷体_GB2312" w:eastAsia="楷体_GB2312" w:cs="楷体_GB2312"/>
          <w:b/>
          <w:bCs/>
          <w:color w:val="000000"/>
          <w:kern w:val="0"/>
          <w:sz w:val="32"/>
          <w:szCs w:val="32"/>
          <w:lang w:val="en-US" w:eastAsia="zh-CN" w:bidi="ar"/>
        </w:rPr>
        <w:t>一、总则</w:t>
      </w:r>
      <w:bookmarkEnd w:id="1"/>
    </w:p>
    <w:p>
      <w:pPr>
        <w:pStyle w:val="6"/>
        <w:keepNext w:val="0"/>
        <w:keepLines w:val="0"/>
        <w:numPr>
          <w:ilvl w:val="0"/>
          <w:numId w:val="1"/>
        </w:numPr>
        <w:kinsoku/>
        <w:wordWrap/>
        <w:overflowPunct/>
        <w:topLinePunct w:val="0"/>
        <w:autoSpaceDE/>
        <w:autoSpaceDN/>
        <w:bidi w:val="0"/>
        <w:spacing w:line="360" w:lineRule="auto"/>
        <w:ind w:left="0" w:leftChars="0" w:firstLine="643" w:firstLineChars="200"/>
        <w:jc w:val="both"/>
        <w:outlineLvl w:val="1"/>
        <w:rPr>
          <w:rFonts w:hint="eastAsia" w:ascii="仿宋_GB2312" w:hAnsi="仿宋_GB2312" w:eastAsia="仿宋_GB2312" w:cs="仿宋_GB2312"/>
          <w:b/>
          <w:bCs/>
          <w:sz w:val="32"/>
          <w:szCs w:val="32"/>
          <w:lang w:val="en-US" w:eastAsia="zh-CN"/>
        </w:rPr>
      </w:pPr>
      <w:bookmarkStart w:id="2" w:name="_Toc3124"/>
      <w:r>
        <w:rPr>
          <w:rFonts w:hint="eastAsia" w:ascii="仿宋_GB2312" w:hAnsi="仿宋_GB2312" w:eastAsia="仿宋_GB2312" w:cs="仿宋_GB2312"/>
          <w:b/>
          <w:bCs/>
          <w:sz w:val="32"/>
          <w:szCs w:val="32"/>
          <w:lang w:val="en-US" w:eastAsia="zh-CN"/>
        </w:rPr>
        <w:t>规划周期</w:t>
      </w:r>
      <w:bookmarkEnd w:id="2"/>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抚顺市煤矸石综合利用产业发展规划的规划周期为2021年至2025年。</w:t>
      </w:r>
    </w:p>
    <w:p>
      <w:pPr>
        <w:pStyle w:val="6"/>
        <w:keepNext w:val="0"/>
        <w:keepLines w:val="0"/>
        <w:numPr>
          <w:ilvl w:val="0"/>
          <w:numId w:val="1"/>
        </w:numPr>
        <w:kinsoku/>
        <w:wordWrap/>
        <w:overflowPunct/>
        <w:topLinePunct w:val="0"/>
        <w:autoSpaceDE/>
        <w:autoSpaceDN/>
        <w:bidi w:val="0"/>
        <w:spacing w:line="360" w:lineRule="auto"/>
        <w:ind w:left="0" w:leftChars="0" w:firstLine="643" w:firstLineChars="200"/>
        <w:jc w:val="both"/>
        <w:outlineLvl w:val="1"/>
        <w:rPr>
          <w:rFonts w:hint="default" w:ascii="仿宋_GB2312" w:hAnsi="仿宋_GB2312" w:eastAsia="仿宋_GB2312" w:cs="仿宋_GB2312"/>
          <w:b/>
          <w:bCs/>
          <w:sz w:val="32"/>
          <w:szCs w:val="32"/>
          <w:lang w:val="en-US" w:eastAsia="zh-CN"/>
        </w:rPr>
      </w:pPr>
      <w:bookmarkStart w:id="3" w:name="_Toc20034"/>
      <w:r>
        <w:rPr>
          <w:rFonts w:hint="eastAsia" w:ascii="仿宋_GB2312" w:hAnsi="仿宋_GB2312" w:eastAsia="仿宋_GB2312" w:cs="仿宋_GB2312"/>
          <w:b/>
          <w:bCs/>
          <w:sz w:val="32"/>
          <w:szCs w:val="32"/>
          <w:lang w:val="en-US" w:eastAsia="zh-CN"/>
        </w:rPr>
        <w:t>规划范围</w:t>
      </w:r>
      <w:bookmarkEnd w:id="3"/>
    </w:p>
    <w:p>
      <w:pPr>
        <w:keepNext w:val="0"/>
        <w:keepLines w:val="0"/>
        <w:kinsoku/>
        <w:wordWrap/>
        <w:overflowPunct/>
        <w:topLinePunct w:val="0"/>
        <w:autoSpaceDE/>
        <w:autoSpaceDN/>
        <w:bidi w:val="0"/>
        <w:spacing w:line="360" w:lineRule="auto"/>
        <w:ind w:left="0" w:leftChars="0" w:firstLine="640" w:firstLineChars="200"/>
        <w:jc w:val="both"/>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color w:val="auto"/>
          <w:kern w:val="0"/>
          <w:sz w:val="32"/>
          <w:szCs w:val="32"/>
          <w:highlight w:val="none"/>
          <w:lang w:val="en-US" w:eastAsia="zh-CN" w:bidi="ar"/>
        </w:rPr>
        <w:t>本次规划的煤矸石资源重点泛指东露天矿和老虎台矿新产生，东舍场和汪良舍场堆存，远期将合理开发利用西舍场等堆存煤矸石资源。园区重点围绕汪良等舍场和东舍场布局的大宗固体废弃物综合利用产业园区（包括胜利经济开发区、望花经济开发区）。发展企业</w:t>
      </w:r>
      <w:r>
        <w:rPr>
          <w:rFonts w:hint="eastAsia" w:ascii="仿宋_GB2312" w:hAnsi="仿宋_GB2312" w:eastAsia="仿宋_GB2312" w:cs="仿宋_GB2312"/>
          <w:color w:val="000000"/>
          <w:kern w:val="0"/>
          <w:sz w:val="32"/>
          <w:szCs w:val="32"/>
          <w:highlight w:val="none"/>
          <w:lang w:val="en-US" w:eastAsia="zh-CN" w:bidi="ar"/>
        </w:rPr>
        <w:t>包括</w:t>
      </w:r>
      <w:r>
        <w:rPr>
          <w:rFonts w:hint="eastAsia" w:ascii="仿宋_GB2312" w:hAnsi="仿宋_GB2312" w:eastAsia="仿宋_GB2312" w:cs="仿宋_GB2312"/>
          <w:kern w:val="2"/>
          <w:sz w:val="32"/>
          <w:szCs w:val="32"/>
          <w:highlight w:val="none"/>
          <w:lang w:val="en-US" w:eastAsia="zh-CN" w:bidi="ar-SA"/>
        </w:rPr>
        <w:t>煤矸石综合利用产业领域的所有企业。</w:t>
      </w:r>
    </w:p>
    <w:p>
      <w:pPr>
        <w:pStyle w:val="6"/>
        <w:keepNext w:val="0"/>
        <w:keepLines w:val="0"/>
        <w:numPr>
          <w:ilvl w:val="0"/>
          <w:numId w:val="1"/>
        </w:numPr>
        <w:kinsoku/>
        <w:wordWrap/>
        <w:overflowPunct/>
        <w:topLinePunct w:val="0"/>
        <w:autoSpaceDE/>
        <w:autoSpaceDN/>
        <w:bidi w:val="0"/>
        <w:spacing w:line="360" w:lineRule="auto"/>
        <w:ind w:left="0" w:leftChars="0" w:firstLine="643" w:firstLineChars="200"/>
        <w:jc w:val="both"/>
        <w:outlineLvl w:val="1"/>
        <w:rPr>
          <w:rFonts w:hint="eastAsia" w:ascii="仿宋_GB2312" w:hAnsi="仿宋_GB2312" w:eastAsia="仿宋_GB2312" w:cs="仿宋_GB2312"/>
          <w:b/>
          <w:bCs/>
          <w:sz w:val="32"/>
          <w:szCs w:val="32"/>
          <w:lang w:val="en-US" w:eastAsia="zh-CN"/>
        </w:rPr>
      </w:pPr>
      <w:bookmarkStart w:id="4" w:name="_Toc16619"/>
      <w:r>
        <w:rPr>
          <w:rFonts w:hint="eastAsia" w:ascii="仿宋_GB2312" w:hAnsi="仿宋_GB2312" w:eastAsia="仿宋_GB2312" w:cs="仿宋_GB2312"/>
          <w:b/>
          <w:bCs/>
          <w:sz w:val="32"/>
          <w:szCs w:val="32"/>
          <w:lang w:val="en-US" w:eastAsia="zh-CN"/>
        </w:rPr>
        <w:t>规划内容</w:t>
      </w:r>
      <w:bookmarkEnd w:id="4"/>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从抚顺市的实际状况出发，充分考虑国内外及区域</w:t>
      </w:r>
      <w:r>
        <w:rPr>
          <w:rFonts w:hint="default" w:ascii="仿宋_GB2312" w:hAnsi="仿宋_GB2312" w:eastAsia="仿宋_GB2312" w:cs="仿宋_GB2312"/>
          <w:color w:val="000000"/>
          <w:kern w:val="0"/>
          <w:sz w:val="32"/>
          <w:szCs w:val="32"/>
          <w:lang w:val="en-US" w:eastAsia="zh-CN" w:bidi="ar"/>
        </w:rPr>
        <w:fldChar w:fldCharType="begin"/>
      </w:r>
      <w:r>
        <w:rPr>
          <w:rFonts w:hint="default" w:ascii="仿宋_GB2312" w:hAnsi="仿宋_GB2312" w:eastAsia="仿宋_GB2312" w:cs="仿宋_GB2312"/>
          <w:color w:val="000000"/>
          <w:kern w:val="0"/>
          <w:sz w:val="32"/>
          <w:szCs w:val="32"/>
          <w:lang w:val="en-US" w:eastAsia="zh-CN" w:bidi="ar"/>
        </w:rPr>
        <w:instrText xml:space="preserve"> HYPERLINK "https://baike.baidu.com/item/%E7%BB%8F%E6%B5%8E" \t "https://baike.baidu.com/item/%E4%BA%A7%E4%B8%9A%E8%A7%84%E5%88%92/_blank" </w:instrText>
      </w:r>
      <w:r>
        <w:rPr>
          <w:rFonts w:hint="default" w:ascii="仿宋_GB2312" w:hAnsi="仿宋_GB2312" w:eastAsia="仿宋_GB2312" w:cs="仿宋_GB2312"/>
          <w:color w:val="000000"/>
          <w:kern w:val="0"/>
          <w:sz w:val="32"/>
          <w:szCs w:val="32"/>
          <w:lang w:val="en-US" w:eastAsia="zh-CN" w:bidi="ar"/>
        </w:rPr>
        <w:fldChar w:fldCharType="separate"/>
      </w:r>
      <w:r>
        <w:rPr>
          <w:rFonts w:hint="default" w:ascii="仿宋_GB2312" w:hAnsi="仿宋_GB2312" w:eastAsia="仿宋_GB2312" w:cs="仿宋_GB2312"/>
          <w:color w:val="000000"/>
          <w:kern w:val="0"/>
          <w:sz w:val="32"/>
          <w:szCs w:val="32"/>
          <w:lang w:val="en-US" w:eastAsia="zh-CN" w:bidi="ar"/>
        </w:rPr>
        <w:t>经济</w:t>
      </w:r>
      <w:r>
        <w:rPr>
          <w:rFonts w:hint="default" w:ascii="仿宋_GB2312" w:hAnsi="仿宋_GB2312" w:eastAsia="仿宋_GB2312" w:cs="仿宋_GB2312"/>
          <w:color w:val="000000"/>
          <w:kern w:val="0"/>
          <w:sz w:val="32"/>
          <w:szCs w:val="32"/>
          <w:lang w:val="en-US" w:eastAsia="zh-CN" w:bidi="ar"/>
        </w:rPr>
        <w:fldChar w:fldCharType="end"/>
      </w:r>
      <w:r>
        <w:rPr>
          <w:rFonts w:hint="default" w:ascii="仿宋_GB2312" w:hAnsi="仿宋_GB2312" w:eastAsia="仿宋_GB2312" w:cs="仿宋_GB2312"/>
          <w:color w:val="000000"/>
          <w:kern w:val="0"/>
          <w:sz w:val="32"/>
          <w:szCs w:val="32"/>
          <w:lang w:val="en-US" w:eastAsia="zh-CN" w:bidi="ar"/>
        </w:rPr>
        <w:t>发展</w:t>
      </w:r>
      <w:r>
        <w:rPr>
          <w:rFonts w:hint="eastAsia" w:ascii="仿宋_GB2312" w:hAnsi="仿宋_GB2312" w:eastAsia="仿宋_GB2312" w:cs="仿宋_GB2312"/>
          <w:color w:val="000000"/>
          <w:kern w:val="0"/>
          <w:sz w:val="32"/>
          <w:szCs w:val="32"/>
          <w:lang w:val="en-US" w:eastAsia="zh-CN" w:bidi="ar"/>
        </w:rPr>
        <w:t>形势</w:t>
      </w:r>
      <w:r>
        <w:rPr>
          <w:rFonts w:hint="default" w:ascii="仿宋_GB2312" w:hAnsi="仿宋_GB2312" w:eastAsia="仿宋_GB2312" w:cs="仿宋_GB2312"/>
          <w:color w:val="000000"/>
          <w:kern w:val="0"/>
          <w:sz w:val="32"/>
          <w:szCs w:val="32"/>
          <w:lang w:val="en-US" w:eastAsia="zh-CN" w:bidi="ar"/>
        </w:rPr>
        <w:t>，对</w:t>
      </w:r>
      <w:r>
        <w:rPr>
          <w:rFonts w:hint="eastAsia" w:ascii="仿宋_GB2312" w:hAnsi="仿宋_GB2312" w:eastAsia="仿宋_GB2312" w:cs="仿宋_GB2312"/>
          <w:kern w:val="2"/>
          <w:sz w:val="32"/>
          <w:szCs w:val="32"/>
          <w:lang w:val="en-US" w:eastAsia="zh-CN" w:bidi="ar-SA"/>
        </w:rPr>
        <w:t>抚顺市煤矸石综合利用产业</w:t>
      </w:r>
      <w:r>
        <w:rPr>
          <w:rFonts w:hint="default" w:ascii="仿宋_GB2312" w:hAnsi="仿宋_GB2312" w:eastAsia="仿宋_GB2312" w:cs="仿宋_GB2312"/>
          <w:color w:val="000000"/>
          <w:kern w:val="0"/>
          <w:sz w:val="32"/>
          <w:szCs w:val="32"/>
          <w:lang w:val="en-US" w:eastAsia="zh-CN" w:bidi="ar"/>
        </w:rPr>
        <w:t>发展的</w:t>
      </w:r>
      <w:r>
        <w:rPr>
          <w:rFonts w:hint="eastAsia" w:ascii="仿宋_GB2312" w:hAnsi="仿宋_GB2312" w:eastAsia="仿宋_GB2312" w:cs="仿宋_GB2312"/>
          <w:color w:val="000000"/>
          <w:kern w:val="0"/>
          <w:sz w:val="32"/>
          <w:szCs w:val="32"/>
          <w:lang w:val="en-US" w:eastAsia="zh-CN" w:bidi="ar"/>
        </w:rPr>
        <w:t>产业</w:t>
      </w:r>
      <w:r>
        <w:rPr>
          <w:rFonts w:hint="default" w:ascii="仿宋_GB2312" w:hAnsi="仿宋_GB2312" w:eastAsia="仿宋_GB2312" w:cs="仿宋_GB2312"/>
          <w:color w:val="000000"/>
          <w:kern w:val="0"/>
          <w:sz w:val="32"/>
          <w:szCs w:val="32"/>
          <w:lang w:val="en-US" w:eastAsia="zh-CN" w:bidi="ar"/>
        </w:rPr>
        <w:t>定位、产业体系、</w:t>
      </w:r>
      <w:r>
        <w:rPr>
          <w:rFonts w:hint="default" w:ascii="仿宋_GB2312" w:hAnsi="仿宋_GB2312" w:eastAsia="仿宋_GB2312" w:cs="仿宋_GB2312"/>
          <w:color w:val="000000"/>
          <w:kern w:val="0"/>
          <w:sz w:val="32"/>
          <w:szCs w:val="32"/>
          <w:lang w:val="en-US" w:eastAsia="zh-CN" w:bidi="ar"/>
        </w:rPr>
        <w:fldChar w:fldCharType="begin"/>
      </w:r>
      <w:r>
        <w:rPr>
          <w:rFonts w:hint="default" w:ascii="仿宋_GB2312" w:hAnsi="仿宋_GB2312" w:eastAsia="仿宋_GB2312" w:cs="仿宋_GB2312"/>
          <w:color w:val="000000"/>
          <w:kern w:val="0"/>
          <w:sz w:val="32"/>
          <w:szCs w:val="32"/>
          <w:lang w:val="en-US" w:eastAsia="zh-CN" w:bidi="ar"/>
        </w:rPr>
        <w:instrText xml:space="preserve"> HYPERLINK "https://baike.baidu.com/item/%E4%BA%A7%E4%B8%9A%E7%BB%93%E6%9E%84/1118332" \t "https://baike.baidu.com/item/%E4%BA%A7%E4%B8%9A%E8%A7%84%E5%88%92/_blank" </w:instrText>
      </w:r>
      <w:r>
        <w:rPr>
          <w:rFonts w:hint="default" w:ascii="仿宋_GB2312" w:hAnsi="仿宋_GB2312" w:eastAsia="仿宋_GB2312" w:cs="仿宋_GB2312"/>
          <w:color w:val="000000"/>
          <w:kern w:val="0"/>
          <w:sz w:val="32"/>
          <w:szCs w:val="32"/>
          <w:lang w:val="en-US" w:eastAsia="zh-CN" w:bidi="ar"/>
        </w:rPr>
        <w:fldChar w:fldCharType="separate"/>
      </w:r>
      <w:r>
        <w:rPr>
          <w:rFonts w:hint="default" w:ascii="仿宋_GB2312" w:hAnsi="仿宋_GB2312" w:eastAsia="仿宋_GB2312" w:cs="仿宋_GB2312"/>
          <w:color w:val="000000"/>
          <w:kern w:val="0"/>
          <w:sz w:val="32"/>
          <w:szCs w:val="32"/>
          <w:lang w:val="en-US" w:eastAsia="zh-CN" w:bidi="ar"/>
        </w:rPr>
        <w:t>产业结构</w:t>
      </w:r>
      <w:r>
        <w:rPr>
          <w:rFonts w:hint="default" w:ascii="仿宋_GB2312" w:hAnsi="仿宋_GB2312" w:eastAsia="仿宋_GB2312" w:cs="仿宋_GB2312"/>
          <w:color w:val="000000"/>
          <w:kern w:val="0"/>
          <w:sz w:val="32"/>
          <w:szCs w:val="32"/>
          <w:lang w:val="en-US" w:eastAsia="zh-CN" w:bidi="ar"/>
        </w:rPr>
        <w:fldChar w:fldCharType="end"/>
      </w:r>
      <w:r>
        <w:rPr>
          <w:rFonts w:hint="default" w:ascii="仿宋_GB2312" w:hAnsi="仿宋_GB2312" w:eastAsia="仿宋_GB2312" w:cs="仿宋_GB2312"/>
          <w:color w:val="000000"/>
          <w:kern w:val="0"/>
          <w:sz w:val="32"/>
          <w:szCs w:val="32"/>
          <w:lang w:val="en-US" w:eastAsia="zh-CN" w:bidi="ar"/>
        </w:rPr>
        <w:t>、</w:t>
      </w:r>
      <w:r>
        <w:rPr>
          <w:rFonts w:hint="default" w:ascii="仿宋_GB2312" w:hAnsi="仿宋_GB2312" w:eastAsia="仿宋_GB2312" w:cs="仿宋_GB2312"/>
          <w:color w:val="000000"/>
          <w:kern w:val="0"/>
          <w:sz w:val="32"/>
          <w:szCs w:val="32"/>
          <w:lang w:val="en-US" w:eastAsia="zh-CN" w:bidi="ar"/>
        </w:rPr>
        <w:fldChar w:fldCharType="begin"/>
      </w:r>
      <w:r>
        <w:rPr>
          <w:rFonts w:hint="default" w:ascii="仿宋_GB2312" w:hAnsi="仿宋_GB2312" w:eastAsia="仿宋_GB2312" w:cs="仿宋_GB2312"/>
          <w:color w:val="000000"/>
          <w:kern w:val="0"/>
          <w:sz w:val="32"/>
          <w:szCs w:val="32"/>
          <w:lang w:val="en-US" w:eastAsia="zh-CN" w:bidi="ar"/>
        </w:rPr>
        <w:instrText xml:space="preserve"> HYPERLINK "https://baike.baidu.com/item/%E4%BA%A7%E4%B8%9A%E9%93%BE/8725235" \t "https://baike.baidu.com/item/%E4%BA%A7%E4%B8%9A%E8%A7%84%E5%88%92/_blank" </w:instrText>
      </w:r>
      <w:r>
        <w:rPr>
          <w:rFonts w:hint="default" w:ascii="仿宋_GB2312" w:hAnsi="仿宋_GB2312" w:eastAsia="仿宋_GB2312" w:cs="仿宋_GB2312"/>
          <w:color w:val="000000"/>
          <w:kern w:val="0"/>
          <w:sz w:val="32"/>
          <w:szCs w:val="32"/>
          <w:lang w:val="en-US" w:eastAsia="zh-CN" w:bidi="ar"/>
        </w:rPr>
        <w:fldChar w:fldCharType="separate"/>
      </w:r>
      <w:r>
        <w:rPr>
          <w:rFonts w:hint="default" w:ascii="仿宋_GB2312" w:hAnsi="仿宋_GB2312" w:eastAsia="仿宋_GB2312" w:cs="仿宋_GB2312"/>
          <w:color w:val="000000"/>
          <w:kern w:val="0"/>
          <w:sz w:val="32"/>
          <w:szCs w:val="32"/>
          <w:lang w:val="en-US" w:eastAsia="zh-CN" w:bidi="ar"/>
        </w:rPr>
        <w:t>产业链</w:t>
      </w:r>
      <w:r>
        <w:rPr>
          <w:rFonts w:hint="default" w:ascii="仿宋_GB2312" w:hAnsi="仿宋_GB2312" w:eastAsia="仿宋_GB2312" w:cs="仿宋_GB2312"/>
          <w:color w:val="000000"/>
          <w:kern w:val="0"/>
          <w:sz w:val="32"/>
          <w:szCs w:val="32"/>
          <w:lang w:val="en-US" w:eastAsia="zh-CN" w:bidi="ar"/>
        </w:rPr>
        <w:fldChar w:fldCharType="end"/>
      </w:r>
      <w:r>
        <w:rPr>
          <w:rFonts w:hint="eastAsia" w:ascii="仿宋_GB2312" w:hAnsi="仿宋_GB2312" w:eastAsia="仿宋_GB2312" w:cs="仿宋_GB2312"/>
          <w:color w:val="000000"/>
          <w:kern w:val="0"/>
          <w:sz w:val="32"/>
          <w:szCs w:val="32"/>
          <w:lang w:val="en-US" w:eastAsia="zh-CN" w:bidi="ar"/>
        </w:rPr>
        <w:t>条</w:t>
      </w:r>
      <w:r>
        <w:rPr>
          <w:rFonts w:hint="default" w:ascii="仿宋_GB2312" w:hAnsi="仿宋_GB2312" w:eastAsia="仿宋_GB2312" w:cs="仿宋_GB2312"/>
          <w:color w:val="000000"/>
          <w:kern w:val="0"/>
          <w:sz w:val="32"/>
          <w:szCs w:val="32"/>
          <w:lang w:val="en-US" w:eastAsia="zh-CN" w:bidi="ar"/>
        </w:rPr>
        <w:t>、空间布局、经济社会环境影响做出科学</w:t>
      </w:r>
      <w:r>
        <w:rPr>
          <w:rFonts w:hint="eastAsia" w:ascii="仿宋_GB2312" w:hAnsi="仿宋_GB2312" w:eastAsia="仿宋_GB2312" w:cs="仿宋_GB2312"/>
          <w:color w:val="000000"/>
          <w:kern w:val="0"/>
          <w:sz w:val="32"/>
          <w:szCs w:val="32"/>
          <w:lang w:val="en-US" w:eastAsia="zh-CN" w:bidi="ar"/>
        </w:rPr>
        <w:t>的规划</w:t>
      </w:r>
      <w:r>
        <w:rPr>
          <w:rFonts w:hint="default" w:ascii="仿宋_GB2312" w:hAnsi="仿宋_GB2312" w:eastAsia="仿宋_GB2312" w:cs="仿宋_GB2312"/>
          <w:color w:val="000000"/>
          <w:kern w:val="0"/>
          <w:sz w:val="32"/>
          <w:szCs w:val="32"/>
          <w:lang w:val="en-US"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0"/>
        <w:rPr>
          <w:rFonts w:hint="eastAsia" w:ascii="楷体_GB2312" w:hAnsi="楷体_GB2312" w:eastAsia="楷体_GB2312" w:cs="楷体_GB2312"/>
          <w:b/>
          <w:bCs/>
          <w:color w:val="000000"/>
          <w:kern w:val="0"/>
          <w:sz w:val="32"/>
          <w:szCs w:val="32"/>
          <w:lang w:val="en-US" w:eastAsia="zh-CN" w:bidi="ar"/>
        </w:rPr>
      </w:pPr>
      <w:bookmarkStart w:id="5" w:name="_Toc5029"/>
      <w:r>
        <w:rPr>
          <w:rFonts w:hint="eastAsia" w:ascii="楷体_GB2312" w:hAnsi="楷体_GB2312" w:eastAsia="楷体_GB2312" w:cs="楷体_GB2312"/>
          <w:b/>
          <w:bCs/>
          <w:color w:val="000000"/>
          <w:kern w:val="0"/>
          <w:sz w:val="32"/>
          <w:szCs w:val="32"/>
          <w:lang w:val="en-US" w:eastAsia="zh-CN" w:bidi="ar"/>
        </w:rPr>
        <w:t>二、发展基础</w:t>
      </w:r>
      <w:bookmarkEnd w:id="5"/>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近年来，在抚顺市委市政府的正确领导下，</w:t>
      </w:r>
      <w:r>
        <w:rPr>
          <w:rFonts w:hint="eastAsia" w:ascii="仿宋_GB2312" w:hAnsi="仿宋_GB2312" w:eastAsia="仿宋_GB2312" w:cs="仿宋_GB2312"/>
          <w:kern w:val="2"/>
          <w:sz w:val="32"/>
          <w:szCs w:val="32"/>
          <w:lang w:val="en-US" w:eastAsia="zh-CN" w:bidi="ar-SA"/>
        </w:rPr>
        <w:t>煤矸石综合利用产业</w:t>
      </w:r>
      <w:r>
        <w:rPr>
          <w:rFonts w:hint="eastAsia" w:ascii="仿宋_GB2312" w:hAnsi="仿宋_GB2312" w:eastAsia="仿宋_GB2312" w:cs="仿宋_GB2312"/>
          <w:color w:val="000000"/>
          <w:kern w:val="0"/>
          <w:sz w:val="32"/>
          <w:szCs w:val="32"/>
          <w:lang w:val="en-US" w:eastAsia="zh-CN" w:bidi="ar"/>
        </w:rPr>
        <w:t>发展从无到有，</w:t>
      </w:r>
      <w:r>
        <w:rPr>
          <w:rFonts w:hint="default" w:ascii="仿宋_GB2312" w:hAnsi="仿宋_GB2312" w:eastAsia="仿宋_GB2312" w:cs="仿宋_GB2312"/>
          <w:color w:val="000000"/>
          <w:kern w:val="0"/>
          <w:sz w:val="32"/>
          <w:szCs w:val="32"/>
          <w:lang w:val="en-US" w:eastAsia="zh-CN" w:bidi="ar"/>
        </w:rPr>
        <w:t>不断壮大，在资源储备、产业培育、技术进步等方面取得一定</w:t>
      </w:r>
      <w:r>
        <w:rPr>
          <w:rFonts w:hint="eastAsia" w:ascii="仿宋_GB2312" w:hAnsi="仿宋_GB2312" w:eastAsia="仿宋_GB2312" w:cs="仿宋_GB2312"/>
          <w:color w:val="000000"/>
          <w:kern w:val="0"/>
          <w:sz w:val="32"/>
          <w:szCs w:val="32"/>
          <w:lang w:val="en-US" w:eastAsia="zh-CN" w:bidi="ar"/>
        </w:rPr>
        <w:t>成绩。</w:t>
      </w:r>
      <w:r>
        <w:rPr>
          <w:rFonts w:hint="default" w:ascii="仿宋_GB2312" w:hAnsi="仿宋_GB2312" w:eastAsia="仿宋_GB2312" w:cs="仿宋_GB2312"/>
          <w:color w:val="000000"/>
          <w:kern w:val="0"/>
          <w:sz w:val="32"/>
          <w:szCs w:val="32"/>
          <w:lang w:val="en-US" w:eastAsia="zh-CN" w:bidi="ar"/>
        </w:rPr>
        <w:t>目前，</w:t>
      </w:r>
      <w:r>
        <w:rPr>
          <w:rFonts w:hint="eastAsia" w:ascii="仿宋_GB2312" w:hAnsi="仿宋_GB2312" w:eastAsia="仿宋_GB2312" w:cs="仿宋_GB2312"/>
          <w:color w:val="000000"/>
          <w:kern w:val="0"/>
          <w:sz w:val="32"/>
          <w:szCs w:val="32"/>
          <w:lang w:val="en-US" w:eastAsia="zh-CN" w:bidi="ar"/>
        </w:rPr>
        <w:t>抚顺市构建</w:t>
      </w:r>
      <w:r>
        <w:rPr>
          <w:rFonts w:hint="eastAsia" w:ascii="仿宋_GB2312" w:hAnsi="仿宋_GB2312" w:eastAsia="仿宋_GB2312" w:cs="仿宋_GB2312"/>
          <w:sz w:val="32"/>
          <w:szCs w:val="32"/>
          <w:lang w:val="en-US" w:eastAsia="zh-CN"/>
        </w:rPr>
        <w:t>煤矸石高附加值利用的循环经济路线</w:t>
      </w:r>
      <w:r>
        <w:rPr>
          <w:rFonts w:hint="eastAsia" w:ascii="仿宋_GB2312" w:hAnsi="仿宋_GB2312" w:eastAsia="仿宋_GB2312" w:cs="仿宋_GB2312"/>
          <w:color w:val="000000"/>
          <w:kern w:val="0"/>
          <w:sz w:val="32"/>
          <w:szCs w:val="32"/>
          <w:lang w:val="en-US" w:eastAsia="zh-CN" w:bidi="ar"/>
        </w:rPr>
        <w:t>取得了积极进展</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color w:val="000000"/>
          <w:kern w:val="0"/>
          <w:sz w:val="32"/>
          <w:szCs w:val="32"/>
          <w:lang w:val="en-US" w:eastAsia="zh-CN" w:bidi="ar"/>
        </w:rPr>
        <w:t>从资源开采—材料制备—终端产品</w:t>
      </w:r>
      <w:r>
        <w:rPr>
          <w:rFonts w:hint="eastAsia" w:ascii="仿宋_GB2312" w:hAnsi="仿宋_GB2312" w:eastAsia="仿宋_GB2312" w:cs="仿宋_GB2312"/>
          <w:color w:val="000000"/>
          <w:kern w:val="0"/>
          <w:sz w:val="32"/>
          <w:szCs w:val="32"/>
          <w:lang w:val="en-US" w:eastAsia="zh-CN" w:bidi="ar"/>
        </w:rPr>
        <w:t>到</w:t>
      </w:r>
      <w:r>
        <w:rPr>
          <w:rFonts w:hint="default" w:ascii="仿宋_GB2312" w:hAnsi="仿宋_GB2312" w:eastAsia="仿宋_GB2312" w:cs="仿宋_GB2312"/>
          <w:color w:val="000000"/>
          <w:kern w:val="0"/>
          <w:sz w:val="32"/>
          <w:szCs w:val="32"/>
          <w:lang w:val="en-US" w:eastAsia="zh-CN" w:bidi="ar"/>
        </w:rPr>
        <w:t>相关配套的产业链</w:t>
      </w:r>
      <w:r>
        <w:rPr>
          <w:rFonts w:hint="eastAsia" w:ascii="仿宋_GB2312" w:hAnsi="仿宋_GB2312" w:eastAsia="仿宋_GB2312" w:cs="仿宋_GB2312"/>
          <w:color w:val="000000"/>
          <w:kern w:val="0"/>
          <w:sz w:val="32"/>
          <w:szCs w:val="32"/>
          <w:lang w:val="en-US" w:eastAsia="zh-CN" w:bidi="ar"/>
        </w:rPr>
        <w:t>正在逐步形成，</w:t>
      </w:r>
      <w:r>
        <w:rPr>
          <w:rFonts w:hint="eastAsia" w:ascii="仿宋_GB2312" w:hAnsi="仿宋_GB2312" w:eastAsia="仿宋_GB2312" w:cs="仿宋_GB2312"/>
          <w:sz w:val="32"/>
          <w:szCs w:val="32"/>
          <w:lang w:val="en-US" w:eastAsia="zh-CN"/>
        </w:rPr>
        <w:t>煤矸石综合利用产品已逐渐应用于发电、填埋、筑路、建材和化工等领域，</w:t>
      </w:r>
      <w:r>
        <w:rPr>
          <w:rFonts w:hint="eastAsia" w:ascii="仿宋_GB2312" w:hAnsi="仿宋_GB2312" w:eastAsia="仿宋_GB2312" w:cs="仿宋_GB2312"/>
          <w:color w:val="000000"/>
          <w:kern w:val="0"/>
          <w:sz w:val="32"/>
          <w:szCs w:val="32"/>
          <w:lang w:val="en-US" w:eastAsia="zh-CN" w:bidi="ar"/>
        </w:rPr>
        <w:t>环境效益和经济效益显著。</w:t>
      </w:r>
    </w:p>
    <w:p>
      <w:pPr>
        <w:keepNext w:val="0"/>
        <w:keepLines w:val="0"/>
        <w:numPr>
          <w:ilvl w:val="0"/>
          <w:numId w:val="2"/>
        </w:numPr>
        <w:kinsoku/>
        <w:wordWrap/>
        <w:overflowPunct/>
        <w:topLinePunct w:val="0"/>
        <w:autoSpaceDE/>
        <w:autoSpaceDN/>
        <w:bidi w:val="0"/>
        <w:spacing w:line="360" w:lineRule="auto"/>
        <w:ind w:left="0" w:leftChars="0" w:firstLine="643" w:firstLineChars="0"/>
        <w:jc w:val="both"/>
        <w:outlineLvl w:val="1"/>
        <w:rPr>
          <w:rFonts w:hint="default" w:ascii="仿宋_GB2312" w:hAnsi="仿宋_GB2312" w:eastAsia="仿宋_GB2312" w:cs="仿宋_GB2312"/>
          <w:b/>
          <w:bCs/>
          <w:color w:val="000000"/>
          <w:kern w:val="0"/>
          <w:sz w:val="32"/>
          <w:szCs w:val="32"/>
          <w:lang w:val="en-US" w:eastAsia="zh-CN" w:bidi="ar"/>
        </w:rPr>
      </w:pPr>
      <w:bookmarkStart w:id="6" w:name="_Toc23495"/>
      <w:r>
        <w:rPr>
          <w:rFonts w:hint="default" w:ascii="仿宋_GB2312" w:hAnsi="仿宋_GB2312" w:eastAsia="仿宋_GB2312" w:cs="仿宋_GB2312"/>
          <w:b/>
          <w:bCs/>
          <w:color w:val="000000"/>
          <w:kern w:val="0"/>
          <w:sz w:val="32"/>
          <w:szCs w:val="32"/>
          <w:lang w:val="en-US" w:eastAsia="zh-CN" w:bidi="ar"/>
        </w:rPr>
        <w:t>产业</w:t>
      </w:r>
      <w:r>
        <w:rPr>
          <w:rFonts w:hint="eastAsia" w:ascii="仿宋_GB2312" w:hAnsi="仿宋_GB2312" w:eastAsia="仿宋_GB2312" w:cs="仿宋_GB2312"/>
          <w:b/>
          <w:bCs/>
          <w:color w:val="000000"/>
          <w:kern w:val="0"/>
          <w:sz w:val="32"/>
          <w:szCs w:val="32"/>
          <w:lang w:val="en-US" w:eastAsia="zh-CN" w:bidi="ar"/>
        </w:rPr>
        <w:t>发展有序推进</w:t>
      </w:r>
      <w:bookmarkEnd w:id="6"/>
    </w:p>
    <w:p>
      <w:pPr>
        <w:pStyle w:val="1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leftChars="0" w:right="0" w:rightChars="0" w:firstLine="640" w:firstLineChars="200"/>
        <w:jc w:val="both"/>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kern w:val="2"/>
          <w:sz w:val="32"/>
          <w:szCs w:val="32"/>
          <w:lang w:val="en-US" w:eastAsia="zh-CN" w:bidi="ar-SA"/>
        </w:rPr>
        <w:t>“十三五”以来，抚顺市大力实施创新驱动、招商引资、招才引智战略，紧抓国家支持大宗固体废弃物综合利用的有利时机，</w:t>
      </w:r>
      <w:r>
        <w:rPr>
          <w:rFonts w:hint="eastAsia" w:ascii="仿宋_GB2312" w:hAnsi="仿宋_GB2312" w:eastAsia="仿宋_GB2312" w:cs="仿宋_GB2312"/>
          <w:color w:val="000000"/>
          <w:kern w:val="0"/>
          <w:sz w:val="32"/>
          <w:szCs w:val="32"/>
          <w:lang w:val="en-US" w:eastAsia="zh-CN" w:bidi="ar"/>
        </w:rPr>
        <w:t>充分利用大宗量煤矸石资源，立足抚顺煤矸石资源属性，开展产业发展研究，努力建设集约、安全、高效、绿色的煤矸石综合利用产业体系。积极推进煤矿企业转型发展，加快煤矸石综合利用产业上下游融合，建成一批煤矸石综合利用产业项目。</w:t>
      </w:r>
      <w:r>
        <w:rPr>
          <w:rFonts w:hint="eastAsia" w:ascii="仿宋_GB2312" w:hAnsi="仿宋_GB2312" w:eastAsia="仿宋_GB2312" w:cs="仿宋_GB2312"/>
          <w:b w:val="0"/>
          <w:bCs w:val="0"/>
          <w:color w:val="000000"/>
          <w:kern w:val="0"/>
          <w:sz w:val="32"/>
          <w:szCs w:val="32"/>
          <w:lang w:val="en-US" w:eastAsia="zh-CN" w:bidi="ar"/>
        </w:rPr>
        <w:t>西舍场规划建设光伏+农业项目，已完成复盖和农作物复绿；南舍场规划建设占地122公顷装机容量55MW的光伏发电项目，已建成一期装机容量20MW的光伏发电工程。强化政策制度保障，</w:t>
      </w:r>
      <w:r>
        <w:rPr>
          <w:rFonts w:hint="eastAsia" w:ascii="仿宋_GB2312" w:hAnsi="仿宋_GB2312" w:eastAsia="仿宋_GB2312" w:cs="仿宋_GB2312"/>
          <w:color w:val="000000"/>
          <w:kern w:val="0"/>
          <w:sz w:val="32"/>
          <w:szCs w:val="32"/>
          <w:lang w:val="en-US" w:eastAsia="zh-CN" w:bidi="ar"/>
        </w:rPr>
        <w:t>联合中国工业固废网有关专家，对抚顺市煤矸石综合利用情况进行了深入的调研，制定了财政税收、土地利用等多项产业发展支持政策，建立产业发展绿色通道。积极扩大对外宣传，举办2019年全国煤矸石综合利用技术交流会暨抚顺市煤矸石综合利用产业精准招商会，邀请来自全国各地的100余名专家学者、企业代表共商抚顺煤矸石综合利用产业发展新路径。</w:t>
      </w:r>
      <w:r>
        <w:rPr>
          <w:rFonts w:hint="eastAsia" w:ascii="仿宋_GB2312" w:hAnsi="仿宋_GB2312" w:eastAsia="仿宋_GB2312" w:cs="仿宋_GB2312"/>
          <w:sz w:val="32"/>
          <w:szCs w:val="32"/>
          <w:lang w:val="en-US" w:eastAsia="zh-CN"/>
        </w:rPr>
        <w:t>截至2020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color w:val="auto"/>
          <w:sz w:val="32"/>
          <w:szCs w:val="32"/>
          <w:lang w:val="en-US" w:eastAsia="zh-CN"/>
        </w:rPr>
        <w:t>，已有</w:t>
      </w:r>
      <w:r>
        <w:rPr>
          <w:rFonts w:hint="eastAsia" w:ascii="仿宋_GB2312" w:hAnsi="仿宋_GB2312" w:eastAsia="仿宋_GB2312" w:cs="仿宋_GB2312"/>
          <w:b w:val="0"/>
          <w:bCs w:val="0"/>
          <w:color w:val="auto"/>
          <w:kern w:val="0"/>
          <w:sz w:val="32"/>
          <w:szCs w:val="32"/>
          <w:lang w:val="en-US" w:eastAsia="zh-CN" w:bidi="ar"/>
        </w:rPr>
        <w:t>5家企业以煤矸石为原料制备绿色节能新型建筑材料与抚顺达成合作意向。</w:t>
      </w:r>
    </w:p>
    <w:p>
      <w:pPr>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1"/>
        <w:rPr>
          <w:rFonts w:hint="default" w:ascii="仿宋_GB2312" w:hAnsi="仿宋_GB2312" w:eastAsia="仿宋_GB2312" w:cs="仿宋_GB2312"/>
          <w:b/>
          <w:bCs/>
          <w:color w:val="auto"/>
          <w:kern w:val="0"/>
          <w:sz w:val="32"/>
          <w:szCs w:val="32"/>
          <w:highlight w:val="none"/>
          <w:lang w:val="en-US" w:eastAsia="zh-CN" w:bidi="ar"/>
        </w:rPr>
      </w:pPr>
      <w:bookmarkStart w:id="7" w:name="_Toc16674"/>
      <w:r>
        <w:rPr>
          <w:rFonts w:hint="eastAsia" w:ascii="仿宋_GB2312" w:hAnsi="仿宋_GB2312" w:eastAsia="仿宋_GB2312" w:cs="仿宋_GB2312"/>
          <w:b/>
          <w:bCs/>
          <w:color w:val="auto"/>
          <w:kern w:val="0"/>
          <w:sz w:val="32"/>
          <w:szCs w:val="32"/>
          <w:highlight w:val="none"/>
          <w:lang w:val="en-US" w:eastAsia="zh-CN" w:bidi="ar"/>
        </w:rPr>
        <w:t>（二）龙头企业蓬勃发展</w:t>
      </w:r>
      <w:bookmarkEnd w:id="7"/>
    </w:p>
    <w:p>
      <w:pPr>
        <w:keepNext w:val="0"/>
        <w:keepLines w:val="0"/>
        <w:numPr>
          <w:ilvl w:val="0"/>
          <w:numId w:val="0"/>
        </w:numPr>
        <w:kinsoku/>
        <w:wordWrap/>
        <w:overflowPunct/>
        <w:topLinePunct w:val="0"/>
        <w:autoSpaceDE/>
        <w:autoSpaceDN/>
        <w:bidi w:val="0"/>
        <w:spacing w:line="360" w:lineRule="auto"/>
        <w:ind w:left="0" w:leftChars="0" w:firstLine="640" w:firstLineChars="200"/>
        <w:jc w:val="both"/>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随着抚顺煤矸石综合利用产业发展持续升温，</w:t>
      </w:r>
      <w:r>
        <w:rPr>
          <w:rFonts w:hint="default" w:ascii="仿宋_GB2312" w:hAnsi="仿宋_GB2312" w:eastAsia="仿宋_GB2312" w:cs="仿宋_GB2312"/>
          <w:color w:val="000000"/>
          <w:kern w:val="0"/>
          <w:sz w:val="32"/>
          <w:szCs w:val="32"/>
          <w:lang w:val="en-US" w:eastAsia="zh-CN" w:bidi="ar"/>
        </w:rPr>
        <w:t>在</w:t>
      </w:r>
      <w:r>
        <w:rPr>
          <w:rFonts w:hint="eastAsia" w:ascii="仿宋_GB2312" w:hAnsi="仿宋_GB2312" w:eastAsia="仿宋_GB2312" w:cs="仿宋_GB2312"/>
          <w:color w:val="000000"/>
          <w:kern w:val="0"/>
          <w:sz w:val="32"/>
          <w:szCs w:val="32"/>
          <w:lang w:val="en-US" w:eastAsia="zh-CN" w:bidi="ar"/>
        </w:rPr>
        <w:t>煤矸石发电、煤矸石制砖、煤矸石制备发泡陶瓷、煤矸石</w:t>
      </w:r>
      <w:r>
        <w:rPr>
          <w:rFonts w:hint="default" w:ascii="仿宋_GB2312" w:hAnsi="仿宋_GB2312" w:eastAsia="仿宋_GB2312" w:cs="仿宋_GB2312"/>
          <w:color w:val="000000"/>
          <w:kern w:val="0"/>
          <w:sz w:val="32"/>
          <w:szCs w:val="32"/>
          <w:lang w:val="en-US" w:eastAsia="zh-CN" w:bidi="ar"/>
        </w:rPr>
        <w:t>提制工业原料领域涌现出多家具有</w:t>
      </w:r>
      <w:r>
        <w:rPr>
          <w:rFonts w:hint="eastAsia" w:ascii="仿宋_GB2312" w:hAnsi="仿宋_GB2312" w:eastAsia="仿宋_GB2312" w:cs="仿宋_GB2312"/>
          <w:color w:val="000000"/>
          <w:kern w:val="0"/>
          <w:sz w:val="32"/>
          <w:szCs w:val="32"/>
          <w:lang w:val="en-US" w:eastAsia="zh-CN" w:bidi="ar"/>
        </w:rPr>
        <w:t>后劲</w:t>
      </w:r>
      <w:r>
        <w:rPr>
          <w:rFonts w:hint="default" w:ascii="仿宋_GB2312" w:hAnsi="仿宋_GB2312" w:eastAsia="仿宋_GB2312" w:cs="仿宋_GB2312"/>
          <w:color w:val="000000"/>
          <w:kern w:val="0"/>
          <w:sz w:val="32"/>
          <w:szCs w:val="32"/>
          <w:lang w:val="en-US" w:eastAsia="zh-CN" w:bidi="ar"/>
        </w:rPr>
        <w:t>的企业</w:t>
      </w:r>
      <w:r>
        <w:rPr>
          <w:rFonts w:hint="eastAsia" w:ascii="仿宋_GB2312" w:hAnsi="仿宋_GB2312" w:eastAsia="仿宋_GB2312" w:cs="仿宋_GB2312"/>
          <w:color w:val="000000"/>
          <w:kern w:val="0"/>
          <w:sz w:val="32"/>
          <w:szCs w:val="32"/>
          <w:lang w:val="en-US" w:eastAsia="zh-CN" w:bidi="ar"/>
        </w:rPr>
        <w:t>。抚顺市依托龙头企业带动，积极抢占矸石综合利用产业制高点。抚矿集团现</w:t>
      </w:r>
      <w:r>
        <w:rPr>
          <w:rFonts w:hint="default" w:ascii="仿宋_GB2312" w:hAnsi="仿宋_GB2312" w:eastAsia="仿宋_GB2312" w:cs="仿宋_GB2312"/>
          <w:color w:val="000000"/>
          <w:kern w:val="0"/>
          <w:sz w:val="32"/>
          <w:szCs w:val="32"/>
          <w:lang w:val="en-US" w:eastAsia="zh-CN" w:bidi="ar"/>
        </w:rPr>
        <w:t>有循环流化床</w:t>
      </w:r>
      <w:r>
        <w:rPr>
          <w:rFonts w:hint="eastAsia" w:ascii="仿宋_GB2312" w:hAnsi="仿宋_GB2312" w:eastAsia="仿宋_GB2312" w:cs="仿宋_GB2312"/>
          <w:color w:val="000000"/>
          <w:kern w:val="0"/>
          <w:sz w:val="32"/>
          <w:szCs w:val="32"/>
          <w:lang w:val="en-US" w:eastAsia="zh-CN" w:bidi="ar"/>
        </w:rPr>
        <w:t>煤矸</w:t>
      </w:r>
      <w:r>
        <w:rPr>
          <w:rFonts w:hint="default" w:ascii="仿宋_GB2312" w:hAnsi="仿宋_GB2312" w:eastAsia="仿宋_GB2312" w:cs="仿宋_GB2312"/>
          <w:color w:val="000000"/>
          <w:kern w:val="0"/>
          <w:sz w:val="32"/>
          <w:szCs w:val="32"/>
          <w:lang w:val="en-US" w:eastAsia="zh-CN" w:bidi="ar"/>
        </w:rPr>
        <w:t>石电厂一座</w:t>
      </w:r>
      <w:r>
        <w:rPr>
          <w:rFonts w:hint="eastAsia" w:ascii="仿宋_GB2312" w:hAnsi="仿宋_GB2312" w:eastAsia="仿宋_GB2312" w:cs="仿宋_GB2312"/>
          <w:color w:val="000000"/>
          <w:kern w:val="0"/>
          <w:sz w:val="32"/>
          <w:szCs w:val="32"/>
          <w:lang w:val="en-US" w:eastAsia="zh-CN" w:bidi="ar"/>
        </w:rPr>
        <w:t>，以煤矸石、绿页岩等为原料的制砖装备两套，</w:t>
      </w:r>
      <w:r>
        <w:rPr>
          <w:rFonts w:hint="default" w:ascii="仿宋_GB2312" w:hAnsi="仿宋_GB2312" w:eastAsia="仿宋_GB2312" w:cs="仿宋_GB2312"/>
          <w:color w:val="000000"/>
          <w:kern w:val="0"/>
          <w:sz w:val="32"/>
          <w:szCs w:val="32"/>
          <w:lang w:val="en-US" w:eastAsia="zh-CN" w:bidi="ar"/>
        </w:rPr>
        <w:t>2018年用于发电煤矸石50万吨，发电23.55亿千瓦时，收入8.3亿元</w:t>
      </w:r>
      <w:r>
        <w:rPr>
          <w:rFonts w:hint="eastAsia" w:ascii="仿宋_GB2312" w:hAnsi="仿宋_GB2312" w:eastAsia="仿宋_GB2312" w:cs="仿宋_GB2312"/>
          <w:color w:val="000000"/>
          <w:kern w:val="0"/>
          <w:sz w:val="32"/>
          <w:szCs w:val="32"/>
          <w:lang w:val="en-US" w:eastAsia="zh-CN" w:bidi="ar"/>
        </w:rPr>
        <w:t>，用于制砖的煤矸石5万吨，</w:t>
      </w:r>
      <w:r>
        <w:rPr>
          <w:rFonts w:hint="default" w:ascii="仿宋_GB2312" w:hAnsi="仿宋_GB2312" w:eastAsia="仿宋_GB2312" w:cs="仿宋_GB2312"/>
          <w:color w:val="000000"/>
          <w:kern w:val="0"/>
          <w:sz w:val="32"/>
          <w:szCs w:val="32"/>
          <w:lang w:val="en-US" w:eastAsia="zh-CN" w:bidi="ar"/>
        </w:rPr>
        <w:t>年生产烧结砖3353万块</w:t>
      </w:r>
      <w:r>
        <w:rPr>
          <w:rFonts w:hint="eastAsia" w:ascii="仿宋_GB2312" w:hAnsi="仿宋_GB2312" w:eastAsia="仿宋_GB2312" w:cs="仿宋_GB2312"/>
          <w:color w:val="000000"/>
          <w:kern w:val="0"/>
          <w:sz w:val="32"/>
          <w:szCs w:val="32"/>
          <w:lang w:val="en-US" w:eastAsia="zh-CN" w:bidi="ar"/>
        </w:rPr>
        <w:t>，有效的解决了煤矸石资源长期大量堆存污染环境的问题，同时也推动了抚矿集团转产转型的可持续发展。辽宁罕王绿色建材有限公司，利用煤矸石制备发泡陶瓷保温板、隔墙板，</w:t>
      </w:r>
      <w:r>
        <w:rPr>
          <w:rFonts w:hint="default" w:ascii="仿宋_GB2312" w:hAnsi="仿宋_GB2312" w:eastAsia="仿宋_GB2312" w:cs="仿宋_GB2312"/>
          <w:color w:val="000000"/>
          <w:kern w:val="0"/>
          <w:sz w:val="32"/>
          <w:szCs w:val="32"/>
          <w:lang w:val="en-US" w:eastAsia="zh-CN" w:bidi="ar"/>
        </w:rPr>
        <w:t>年利用量2万吨，</w:t>
      </w:r>
      <w:r>
        <w:rPr>
          <w:rFonts w:hint="eastAsia" w:ascii="仿宋_GB2312" w:hAnsi="仿宋_GB2312" w:eastAsia="仿宋_GB2312" w:cs="仿宋_GB2312"/>
          <w:color w:val="000000"/>
          <w:kern w:val="0"/>
          <w:sz w:val="32"/>
          <w:szCs w:val="32"/>
          <w:lang w:val="en-US" w:eastAsia="zh-CN" w:bidi="ar"/>
        </w:rPr>
        <w:t>固体废物利用率达95%以上，整个生产过程中无二次污染排放，生产的产品具有A1级防火、轻质保温、强度高、防腐防水、抗冻融、防辐射、隔音隔热与建筑同寿命等10大特性。抚顺市盛达工业产品综合利用有限公司，利用煤矸石等大宗固体废弃物生产高附加值化工产品，经过多年的攻坚克难，已掌握利用煤矸石生产白炭黑、十八水硫酸铝的连续式循环清洁生产工艺，该工艺无三废排放，已申报国家发明专利，公司产品广泛应用于工业污水、饮用水处理、空气净化、水净化设备填料、橡胶、塑料、日用化工、石油化工等领域。</w:t>
      </w:r>
    </w:p>
    <w:p>
      <w:pPr>
        <w:pStyle w:val="1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leftChars="0" w:right="0" w:rightChars="0" w:firstLine="643" w:firstLineChars="200"/>
        <w:jc w:val="both"/>
        <w:outlineLvl w:val="1"/>
        <w:rPr>
          <w:rFonts w:hint="eastAsia" w:ascii="仿宋_GB2312" w:hAnsi="仿宋_GB2312" w:eastAsia="仿宋_GB2312" w:cs="仿宋_GB2312"/>
          <w:color w:val="000000"/>
          <w:kern w:val="0"/>
          <w:sz w:val="32"/>
          <w:szCs w:val="32"/>
          <w:lang w:val="en-US" w:eastAsia="zh-CN" w:bidi="ar"/>
        </w:rPr>
      </w:pPr>
      <w:bookmarkStart w:id="8" w:name="_Toc7103"/>
      <w:r>
        <w:rPr>
          <w:rFonts w:hint="eastAsia" w:ascii="仿宋_GB2312" w:hAnsi="仿宋_GB2312" w:eastAsia="仿宋_GB2312" w:cs="仿宋_GB2312"/>
          <w:b/>
          <w:bCs/>
          <w:color w:val="000000"/>
          <w:kern w:val="0"/>
          <w:sz w:val="32"/>
          <w:szCs w:val="32"/>
          <w:lang w:val="en-US" w:eastAsia="zh-CN" w:bidi="ar"/>
        </w:rPr>
        <w:t>（三）园区建设步伐加快</w:t>
      </w:r>
      <w:bookmarkEnd w:id="8"/>
    </w:p>
    <w:p>
      <w:pPr>
        <w:keepNext w:val="0"/>
        <w:keepLines w:val="0"/>
        <w:numPr>
          <w:ilvl w:val="0"/>
          <w:numId w:val="0"/>
        </w:numPr>
        <w:kinsoku/>
        <w:wordWrap/>
        <w:overflowPunct/>
        <w:topLinePunct w:val="0"/>
        <w:autoSpaceDE/>
        <w:autoSpaceDN/>
        <w:bidi w:val="0"/>
        <w:spacing w:line="360" w:lineRule="auto"/>
        <w:ind w:firstLine="640" w:firstLineChars="200"/>
        <w:jc w:val="both"/>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综合考虑</w:t>
      </w:r>
      <w:r>
        <w:rPr>
          <w:rFonts w:hint="default" w:ascii="仿宋_GB2312" w:hAnsi="仿宋_GB2312" w:eastAsia="仿宋_GB2312" w:cs="仿宋_GB2312"/>
          <w:color w:val="000000"/>
          <w:kern w:val="0"/>
          <w:sz w:val="32"/>
          <w:szCs w:val="32"/>
          <w:lang w:val="en-US" w:eastAsia="zh-CN" w:bidi="ar"/>
        </w:rPr>
        <w:fldChar w:fldCharType="begin"/>
      </w:r>
      <w:r>
        <w:rPr>
          <w:rFonts w:hint="default" w:ascii="仿宋_GB2312" w:hAnsi="仿宋_GB2312" w:eastAsia="仿宋_GB2312" w:cs="仿宋_GB2312"/>
          <w:color w:val="000000"/>
          <w:kern w:val="0"/>
          <w:sz w:val="32"/>
          <w:szCs w:val="32"/>
          <w:lang w:val="en-US" w:eastAsia="zh-CN" w:bidi="ar"/>
        </w:rPr>
        <w:instrText xml:space="preserve"> HYPERLINK "https://baike.so.com/doc/5366422-5602134.html" \t "https://baike.so.com/doc/_blank" </w:instrText>
      </w:r>
      <w:r>
        <w:rPr>
          <w:rFonts w:hint="default" w:ascii="仿宋_GB2312" w:hAnsi="仿宋_GB2312" w:eastAsia="仿宋_GB2312" w:cs="仿宋_GB2312"/>
          <w:color w:val="000000"/>
          <w:kern w:val="0"/>
          <w:sz w:val="32"/>
          <w:szCs w:val="32"/>
          <w:lang w:val="en-US" w:eastAsia="zh-CN" w:bidi="ar"/>
        </w:rPr>
        <w:fldChar w:fldCharType="separate"/>
      </w:r>
      <w:r>
        <w:rPr>
          <w:rFonts w:hint="default" w:ascii="仿宋_GB2312" w:hAnsi="仿宋_GB2312" w:eastAsia="仿宋_GB2312" w:cs="仿宋_GB2312"/>
          <w:color w:val="000000"/>
          <w:kern w:val="0"/>
          <w:sz w:val="32"/>
          <w:szCs w:val="32"/>
          <w:lang w:val="en-US" w:eastAsia="zh-CN" w:bidi="ar"/>
        </w:rPr>
        <w:t>因地制宜</w:t>
      </w:r>
      <w:r>
        <w:rPr>
          <w:rFonts w:hint="default" w:ascii="仿宋_GB2312" w:hAnsi="仿宋_GB2312" w:eastAsia="仿宋_GB2312" w:cs="仿宋_GB2312"/>
          <w:color w:val="000000"/>
          <w:kern w:val="0"/>
          <w:sz w:val="32"/>
          <w:szCs w:val="32"/>
          <w:lang w:val="en-US" w:eastAsia="zh-CN" w:bidi="ar"/>
        </w:rPr>
        <w:fldChar w:fldCharType="end"/>
      </w:r>
      <w:r>
        <w:rPr>
          <w:rFonts w:hint="eastAsia" w:ascii="仿宋_GB2312" w:hAnsi="仿宋_GB2312" w:eastAsia="仿宋_GB2312" w:cs="仿宋_GB2312"/>
          <w:color w:val="000000"/>
          <w:kern w:val="0"/>
          <w:sz w:val="32"/>
          <w:szCs w:val="32"/>
          <w:lang w:val="en-US" w:eastAsia="zh-CN" w:bidi="ar"/>
        </w:rPr>
        <w:t>、</w:t>
      </w:r>
      <w:r>
        <w:rPr>
          <w:rFonts w:hint="default" w:ascii="仿宋_GB2312" w:hAnsi="仿宋_GB2312" w:eastAsia="仿宋_GB2312" w:cs="仿宋_GB2312"/>
          <w:color w:val="000000"/>
          <w:kern w:val="0"/>
          <w:sz w:val="32"/>
          <w:szCs w:val="32"/>
          <w:lang w:val="en-US" w:eastAsia="zh-CN" w:bidi="ar"/>
        </w:rPr>
        <w:fldChar w:fldCharType="begin"/>
      </w:r>
      <w:r>
        <w:rPr>
          <w:rFonts w:hint="default" w:ascii="仿宋_GB2312" w:hAnsi="仿宋_GB2312" w:eastAsia="仿宋_GB2312" w:cs="仿宋_GB2312"/>
          <w:color w:val="000000"/>
          <w:kern w:val="0"/>
          <w:sz w:val="32"/>
          <w:szCs w:val="32"/>
          <w:lang w:val="en-US" w:eastAsia="zh-CN" w:bidi="ar"/>
        </w:rPr>
        <w:instrText xml:space="preserve"> HYPERLINK "https://baike.so.com/doc/3963939-4159576.html" \t "https://baike.so.com/doc/_blank" </w:instrText>
      </w:r>
      <w:r>
        <w:rPr>
          <w:rFonts w:hint="default" w:ascii="仿宋_GB2312" w:hAnsi="仿宋_GB2312" w:eastAsia="仿宋_GB2312" w:cs="仿宋_GB2312"/>
          <w:color w:val="000000"/>
          <w:kern w:val="0"/>
          <w:sz w:val="32"/>
          <w:szCs w:val="32"/>
          <w:lang w:val="en-US" w:eastAsia="zh-CN" w:bidi="ar"/>
        </w:rPr>
        <w:fldChar w:fldCharType="separate"/>
      </w:r>
      <w:r>
        <w:rPr>
          <w:rFonts w:hint="default" w:ascii="仿宋_GB2312" w:hAnsi="仿宋_GB2312" w:eastAsia="仿宋_GB2312" w:cs="仿宋_GB2312"/>
          <w:color w:val="000000"/>
          <w:kern w:val="0"/>
          <w:sz w:val="32"/>
          <w:szCs w:val="32"/>
          <w:lang w:val="en-US" w:eastAsia="zh-CN" w:bidi="ar"/>
        </w:rPr>
        <w:t>扬长避短</w:t>
      </w:r>
      <w:r>
        <w:rPr>
          <w:rFonts w:hint="default" w:ascii="仿宋_GB2312" w:hAnsi="仿宋_GB2312" w:eastAsia="仿宋_GB2312" w:cs="仿宋_GB2312"/>
          <w:color w:val="000000"/>
          <w:kern w:val="0"/>
          <w:sz w:val="32"/>
          <w:szCs w:val="32"/>
          <w:lang w:val="en-US" w:eastAsia="zh-CN" w:bidi="ar"/>
        </w:rPr>
        <w:fldChar w:fldCharType="end"/>
      </w:r>
      <w:r>
        <w:rPr>
          <w:rFonts w:hint="eastAsia" w:ascii="仿宋_GB2312" w:hAnsi="仿宋_GB2312" w:eastAsia="仿宋_GB2312" w:cs="仿宋_GB2312"/>
          <w:color w:val="000000"/>
          <w:kern w:val="0"/>
          <w:sz w:val="32"/>
          <w:szCs w:val="32"/>
          <w:lang w:val="en-US" w:eastAsia="zh-CN" w:bidi="ar"/>
        </w:rPr>
        <w:t>、</w:t>
      </w:r>
      <w:r>
        <w:rPr>
          <w:rFonts w:hint="default" w:ascii="仿宋_GB2312" w:hAnsi="仿宋_GB2312" w:eastAsia="仿宋_GB2312" w:cs="仿宋_GB2312"/>
          <w:color w:val="000000"/>
          <w:kern w:val="0"/>
          <w:sz w:val="32"/>
          <w:szCs w:val="32"/>
          <w:lang w:val="en-US" w:eastAsia="zh-CN" w:bidi="ar"/>
        </w:rPr>
        <w:t>突出重点、兼顾一般</w:t>
      </w:r>
      <w:r>
        <w:rPr>
          <w:rFonts w:hint="eastAsia" w:ascii="仿宋_GB2312" w:hAnsi="仿宋_GB2312" w:eastAsia="仿宋_GB2312" w:cs="仿宋_GB2312"/>
          <w:color w:val="000000"/>
          <w:kern w:val="0"/>
          <w:sz w:val="32"/>
          <w:szCs w:val="32"/>
          <w:lang w:val="en-US" w:eastAsia="zh-CN" w:bidi="ar"/>
        </w:rPr>
        <w:t>等多方因素，抚顺市合理安排煤矸石综合利用产业发展空间，以建设具有示范引领作用的全国大宗固体废弃物综合利用示范基地为目标，积极推进煤矸石综合利用园区建设，实现产业集聚发展。“十三五”期间，抚顺市煤矸石综合利用产业集中度进一步提高，园区建设进一步加快，产业集聚</w:t>
      </w:r>
      <w:r>
        <w:rPr>
          <w:rFonts w:hint="default" w:ascii="仿宋_GB2312" w:hAnsi="仿宋_GB2312" w:eastAsia="仿宋_GB2312" w:cs="仿宋_GB2312"/>
          <w:color w:val="000000"/>
          <w:kern w:val="0"/>
          <w:sz w:val="32"/>
          <w:szCs w:val="32"/>
          <w:lang w:val="en-US" w:eastAsia="zh-CN" w:bidi="ar"/>
        </w:rPr>
        <w:t>的规模效应</w:t>
      </w:r>
      <w:r>
        <w:rPr>
          <w:rFonts w:hint="eastAsia" w:ascii="仿宋_GB2312" w:hAnsi="仿宋_GB2312" w:eastAsia="仿宋_GB2312" w:cs="仿宋_GB2312"/>
          <w:color w:val="000000"/>
          <w:kern w:val="0"/>
          <w:sz w:val="32"/>
          <w:szCs w:val="32"/>
          <w:lang w:val="en-US" w:eastAsia="zh-CN" w:bidi="ar"/>
        </w:rPr>
        <w:t>初步</w:t>
      </w:r>
      <w:r>
        <w:rPr>
          <w:rFonts w:hint="default" w:ascii="仿宋_GB2312" w:hAnsi="仿宋_GB2312" w:eastAsia="仿宋_GB2312" w:cs="仿宋_GB2312"/>
          <w:color w:val="000000"/>
          <w:kern w:val="0"/>
          <w:sz w:val="32"/>
          <w:szCs w:val="32"/>
          <w:lang w:val="en-US" w:eastAsia="zh-CN" w:bidi="ar"/>
        </w:rPr>
        <w:t>呈现</w:t>
      </w:r>
      <w:r>
        <w:rPr>
          <w:rFonts w:hint="eastAsia" w:ascii="仿宋_GB2312" w:hAnsi="仿宋_GB2312" w:eastAsia="仿宋_GB2312" w:cs="仿宋_GB2312"/>
          <w:color w:val="000000"/>
          <w:kern w:val="0"/>
          <w:sz w:val="32"/>
          <w:szCs w:val="32"/>
          <w:lang w:val="en-US" w:eastAsia="zh-CN" w:bidi="ar"/>
        </w:rPr>
        <w:t>。望花大宗固体废弃物综合利用产业园区（A区）建设项目的前期手续已基本完成，配套基础设施一期工程预计2021年底竣工验收。在全面吸纳国内行业专家意见的基础上，A区谋划建设煤矸石预处理中心，通过集中实施源头再分选、有用组分高效分离提取，实现煤矸石综合利用高效高附加值利用。胜利经济开发区大宗固体废弃物综合利用产业园（B区）公用配套基础设施改造升级基本完成，形成统一的供水、供电、供热、污水处理系统，不仅能够满足B区现有企业的发展需求，而且预留园区发展承载力，满足产业发展远景目标需求。为推动抚顺市煤矸石综合利用产业发展筑牢基础。</w:t>
      </w:r>
    </w:p>
    <w:p>
      <w:pPr>
        <w:pStyle w:val="1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leftChars="0" w:right="0" w:rightChars="0" w:firstLine="643" w:firstLineChars="200"/>
        <w:jc w:val="both"/>
        <w:outlineLvl w:val="1"/>
        <w:rPr>
          <w:rFonts w:hint="default" w:ascii="仿宋_GB2312" w:hAnsi="仿宋_GB2312" w:eastAsia="仿宋_GB2312" w:cs="仿宋_GB2312"/>
          <w:b/>
          <w:bCs/>
          <w:color w:val="auto"/>
          <w:kern w:val="0"/>
          <w:sz w:val="32"/>
          <w:szCs w:val="32"/>
          <w:lang w:val="en-US" w:eastAsia="zh-CN" w:bidi="ar"/>
        </w:rPr>
      </w:pPr>
      <w:bookmarkStart w:id="9" w:name="page17"/>
      <w:bookmarkEnd w:id="9"/>
      <w:bookmarkStart w:id="10" w:name="_Toc24586"/>
      <w:r>
        <w:rPr>
          <w:rFonts w:hint="eastAsia" w:ascii="仿宋_GB2312" w:hAnsi="仿宋_GB2312" w:eastAsia="仿宋_GB2312" w:cs="仿宋_GB2312"/>
          <w:b/>
          <w:bCs/>
          <w:color w:val="auto"/>
          <w:kern w:val="0"/>
          <w:sz w:val="32"/>
          <w:szCs w:val="32"/>
          <w:lang w:val="en-US" w:eastAsia="zh-CN" w:bidi="ar"/>
        </w:rPr>
        <w:t>（四）创新</w:t>
      </w:r>
      <w:r>
        <w:rPr>
          <w:rFonts w:hint="default" w:ascii="仿宋_GB2312" w:hAnsi="仿宋_GB2312" w:eastAsia="仿宋_GB2312" w:cs="仿宋_GB2312"/>
          <w:b/>
          <w:bCs/>
          <w:color w:val="auto"/>
          <w:kern w:val="0"/>
          <w:sz w:val="32"/>
          <w:szCs w:val="32"/>
          <w:lang w:val="en-US" w:eastAsia="zh-CN" w:bidi="ar"/>
        </w:rPr>
        <w:t>能力</w:t>
      </w:r>
      <w:r>
        <w:rPr>
          <w:rFonts w:hint="eastAsia" w:ascii="仿宋_GB2312" w:hAnsi="仿宋_GB2312" w:eastAsia="仿宋_GB2312" w:cs="仿宋_GB2312"/>
          <w:b/>
          <w:bCs/>
          <w:color w:val="auto"/>
          <w:kern w:val="0"/>
          <w:sz w:val="32"/>
          <w:szCs w:val="32"/>
          <w:lang w:val="en-US" w:eastAsia="zh-CN" w:bidi="ar"/>
        </w:rPr>
        <w:t>持续增</w:t>
      </w:r>
      <w:r>
        <w:rPr>
          <w:rFonts w:hint="default" w:ascii="仿宋_GB2312" w:hAnsi="仿宋_GB2312" w:eastAsia="仿宋_GB2312" w:cs="仿宋_GB2312"/>
          <w:b/>
          <w:bCs/>
          <w:color w:val="auto"/>
          <w:kern w:val="0"/>
          <w:sz w:val="32"/>
          <w:szCs w:val="32"/>
          <w:lang w:val="en-US" w:eastAsia="zh-CN" w:bidi="ar"/>
        </w:rPr>
        <w:t>强</w:t>
      </w:r>
      <w:bookmarkEnd w:id="10"/>
    </w:p>
    <w:p>
      <w:pPr>
        <w:pStyle w:val="1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right="0" w:rightChars="0"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color w:val="000000"/>
          <w:kern w:val="0"/>
          <w:sz w:val="32"/>
          <w:szCs w:val="32"/>
          <w:lang w:val="en-US" w:eastAsia="zh-CN" w:bidi="ar"/>
        </w:rPr>
        <w:t>抚顺市持续</w:t>
      </w:r>
      <w:r>
        <w:rPr>
          <w:rFonts w:hint="eastAsia" w:ascii="仿宋_GB2312" w:hAnsi="仿宋_GB2312" w:eastAsia="仿宋_GB2312" w:cs="仿宋_GB2312"/>
          <w:color w:val="000000"/>
          <w:kern w:val="0"/>
          <w:sz w:val="32"/>
          <w:szCs w:val="32"/>
          <w:lang w:val="en-US" w:eastAsia="zh-CN" w:bidi="ar"/>
        </w:rPr>
        <w:t>加强相关企业与高等院校、科研院所的深度融合，先后与清华大学、中国矿业大学（北京）、北京科技大学、</w:t>
      </w:r>
      <w:r>
        <w:rPr>
          <w:rFonts w:hint="eastAsia" w:ascii="仿宋_GB2312" w:hAnsi="仿宋_GB2312" w:eastAsia="仿宋_GB2312" w:cs="仿宋_GB2312"/>
          <w:sz w:val="32"/>
          <w:szCs w:val="32"/>
        </w:rPr>
        <w:t>辽宁省沙地治理与利用研究</w:t>
      </w:r>
      <w:r>
        <w:rPr>
          <w:rFonts w:hint="eastAsia" w:ascii="仿宋_GB2312" w:hAnsi="仿宋_GB2312" w:eastAsia="仿宋_GB2312" w:cs="仿宋_GB2312"/>
          <w:color w:val="000000"/>
          <w:kern w:val="0"/>
          <w:sz w:val="32"/>
          <w:szCs w:val="32"/>
          <w:lang w:val="en-US" w:eastAsia="zh-CN" w:bidi="ar"/>
        </w:rPr>
        <w:t>所、辽宁省能源研究所有限公司等高等院校和科研单位联合，开展科技创新先行先试的探索，攻关煤矸石综合利用领域核心技术和技术难题，初步</w:t>
      </w:r>
      <w:r>
        <w:rPr>
          <w:rFonts w:hint="default" w:ascii="仿宋_GB2312" w:hAnsi="仿宋_GB2312" w:eastAsia="仿宋_GB2312" w:cs="仿宋_GB2312"/>
          <w:color w:val="000000"/>
          <w:kern w:val="0"/>
          <w:sz w:val="32"/>
          <w:szCs w:val="32"/>
          <w:lang w:val="en-US" w:eastAsia="zh-CN" w:bidi="ar"/>
        </w:rPr>
        <w:t>形成</w:t>
      </w:r>
      <w:r>
        <w:rPr>
          <w:rFonts w:hint="eastAsia" w:ascii="仿宋_GB2312" w:hAnsi="仿宋_GB2312" w:eastAsia="仿宋_GB2312" w:cs="仿宋_GB2312"/>
          <w:color w:val="000000"/>
          <w:kern w:val="0"/>
          <w:sz w:val="32"/>
          <w:szCs w:val="32"/>
          <w:lang w:val="en-US" w:eastAsia="zh-CN" w:bidi="ar"/>
        </w:rPr>
        <w:t>广阔的发展平台和</w:t>
      </w:r>
      <w:r>
        <w:rPr>
          <w:rFonts w:hint="default" w:ascii="仿宋_GB2312" w:hAnsi="仿宋_GB2312" w:eastAsia="仿宋_GB2312" w:cs="仿宋_GB2312"/>
          <w:color w:val="000000"/>
          <w:kern w:val="0"/>
          <w:sz w:val="32"/>
          <w:szCs w:val="32"/>
          <w:lang w:val="en-US" w:eastAsia="zh-CN" w:bidi="ar"/>
        </w:rPr>
        <w:t>较强的技术支撑。</w:t>
      </w:r>
      <w:r>
        <w:rPr>
          <w:rFonts w:hint="eastAsia" w:ascii="仿宋_GB2312" w:hAnsi="仿宋_GB2312" w:eastAsia="仿宋_GB2312" w:cs="仿宋_GB2312"/>
          <w:color w:val="000000"/>
          <w:kern w:val="0"/>
          <w:sz w:val="32"/>
          <w:szCs w:val="32"/>
          <w:lang w:val="en-US" w:eastAsia="zh-CN" w:bidi="ar"/>
        </w:rPr>
        <w:t>依托</w:t>
      </w:r>
      <w:r>
        <w:rPr>
          <w:rFonts w:hint="eastAsia" w:ascii="仿宋_GB2312" w:hAnsi="仿宋_GB2312" w:eastAsia="仿宋_GB2312" w:cs="仿宋_GB2312"/>
          <w:sz w:val="32"/>
          <w:szCs w:val="32"/>
        </w:rPr>
        <w:t>抚矿集团工程技术研发中心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抚顺市成功获批为全国50个国家大宗固废综合利用示范基地之一，</w:t>
      </w:r>
      <w:r>
        <w:rPr>
          <w:rFonts w:hint="eastAsia" w:ascii="仿宋_GB2312" w:hAnsi="仿宋_GB2312" w:eastAsia="仿宋_GB2312" w:cs="仿宋_GB2312"/>
          <w:sz w:val="32"/>
          <w:szCs w:val="32"/>
          <w:lang w:eastAsia="zh-CN"/>
        </w:rPr>
        <w:t>成功申请成立辽宁省固体废弃物产业技术研究院，</w:t>
      </w:r>
      <w:r>
        <w:rPr>
          <w:rFonts w:hint="eastAsia" w:ascii="仿宋_GB2312" w:hAnsi="仿宋_GB2312" w:eastAsia="仿宋_GB2312" w:cs="仿宋_GB2312"/>
          <w:sz w:val="32"/>
          <w:szCs w:val="32"/>
        </w:rPr>
        <w:t>为煤矸石综合利用产业发展创造了有利条件</w:t>
      </w:r>
      <w:r>
        <w:rPr>
          <w:rFonts w:hint="eastAsia" w:ascii="仿宋_GB2312" w:hAnsi="仿宋_GB2312" w:eastAsia="仿宋_GB2312" w:cs="仿宋_GB2312"/>
          <w:color w:val="000000"/>
          <w:kern w:val="0"/>
          <w:sz w:val="32"/>
          <w:szCs w:val="32"/>
          <w:lang w:val="en-US" w:eastAsia="zh-CN" w:bidi="ar"/>
        </w:rPr>
        <w:t>。积极谋化，主动协调，在全省率先成立抚顺固体废弃物产业技术研究院，首批聘请11名国内知名煤矸石综合利用领域专家教授担任抚顺固体废弃物产业技术研究院研究员。依托</w:t>
      </w:r>
      <w:r>
        <w:rPr>
          <w:rFonts w:hint="eastAsia" w:ascii="仿宋_GB2312" w:hAnsi="仿宋_GB2312" w:eastAsia="仿宋_GB2312" w:cs="仿宋_GB2312"/>
          <w:sz w:val="32"/>
          <w:szCs w:val="32"/>
          <w:lang w:val="en-US" w:eastAsia="zh-CN"/>
        </w:rPr>
        <w:t>辽宁亚太固体废弃物研究院，</w:t>
      </w:r>
      <w:r>
        <w:rPr>
          <w:rFonts w:hint="eastAsia" w:ascii="仿宋_GB2312" w:hAnsi="仿宋_GB2312" w:eastAsia="仿宋_GB2312" w:cs="仿宋_GB2312"/>
          <w:sz w:val="32"/>
          <w:szCs w:val="32"/>
        </w:rPr>
        <w:t>联合辽宁省沙地治理与利用研究所、辽宁省能源研究所有限公司等</w:t>
      </w:r>
      <w:r>
        <w:rPr>
          <w:rFonts w:hint="eastAsia" w:ascii="仿宋_GB2312" w:hAnsi="仿宋_GB2312" w:eastAsia="仿宋_GB2312" w:cs="仿宋_GB2312"/>
          <w:sz w:val="32"/>
          <w:szCs w:val="32"/>
          <w:lang w:val="en-US" w:eastAsia="zh-CN"/>
        </w:rPr>
        <w:t>科研</w:t>
      </w:r>
      <w:r>
        <w:rPr>
          <w:rFonts w:hint="eastAsia" w:ascii="仿宋_GB2312" w:hAnsi="仿宋_GB2312" w:eastAsia="仿宋_GB2312" w:cs="仿宋_GB2312"/>
          <w:sz w:val="32"/>
          <w:szCs w:val="32"/>
        </w:rPr>
        <w:t>单位，集中力量突破煤矸石制砖、煤矸石土壤改良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煤矸石洗化</w:t>
      </w:r>
      <w:r>
        <w:rPr>
          <w:rFonts w:hint="eastAsia" w:ascii="仿宋_GB2312" w:hAnsi="仿宋_GB2312" w:eastAsia="仿宋_GB2312" w:cs="仿宋_GB2312"/>
          <w:sz w:val="32"/>
          <w:szCs w:val="32"/>
        </w:rPr>
        <w:t>等一批制约</w:t>
      </w:r>
      <w:r>
        <w:rPr>
          <w:rFonts w:hint="eastAsia" w:ascii="仿宋_GB2312" w:hAnsi="仿宋_GB2312" w:eastAsia="仿宋_GB2312" w:cs="仿宋_GB2312"/>
          <w:sz w:val="32"/>
          <w:szCs w:val="32"/>
          <w:lang w:eastAsia="zh-CN"/>
        </w:rPr>
        <w:t>煤矸石综合利用产业</w:t>
      </w:r>
      <w:r>
        <w:rPr>
          <w:rFonts w:hint="eastAsia" w:ascii="仿宋_GB2312" w:hAnsi="仿宋_GB2312" w:eastAsia="仿宋_GB2312" w:cs="仿宋_GB2312"/>
          <w:sz w:val="32"/>
          <w:szCs w:val="32"/>
        </w:rPr>
        <w:t>发展的关键技术，推动一批科研成果就地转化，推进现有企业的升级改造，为产业发展提供强有力的技术支撑。</w:t>
      </w:r>
      <w:r>
        <w:rPr>
          <w:rFonts w:hint="eastAsia" w:ascii="仿宋_GB2312" w:hAnsi="仿宋_GB2312" w:eastAsia="仿宋_GB2312" w:cs="仿宋_GB2312"/>
          <w:sz w:val="32"/>
          <w:szCs w:val="32"/>
          <w:lang w:val="en-US" w:eastAsia="zh-CN"/>
        </w:rPr>
        <w:t>依托新型建材企业，</w:t>
      </w:r>
      <w:r>
        <w:rPr>
          <w:rFonts w:hint="eastAsia" w:ascii="仿宋_GB2312" w:hAnsi="仿宋_GB2312" w:eastAsia="仿宋_GB2312" w:cs="仿宋_GB2312"/>
          <w:sz w:val="32"/>
          <w:szCs w:val="32"/>
        </w:rPr>
        <w:t>围绕开发利用煤矸石制备绿色</w:t>
      </w:r>
      <w:r>
        <w:rPr>
          <w:rFonts w:hint="eastAsia" w:ascii="仿宋_GB2312" w:hAnsi="仿宋_GB2312" w:eastAsia="仿宋_GB2312" w:cs="仿宋_GB2312"/>
          <w:sz w:val="32"/>
          <w:szCs w:val="32"/>
          <w:lang w:eastAsia="zh-CN"/>
        </w:rPr>
        <w:t>水泥</w:t>
      </w:r>
      <w:r>
        <w:rPr>
          <w:rFonts w:hint="eastAsia" w:ascii="仿宋_GB2312" w:hAnsi="仿宋_GB2312" w:eastAsia="仿宋_GB2312" w:cs="仿宋_GB2312"/>
          <w:sz w:val="32"/>
          <w:szCs w:val="32"/>
        </w:rPr>
        <w:t>、制备烧结砖、制备发泡陶瓷、</w:t>
      </w:r>
      <w:r>
        <w:rPr>
          <w:rFonts w:hint="eastAsia" w:ascii="仿宋_GB2312" w:hAnsi="仿宋_GB2312" w:eastAsia="仿宋_GB2312" w:cs="仿宋_GB2312"/>
          <w:sz w:val="32"/>
          <w:szCs w:val="32"/>
          <w:lang w:val="en-US" w:eastAsia="zh-CN"/>
        </w:rPr>
        <w:t>制备无机保温材料等</w:t>
      </w:r>
      <w:r>
        <w:rPr>
          <w:rFonts w:hint="eastAsia" w:ascii="仿宋_GB2312" w:hAnsi="仿宋_GB2312" w:eastAsia="仿宋_GB2312" w:cs="仿宋_GB2312"/>
          <w:sz w:val="32"/>
          <w:szCs w:val="32"/>
        </w:rPr>
        <w:t>领域，不断加强先进技术的研究、拓宽招商引资范围、增大先进技术的推广力度取得了一定的成绩</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3" w:firstLineChars="200"/>
        <w:jc w:val="both"/>
        <w:textAlignment w:val="auto"/>
        <w:outlineLvl w:val="0"/>
        <w:rPr>
          <w:rFonts w:hint="default" w:ascii="仿宋_GB2312" w:hAnsi="仿宋_GB2312" w:eastAsia="仿宋_GB2312" w:cs="仿宋_GB2312"/>
          <w:b/>
          <w:bCs/>
          <w:color w:val="000000"/>
          <w:kern w:val="0"/>
          <w:sz w:val="32"/>
          <w:szCs w:val="32"/>
          <w:lang w:val="en-US" w:eastAsia="zh-CN" w:bidi="ar"/>
        </w:rPr>
      </w:pPr>
      <w:bookmarkStart w:id="11" w:name="_Toc31283"/>
      <w:r>
        <w:rPr>
          <w:rFonts w:hint="eastAsia" w:ascii="楷体_GB2312" w:hAnsi="楷体_GB2312" w:eastAsia="楷体_GB2312" w:cs="楷体_GB2312"/>
          <w:b/>
          <w:bCs/>
          <w:color w:val="000000"/>
          <w:kern w:val="0"/>
          <w:sz w:val="32"/>
          <w:szCs w:val="32"/>
          <w:lang w:val="en-US" w:eastAsia="zh-CN" w:bidi="ar"/>
        </w:rPr>
        <w:t>三、发展环境</w:t>
      </w:r>
      <w:bookmarkEnd w:id="11"/>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12" w:name="_Toc3148"/>
      <w:r>
        <w:rPr>
          <w:rFonts w:hint="eastAsia" w:ascii="仿宋_GB2312" w:hAnsi="仿宋_GB2312" w:eastAsia="仿宋_GB2312" w:cs="仿宋_GB2312"/>
          <w:b/>
          <w:bCs/>
          <w:color w:val="000000"/>
          <w:kern w:val="0"/>
          <w:sz w:val="32"/>
          <w:szCs w:val="32"/>
          <w:lang w:val="en-US" w:eastAsia="zh-CN" w:bidi="ar"/>
        </w:rPr>
        <w:t>（一）国内外发展环境</w:t>
      </w:r>
      <w:bookmarkEnd w:id="12"/>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从国外看，</w:t>
      </w:r>
      <w:r>
        <w:rPr>
          <w:rFonts w:hint="eastAsia" w:ascii="仿宋_GB2312" w:hAnsi="仿宋_GB2312" w:eastAsia="仿宋_GB2312" w:cs="仿宋_GB2312"/>
          <w:color w:val="000000"/>
          <w:kern w:val="0"/>
          <w:sz w:val="32"/>
          <w:szCs w:val="32"/>
          <w:lang w:val="en-US" w:eastAsia="zh-CN" w:bidi="ar"/>
        </w:rPr>
        <w:t>国外煤矸石利用最早始于第二次世界大战前，直到20世纪60年代后期才真正引起各国的重视。当前国外煤矸石综合利用的发展在工艺选择上坚持节能降耗，在产品性能上大力生产轻质、高强产品。截至目前为止，在众多研究中最成功的方法是生物复田，应用最广泛、最普遍的是利用煤矸石制作节能建材，充当</w:t>
      </w:r>
      <w:r>
        <w:rPr>
          <w:rFonts w:hint="default" w:ascii="仿宋_GB2312" w:hAnsi="仿宋_GB2312" w:eastAsia="仿宋_GB2312" w:cs="仿宋_GB2312"/>
          <w:color w:val="000000"/>
          <w:kern w:val="0"/>
          <w:sz w:val="32"/>
          <w:szCs w:val="32"/>
          <w:lang w:val="en-US" w:eastAsia="zh-CN" w:bidi="ar"/>
        </w:rPr>
        <w:t>公路、填坝和其他土建工程的填充物</w:t>
      </w:r>
      <w:r>
        <w:rPr>
          <w:rFonts w:hint="eastAsia" w:ascii="仿宋_GB2312" w:hAnsi="仿宋_GB2312" w:eastAsia="仿宋_GB2312" w:cs="仿宋_GB2312"/>
          <w:color w:val="000000"/>
          <w:kern w:val="0"/>
          <w:sz w:val="32"/>
          <w:szCs w:val="32"/>
          <w:lang w:val="en-US" w:eastAsia="zh-CN" w:bidi="ar"/>
        </w:rPr>
        <w:t>。</w:t>
      </w:r>
      <w:r>
        <w:rPr>
          <w:rFonts w:hint="default" w:ascii="仿宋_GB2312" w:hAnsi="仿宋_GB2312" w:eastAsia="仿宋_GB2312" w:cs="仿宋_GB2312"/>
          <w:color w:val="000000"/>
          <w:kern w:val="0"/>
          <w:sz w:val="32"/>
          <w:szCs w:val="32"/>
          <w:lang w:val="en-US" w:eastAsia="zh-CN" w:bidi="ar"/>
        </w:rPr>
        <w:t>国外还报道了英、波、比、俄、日等国用煤矸石代替部分黏土生产水泥，取得了节煤、降低成本等效果。</w:t>
      </w:r>
      <w:r>
        <w:rPr>
          <w:rFonts w:hint="eastAsia" w:ascii="仿宋_GB2312" w:hAnsi="仿宋_GB2312" w:eastAsia="仿宋_GB2312" w:cs="仿宋_GB2312"/>
          <w:color w:val="000000"/>
          <w:kern w:val="0"/>
          <w:sz w:val="32"/>
          <w:szCs w:val="32"/>
          <w:lang w:val="en-US" w:eastAsia="zh-CN" w:bidi="ar"/>
        </w:rPr>
        <w:t>目前，以美国、英国为代表的西方国家煤矸石总综合利用率已经突破90%。</w:t>
      </w:r>
    </w:p>
    <w:p>
      <w:pPr>
        <w:keepNext w:val="0"/>
        <w:keepLines w:val="0"/>
        <w:numPr>
          <w:ilvl w:val="0"/>
          <w:numId w:val="0"/>
        </w:numPr>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从国内看，</w:t>
      </w:r>
      <w:r>
        <w:rPr>
          <w:rFonts w:hint="eastAsia" w:ascii="仿宋_GB2312" w:hAnsi="仿宋_GB2312" w:eastAsia="仿宋_GB2312" w:cs="仿宋_GB2312"/>
          <w:color w:val="000000"/>
          <w:kern w:val="0"/>
          <w:sz w:val="32"/>
          <w:szCs w:val="32"/>
          <w:lang w:val="en-US" w:eastAsia="zh-CN" w:bidi="ar"/>
        </w:rPr>
        <w:t>我国煤矸石资源丰富，</w:t>
      </w:r>
      <w:r>
        <w:rPr>
          <w:rFonts w:hint="default" w:ascii="仿宋_GB2312" w:hAnsi="仿宋_GB2312" w:eastAsia="仿宋_GB2312" w:cs="仿宋_GB2312"/>
          <w:color w:val="000000"/>
          <w:kern w:val="0"/>
          <w:sz w:val="32"/>
          <w:szCs w:val="32"/>
          <w:lang w:val="en-US" w:eastAsia="zh-CN" w:bidi="ar"/>
        </w:rPr>
        <w:t>从70年代起</w:t>
      </w:r>
      <w:r>
        <w:rPr>
          <w:rFonts w:hint="eastAsia" w:ascii="仿宋_GB2312" w:hAnsi="仿宋_GB2312" w:eastAsia="仿宋_GB2312" w:cs="仿宋_GB2312"/>
          <w:color w:val="000000"/>
          <w:kern w:val="0"/>
          <w:sz w:val="32"/>
          <w:szCs w:val="32"/>
          <w:lang w:val="en-US" w:eastAsia="zh-CN" w:bidi="ar"/>
        </w:rPr>
        <w:t>，我国就</w:t>
      </w:r>
      <w:r>
        <w:rPr>
          <w:rFonts w:hint="default" w:ascii="仿宋_GB2312" w:hAnsi="仿宋_GB2312" w:eastAsia="仿宋_GB2312" w:cs="仿宋_GB2312"/>
          <w:color w:val="000000"/>
          <w:kern w:val="0"/>
          <w:sz w:val="32"/>
          <w:szCs w:val="32"/>
          <w:lang w:val="en-US" w:eastAsia="zh-CN" w:bidi="ar"/>
        </w:rPr>
        <w:t>开展了煤矸石综合利用工作，</w:t>
      </w:r>
      <w:r>
        <w:rPr>
          <w:rFonts w:hint="eastAsia" w:ascii="仿宋_GB2312" w:hAnsi="仿宋_GB2312" w:eastAsia="仿宋_GB2312" w:cs="仿宋_GB2312"/>
          <w:color w:val="000000"/>
          <w:kern w:val="0"/>
          <w:sz w:val="32"/>
          <w:szCs w:val="32"/>
          <w:lang w:val="en-US" w:eastAsia="zh-CN" w:bidi="ar"/>
        </w:rPr>
        <w:t>先后出台了各项政策支持煤矸石综合利用产业发展。目前，</w:t>
      </w:r>
      <w:r>
        <w:rPr>
          <w:rFonts w:hint="default" w:ascii="仿宋_GB2312" w:hAnsi="仿宋_GB2312" w:eastAsia="仿宋_GB2312" w:cs="仿宋_GB2312"/>
          <w:color w:val="000000"/>
          <w:kern w:val="0"/>
          <w:sz w:val="32"/>
          <w:szCs w:val="32"/>
          <w:lang w:val="en-US" w:eastAsia="zh-CN" w:bidi="ar"/>
        </w:rPr>
        <w:t>我国煤矸石</w:t>
      </w:r>
      <w:r>
        <w:rPr>
          <w:rFonts w:hint="eastAsia" w:ascii="仿宋_GB2312" w:hAnsi="仿宋_GB2312" w:eastAsia="仿宋_GB2312" w:cs="仿宋_GB2312"/>
          <w:color w:val="000000"/>
          <w:kern w:val="0"/>
          <w:sz w:val="32"/>
          <w:szCs w:val="32"/>
          <w:lang w:val="en-US" w:eastAsia="zh-CN" w:bidi="ar"/>
        </w:rPr>
        <w:t>综合</w:t>
      </w:r>
      <w:r>
        <w:rPr>
          <w:rFonts w:hint="default" w:ascii="仿宋_GB2312" w:hAnsi="仿宋_GB2312" w:eastAsia="仿宋_GB2312" w:cs="仿宋_GB2312"/>
          <w:color w:val="000000"/>
          <w:kern w:val="0"/>
          <w:sz w:val="32"/>
          <w:szCs w:val="32"/>
          <w:lang w:val="en-US" w:eastAsia="zh-CN" w:bidi="ar"/>
        </w:rPr>
        <w:t>利用的主要途径有：</w:t>
      </w:r>
      <w:r>
        <w:rPr>
          <w:rFonts w:hint="eastAsia" w:ascii="仿宋_GB2312" w:hAnsi="仿宋_GB2312" w:eastAsia="仿宋_GB2312" w:cs="仿宋_GB2312"/>
          <w:color w:val="000000"/>
          <w:kern w:val="0"/>
          <w:sz w:val="32"/>
          <w:szCs w:val="32"/>
          <w:lang w:val="en-US" w:eastAsia="zh-CN" w:bidi="ar"/>
        </w:rPr>
        <w:t>煤矸石</w:t>
      </w:r>
      <w:r>
        <w:rPr>
          <w:rFonts w:hint="default" w:ascii="仿宋_GB2312" w:hAnsi="仿宋_GB2312" w:eastAsia="仿宋_GB2312" w:cs="仿宋_GB2312"/>
          <w:color w:val="000000"/>
          <w:kern w:val="0"/>
          <w:sz w:val="32"/>
          <w:szCs w:val="32"/>
          <w:lang w:val="en-US" w:eastAsia="zh-CN" w:bidi="ar"/>
        </w:rPr>
        <w:t>生产化工产品</w:t>
      </w:r>
      <w:r>
        <w:rPr>
          <w:rFonts w:hint="eastAsia" w:ascii="仿宋_GB2312" w:hAnsi="仿宋_GB2312" w:eastAsia="仿宋_GB2312" w:cs="仿宋_GB2312"/>
          <w:color w:val="000000"/>
          <w:kern w:val="0"/>
          <w:sz w:val="32"/>
          <w:szCs w:val="32"/>
          <w:lang w:val="en-US" w:eastAsia="zh-CN" w:bidi="ar"/>
        </w:rPr>
        <w:t>、煤矸石生产有机复合肥料、煤矸石发电、煤矸石制作绿色</w:t>
      </w:r>
      <w:r>
        <w:rPr>
          <w:rFonts w:hint="default" w:ascii="仿宋_GB2312" w:hAnsi="仿宋_GB2312" w:eastAsia="仿宋_GB2312" w:cs="仿宋_GB2312"/>
          <w:color w:val="000000"/>
          <w:kern w:val="0"/>
          <w:sz w:val="32"/>
          <w:szCs w:val="32"/>
          <w:lang w:val="en-US" w:eastAsia="zh-CN" w:bidi="ar"/>
        </w:rPr>
        <w:t>水泥</w:t>
      </w:r>
      <w:r>
        <w:rPr>
          <w:rFonts w:hint="eastAsia" w:ascii="仿宋_GB2312" w:hAnsi="仿宋_GB2312" w:eastAsia="仿宋_GB2312" w:cs="仿宋_GB2312"/>
          <w:color w:val="000000"/>
          <w:kern w:val="0"/>
          <w:sz w:val="32"/>
          <w:szCs w:val="32"/>
          <w:lang w:val="en-US" w:eastAsia="zh-CN" w:bidi="ar"/>
        </w:rPr>
        <w:t>、煤矸石制作</w:t>
      </w:r>
      <w:r>
        <w:rPr>
          <w:rFonts w:hint="default" w:ascii="仿宋_GB2312" w:hAnsi="仿宋_GB2312" w:eastAsia="仿宋_GB2312" w:cs="仿宋_GB2312"/>
          <w:color w:val="000000"/>
          <w:kern w:val="0"/>
          <w:sz w:val="32"/>
          <w:szCs w:val="32"/>
          <w:lang w:val="en-US" w:eastAsia="zh-CN" w:bidi="ar"/>
        </w:rPr>
        <w:t>轻集料和新型墙体材料</w:t>
      </w:r>
      <w:r>
        <w:rPr>
          <w:rFonts w:hint="eastAsia" w:ascii="仿宋_GB2312" w:hAnsi="仿宋_GB2312" w:eastAsia="仿宋_GB2312" w:cs="仿宋_GB2312"/>
          <w:color w:val="000000"/>
          <w:kern w:val="0"/>
          <w:sz w:val="32"/>
          <w:szCs w:val="32"/>
          <w:lang w:val="en-US" w:eastAsia="zh-CN" w:bidi="ar"/>
        </w:rPr>
        <w:t>、煤矸石</w:t>
      </w:r>
      <w:r>
        <w:rPr>
          <w:rFonts w:hint="default" w:ascii="仿宋_GB2312" w:hAnsi="仿宋_GB2312" w:eastAsia="仿宋_GB2312" w:cs="仿宋_GB2312"/>
          <w:color w:val="000000"/>
          <w:kern w:val="0"/>
          <w:sz w:val="32"/>
          <w:szCs w:val="32"/>
          <w:lang w:val="en-US" w:eastAsia="zh-CN" w:bidi="ar"/>
        </w:rPr>
        <w:t>做筑路和填充材料</w:t>
      </w:r>
      <w:r>
        <w:rPr>
          <w:rFonts w:hint="eastAsia" w:ascii="仿宋_GB2312" w:hAnsi="仿宋_GB2312" w:eastAsia="仿宋_GB2312" w:cs="仿宋_GB2312"/>
          <w:color w:val="000000"/>
          <w:kern w:val="0"/>
          <w:sz w:val="32"/>
          <w:szCs w:val="32"/>
          <w:lang w:val="en-US" w:eastAsia="zh-CN" w:bidi="ar"/>
        </w:rPr>
        <w:t>等。与国际水平相比，国内煤矸石综合利用产业发展</w:t>
      </w:r>
      <w:r>
        <w:rPr>
          <w:rFonts w:hint="default" w:ascii="仿宋_GB2312" w:hAnsi="仿宋_GB2312" w:eastAsia="仿宋_GB2312" w:cs="仿宋_GB2312"/>
          <w:color w:val="000000"/>
          <w:kern w:val="0"/>
          <w:sz w:val="32"/>
          <w:szCs w:val="32"/>
          <w:lang w:val="en-US" w:eastAsia="zh-CN" w:bidi="ar"/>
        </w:rPr>
        <w:t>受资源禀赋、能源结构、发展阶段等因素影响，</w:t>
      </w:r>
      <w:r>
        <w:rPr>
          <w:rFonts w:hint="eastAsia" w:ascii="仿宋_GB2312" w:hAnsi="仿宋_GB2312" w:eastAsia="仿宋_GB2312" w:cs="仿宋_GB2312"/>
          <w:color w:val="000000"/>
          <w:kern w:val="0"/>
          <w:sz w:val="32"/>
          <w:szCs w:val="32"/>
          <w:lang w:val="en-US" w:eastAsia="zh-CN" w:bidi="ar"/>
        </w:rPr>
        <w:t>面临固废产生强度高、综合利用率低、产品附加值不高、产业发展节能降耗环保的严峻挑战。“十四五”期间，我国</w:t>
      </w:r>
      <w:r>
        <w:rPr>
          <w:rFonts w:hint="default" w:ascii="仿宋_GB2312" w:hAnsi="仿宋_GB2312" w:eastAsia="仿宋_GB2312" w:cs="仿宋_GB2312"/>
          <w:color w:val="000000"/>
          <w:kern w:val="0"/>
          <w:sz w:val="32"/>
          <w:szCs w:val="32"/>
          <w:lang w:val="en-US" w:eastAsia="zh-CN" w:bidi="ar"/>
        </w:rPr>
        <w:t>加强煤矸石综合利用的政策引导和顶层设计</w:t>
      </w:r>
      <w:r>
        <w:rPr>
          <w:rFonts w:hint="eastAsia" w:ascii="仿宋_GB2312" w:hAnsi="仿宋_GB2312" w:eastAsia="仿宋_GB2312" w:cs="仿宋_GB2312"/>
          <w:color w:val="000000"/>
          <w:kern w:val="0"/>
          <w:sz w:val="32"/>
          <w:szCs w:val="32"/>
          <w:lang w:val="en-US" w:eastAsia="zh-CN" w:bidi="ar"/>
        </w:rPr>
        <w:t>，国家高度重视产业发展，未来</w:t>
      </w:r>
      <w:r>
        <w:rPr>
          <w:rFonts w:hint="default" w:ascii="仿宋_GB2312" w:hAnsi="仿宋_GB2312" w:eastAsia="仿宋_GB2312" w:cs="仿宋_GB2312"/>
          <w:color w:val="000000"/>
          <w:kern w:val="0"/>
          <w:sz w:val="32"/>
          <w:szCs w:val="32"/>
          <w:lang w:val="en-US" w:eastAsia="zh-CN" w:bidi="ar"/>
        </w:rPr>
        <w:t>我国大宗固废</w:t>
      </w:r>
      <w:r>
        <w:rPr>
          <w:rFonts w:hint="eastAsia" w:ascii="仿宋_GB2312" w:hAnsi="仿宋_GB2312" w:eastAsia="仿宋_GB2312" w:cs="仿宋_GB2312"/>
          <w:color w:val="000000"/>
          <w:kern w:val="0"/>
          <w:sz w:val="32"/>
          <w:szCs w:val="32"/>
          <w:lang w:val="en-US" w:eastAsia="zh-CN" w:bidi="ar"/>
        </w:rPr>
        <w:t>产业发展前景广阔。</w:t>
      </w:r>
    </w:p>
    <w:p>
      <w:pPr>
        <w:keepNext w:val="0"/>
        <w:keepLines w:val="0"/>
        <w:numPr>
          <w:ilvl w:val="0"/>
          <w:numId w:val="0"/>
        </w:numPr>
        <w:kinsoku/>
        <w:wordWrap/>
        <w:overflowPunct/>
        <w:topLinePunct w:val="0"/>
        <w:autoSpaceDE/>
        <w:autoSpaceDN/>
        <w:bidi w:val="0"/>
        <w:spacing w:line="360" w:lineRule="auto"/>
        <w:ind w:left="0" w:leftChars="0" w:firstLine="643" w:firstLineChars="200"/>
        <w:jc w:val="both"/>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从辽宁看，</w:t>
      </w:r>
      <w:r>
        <w:rPr>
          <w:rFonts w:hint="eastAsia" w:ascii="仿宋_GB2312" w:hAnsi="仿宋_GB2312" w:eastAsia="仿宋_GB2312" w:cs="仿宋_GB2312"/>
          <w:color w:val="000000"/>
          <w:kern w:val="0"/>
          <w:sz w:val="32"/>
          <w:szCs w:val="32"/>
          <w:lang w:val="en-US" w:eastAsia="zh-CN" w:bidi="ar"/>
        </w:rPr>
        <w:t>为促进煤矸石资源化利用产业的发展，切实解决煤炭资源型城市及大型煤炭企业煤矸石等固废处理难题，促进地方产业集聚式高质量绿色循环可持续发展，辽宁省重点开发废弃物等资源化利用技术，建立发展循环经济的技术示范模式，创立辽宁省煤矸石资源化利用与节能建材重点实验室，开展资源化利用领域前沿技术和共性关键技术研究。以煤矸石的“减量化、资源化、无害化”为原则，在“煤矸石处理与节能建材”“煤矸石制备装配式建筑”“煤矸石村镇房屋节能建筑”“煤矸石矿山充填技术”“煤矸石路基材料循环利用”及“煤矸石发电”等方向的基础理论、技术创新和产业化方面取得了一批创新性成果。制定政策措施，实施专项行动，促进大宗固废实现绿色、高效、高质、高值、规模化利用。</w:t>
      </w:r>
    </w:p>
    <w:p>
      <w:pPr>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1"/>
        <w:rPr>
          <w:rFonts w:hint="default" w:ascii="仿宋_GB2312" w:hAnsi="仿宋_GB2312" w:eastAsia="仿宋_GB2312" w:cs="仿宋_GB2312"/>
          <w:b/>
          <w:bCs/>
          <w:color w:val="000000"/>
          <w:kern w:val="0"/>
          <w:sz w:val="32"/>
          <w:szCs w:val="32"/>
          <w:lang w:val="en-US" w:eastAsia="zh-CN" w:bidi="ar"/>
        </w:rPr>
      </w:pPr>
      <w:bookmarkStart w:id="13" w:name="_Toc13112"/>
      <w:r>
        <w:rPr>
          <w:rFonts w:hint="eastAsia" w:ascii="仿宋_GB2312" w:hAnsi="仿宋_GB2312" w:eastAsia="仿宋_GB2312" w:cs="仿宋_GB2312"/>
          <w:b/>
          <w:bCs/>
          <w:color w:val="000000"/>
          <w:kern w:val="0"/>
          <w:sz w:val="32"/>
          <w:szCs w:val="32"/>
          <w:lang w:val="en-US" w:eastAsia="zh-CN" w:bidi="ar"/>
        </w:rPr>
        <w:t>（二）抚顺市发展环境</w:t>
      </w:r>
      <w:bookmarkEnd w:id="13"/>
    </w:p>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643"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从机遇看，一是</w:t>
      </w:r>
      <w:r>
        <w:rPr>
          <w:rFonts w:hint="eastAsia" w:ascii="仿宋_GB2312" w:hAnsi="仿宋_GB2312" w:eastAsia="仿宋_GB2312" w:cs="仿宋_GB2312"/>
          <w:b w:val="0"/>
          <w:bCs w:val="0"/>
          <w:color w:val="000000"/>
          <w:kern w:val="0"/>
          <w:sz w:val="32"/>
          <w:szCs w:val="32"/>
          <w:lang w:val="en-US" w:eastAsia="zh-CN" w:bidi="ar"/>
        </w:rPr>
        <w:t>抚顺市委市政府高度重视产业发展。积极向上争取产业发展利好政策、资金支持，在全省率先成立抚顺固体废弃物产业技术研究院，开展大宗固体废弃物产业基地建设，为抚顺的的煤矸石利用企业创造良好发展条件。</w:t>
      </w:r>
      <w:r>
        <w:rPr>
          <w:rFonts w:hint="eastAsia" w:ascii="仿宋_GB2312" w:hAnsi="仿宋_GB2312" w:eastAsia="仿宋_GB2312" w:cs="仿宋_GB2312"/>
          <w:b/>
          <w:bCs/>
          <w:color w:val="000000"/>
          <w:kern w:val="0"/>
          <w:sz w:val="32"/>
          <w:szCs w:val="32"/>
          <w:lang w:val="en-US" w:eastAsia="zh-CN" w:bidi="ar"/>
        </w:rPr>
        <w:t>二是</w:t>
      </w:r>
      <w:r>
        <w:rPr>
          <w:rFonts w:hint="eastAsia" w:ascii="仿宋_GB2312" w:hAnsi="仿宋_GB2312" w:eastAsia="仿宋_GB2312" w:cs="仿宋_GB2312"/>
          <w:color w:val="000000"/>
          <w:kern w:val="0"/>
          <w:sz w:val="32"/>
          <w:szCs w:val="32"/>
          <w:lang w:val="en-US" w:eastAsia="zh-CN" w:bidi="ar"/>
        </w:rPr>
        <w:t>区域融合发展优势明显。</w:t>
      </w:r>
      <w:r>
        <w:rPr>
          <w:rFonts w:hint="eastAsia" w:ascii="Times New Roman" w:hAnsi="Times New Roman" w:eastAsia="仿宋_GB2312" w:cs="Times New Roman"/>
          <w:color w:val="auto"/>
          <w:kern w:val="2"/>
          <w:sz w:val="32"/>
          <w:szCs w:val="32"/>
          <w:highlight w:val="none"/>
          <w:lang w:val="en-US" w:eastAsia="zh-CN" w:bidi="ar-SA"/>
        </w:rPr>
        <w:t>抚顺市</w:t>
      </w:r>
      <w:r>
        <w:rPr>
          <w:rFonts w:hint="eastAsia" w:eastAsia="仿宋_GB2312" w:cs="Times New Roman"/>
          <w:color w:val="auto"/>
          <w:kern w:val="2"/>
          <w:sz w:val="32"/>
          <w:szCs w:val="32"/>
          <w:highlight w:val="none"/>
          <w:lang w:val="en-US" w:eastAsia="zh-CN" w:bidi="ar-SA"/>
        </w:rPr>
        <w:t>主动</w:t>
      </w:r>
      <w:r>
        <w:rPr>
          <w:rFonts w:hint="eastAsia" w:ascii="Times New Roman" w:hAnsi="Times New Roman" w:eastAsia="仿宋_GB2312" w:cs="Times New Roman"/>
          <w:color w:val="auto"/>
          <w:kern w:val="2"/>
          <w:sz w:val="32"/>
          <w:szCs w:val="32"/>
          <w:highlight w:val="none"/>
          <w:lang w:val="en-US" w:eastAsia="zh-CN" w:bidi="ar-SA"/>
        </w:rPr>
        <w:t>提出深度融入沈阳</w:t>
      </w:r>
      <w:r>
        <w:rPr>
          <w:rFonts w:hint="eastAsia" w:eastAsia="仿宋_GB2312" w:cs="Times New Roman"/>
          <w:color w:val="auto"/>
          <w:kern w:val="2"/>
          <w:sz w:val="32"/>
          <w:szCs w:val="32"/>
          <w:highlight w:val="none"/>
          <w:lang w:val="en-US" w:eastAsia="zh-CN" w:bidi="ar-SA"/>
        </w:rPr>
        <w:t>现代化都市圈建设</w:t>
      </w:r>
      <w:r>
        <w:rPr>
          <w:rFonts w:hint="eastAsia" w:ascii="Times New Roman" w:hAnsi="Times New Roman" w:eastAsia="仿宋_GB2312" w:cs="Times New Roman"/>
          <w:color w:val="auto"/>
          <w:kern w:val="2"/>
          <w:sz w:val="32"/>
          <w:szCs w:val="32"/>
          <w:highlight w:val="none"/>
          <w:lang w:val="en-US" w:eastAsia="zh-CN" w:bidi="ar-SA"/>
        </w:rPr>
        <w:t>、沈抚</w:t>
      </w:r>
      <w:r>
        <w:rPr>
          <w:rFonts w:hint="eastAsia" w:eastAsia="仿宋_GB2312" w:cs="Times New Roman"/>
          <w:color w:val="auto"/>
          <w:kern w:val="2"/>
          <w:sz w:val="32"/>
          <w:szCs w:val="32"/>
          <w:highlight w:val="none"/>
          <w:lang w:val="en-US" w:eastAsia="zh-CN" w:bidi="ar-SA"/>
        </w:rPr>
        <w:t>示范</w:t>
      </w:r>
      <w:r>
        <w:rPr>
          <w:rFonts w:hint="eastAsia" w:ascii="Times New Roman" w:hAnsi="Times New Roman" w:eastAsia="仿宋_GB2312" w:cs="Times New Roman"/>
          <w:color w:val="auto"/>
          <w:kern w:val="2"/>
          <w:sz w:val="32"/>
          <w:szCs w:val="32"/>
          <w:highlight w:val="none"/>
          <w:lang w:val="en-US" w:eastAsia="zh-CN" w:bidi="ar-SA"/>
        </w:rPr>
        <w:t>区</w:t>
      </w:r>
      <w:r>
        <w:rPr>
          <w:rFonts w:hint="eastAsia" w:eastAsia="仿宋_GB2312" w:cs="Times New Roman"/>
          <w:color w:val="auto"/>
          <w:kern w:val="2"/>
          <w:sz w:val="32"/>
          <w:szCs w:val="32"/>
          <w:highlight w:val="none"/>
          <w:lang w:val="en-US" w:eastAsia="zh-CN" w:bidi="ar-SA"/>
        </w:rPr>
        <w:t>改革创新</w:t>
      </w:r>
      <w:r>
        <w:rPr>
          <w:rFonts w:hint="eastAsia" w:ascii="Times New Roman" w:hAnsi="Times New Roman" w:eastAsia="仿宋_GB2312" w:cs="Times New Roman"/>
          <w:color w:val="auto"/>
          <w:kern w:val="2"/>
          <w:sz w:val="32"/>
          <w:szCs w:val="32"/>
          <w:highlight w:val="none"/>
          <w:lang w:val="en-US" w:eastAsia="zh-CN" w:bidi="ar-SA"/>
        </w:rPr>
        <w:t>发展</w:t>
      </w:r>
      <w:r>
        <w:rPr>
          <w:rFonts w:hint="eastAsia" w:eastAsia="仿宋_GB2312" w:cs="Times New Roman"/>
          <w:color w:val="auto"/>
          <w:kern w:val="2"/>
          <w:sz w:val="32"/>
          <w:szCs w:val="32"/>
          <w:highlight w:val="none"/>
          <w:lang w:val="en-US" w:eastAsia="zh-CN" w:bidi="ar-SA"/>
        </w:rPr>
        <w:t>中</w:t>
      </w:r>
      <w:r>
        <w:rPr>
          <w:rFonts w:hint="eastAsia" w:ascii="Times New Roman" w:hAnsi="Times New Roman" w:eastAsia="仿宋_GB2312" w:cs="Times New Roman"/>
          <w:color w:val="auto"/>
          <w:kern w:val="2"/>
          <w:sz w:val="32"/>
          <w:szCs w:val="32"/>
          <w:highlight w:val="none"/>
          <w:lang w:val="en-US" w:eastAsia="zh-CN" w:bidi="ar-SA"/>
        </w:rPr>
        <w:t>，顺应区域融合联动发展大势，</w:t>
      </w:r>
      <w:r>
        <w:rPr>
          <w:rFonts w:hint="eastAsia" w:eastAsia="仿宋_GB2312" w:cs="Times New Roman"/>
          <w:color w:val="auto"/>
          <w:kern w:val="2"/>
          <w:sz w:val="32"/>
          <w:szCs w:val="32"/>
          <w:highlight w:val="none"/>
          <w:lang w:val="en-US" w:eastAsia="zh-CN" w:bidi="ar-SA"/>
        </w:rPr>
        <w:t>可成为沈阳经济一体化建设中绿色节能建筑材料、装配式建筑、</w:t>
      </w:r>
      <w:r>
        <w:rPr>
          <w:rFonts w:hint="default" w:ascii="仿宋_GB2312" w:hAnsi="仿宋_GB2312" w:eastAsia="仿宋_GB2312" w:cs="仿宋_GB2312"/>
          <w:color w:val="000000"/>
          <w:kern w:val="0"/>
          <w:sz w:val="32"/>
          <w:szCs w:val="32"/>
          <w:lang w:val="en-US" w:eastAsia="zh-CN" w:bidi="ar"/>
        </w:rPr>
        <w:t>工业</w:t>
      </w:r>
      <w:r>
        <w:rPr>
          <w:rFonts w:hint="eastAsia" w:ascii="仿宋_GB2312" w:hAnsi="仿宋_GB2312" w:eastAsia="仿宋_GB2312" w:cs="仿宋_GB2312"/>
          <w:color w:val="000000"/>
          <w:kern w:val="0"/>
          <w:sz w:val="32"/>
          <w:szCs w:val="32"/>
          <w:lang w:val="en-US" w:eastAsia="zh-CN" w:bidi="ar"/>
        </w:rPr>
        <w:t>净水材料、生物有机肥料、砂石骨料的生产基地。</w:t>
      </w:r>
      <w:r>
        <w:rPr>
          <w:rFonts w:hint="eastAsia" w:ascii="仿宋_GB2312" w:hAnsi="仿宋_GB2312" w:eastAsia="仿宋_GB2312" w:cs="仿宋_GB2312"/>
          <w:b/>
          <w:bCs/>
          <w:color w:val="000000"/>
          <w:kern w:val="0"/>
          <w:sz w:val="32"/>
          <w:szCs w:val="32"/>
          <w:lang w:val="en-US" w:eastAsia="zh-CN" w:bidi="ar"/>
        </w:rPr>
        <w:t>三是</w:t>
      </w:r>
      <w:r>
        <w:rPr>
          <w:rFonts w:hint="eastAsia" w:ascii="仿宋_GB2312" w:hAnsi="仿宋_GB2312" w:eastAsia="仿宋_GB2312" w:cs="仿宋_GB2312"/>
          <w:color w:val="000000"/>
          <w:kern w:val="0"/>
          <w:sz w:val="32"/>
          <w:szCs w:val="32"/>
          <w:lang w:val="en-US" w:eastAsia="zh-CN" w:bidi="ar"/>
        </w:rPr>
        <w:t>煤矸石资源丰富。抚顺</w:t>
      </w:r>
      <w:r>
        <w:rPr>
          <w:rFonts w:hint="default" w:ascii="仿宋_GB2312" w:hAnsi="仿宋_GB2312" w:eastAsia="仿宋_GB2312" w:cs="仿宋_GB2312"/>
          <w:color w:val="000000"/>
          <w:kern w:val="0"/>
          <w:sz w:val="32"/>
          <w:szCs w:val="32"/>
          <w:lang w:val="en-US" w:eastAsia="zh-CN" w:bidi="ar"/>
        </w:rPr>
        <w:t>煤矿百年开采形成了五座大</w:t>
      </w:r>
      <w:r>
        <w:rPr>
          <w:rFonts w:hint="eastAsia" w:ascii="仿宋_GB2312" w:hAnsi="仿宋_GB2312" w:eastAsia="仿宋_GB2312" w:cs="仿宋_GB2312"/>
          <w:color w:val="000000"/>
          <w:kern w:val="0"/>
          <w:sz w:val="32"/>
          <w:szCs w:val="32"/>
          <w:lang w:val="en-US" w:eastAsia="zh-CN" w:bidi="ar"/>
        </w:rPr>
        <w:t>型</w:t>
      </w:r>
      <w:r>
        <w:rPr>
          <w:rFonts w:hint="default" w:ascii="仿宋_GB2312" w:hAnsi="仿宋_GB2312" w:eastAsia="仿宋_GB2312" w:cs="仿宋_GB2312"/>
          <w:color w:val="000000"/>
          <w:kern w:val="0"/>
          <w:sz w:val="32"/>
          <w:szCs w:val="32"/>
          <w:lang w:val="en-US" w:eastAsia="zh-CN" w:bidi="ar"/>
        </w:rPr>
        <w:t>煤矸石堆放场，总占地面积约25平方公里</w:t>
      </w:r>
      <w:r>
        <w:rPr>
          <w:rFonts w:hint="eastAsia" w:ascii="仿宋_GB2312" w:hAnsi="仿宋_GB2312" w:eastAsia="仿宋_GB2312" w:cs="仿宋_GB2312"/>
          <w:color w:val="000000"/>
          <w:kern w:val="0"/>
          <w:sz w:val="32"/>
          <w:szCs w:val="32"/>
          <w:lang w:val="en-US" w:eastAsia="zh-CN" w:bidi="ar"/>
        </w:rPr>
        <w:t>，截至2020年末，抚顺</w:t>
      </w:r>
      <w:r>
        <w:rPr>
          <w:rFonts w:hint="default" w:ascii="仿宋_GB2312" w:hAnsi="仿宋_GB2312" w:eastAsia="仿宋_GB2312" w:cs="仿宋_GB2312"/>
          <w:color w:val="000000"/>
          <w:kern w:val="0"/>
          <w:sz w:val="32"/>
          <w:szCs w:val="32"/>
          <w:lang w:val="en-US" w:eastAsia="zh-CN" w:bidi="ar"/>
        </w:rPr>
        <w:t>煤矸石累计堆存量</w:t>
      </w:r>
      <w:r>
        <w:rPr>
          <w:rFonts w:hint="eastAsia" w:ascii="仿宋_GB2312" w:hAnsi="仿宋_GB2312" w:eastAsia="仿宋_GB2312" w:cs="仿宋_GB2312"/>
          <w:color w:val="000000"/>
          <w:kern w:val="0"/>
          <w:sz w:val="32"/>
          <w:szCs w:val="32"/>
          <w:lang w:val="en-US" w:eastAsia="zh-CN" w:bidi="ar"/>
        </w:rPr>
        <w:t>已达</w:t>
      </w:r>
      <w:r>
        <w:rPr>
          <w:rFonts w:hint="default" w:ascii="仿宋_GB2312" w:hAnsi="仿宋_GB2312" w:eastAsia="仿宋_GB2312" w:cs="仿宋_GB2312"/>
          <w:color w:val="000000"/>
          <w:kern w:val="0"/>
          <w:sz w:val="32"/>
          <w:szCs w:val="32"/>
          <w:lang w:val="en-US" w:eastAsia="zh-CN" w:bidi="ar"/>
        </w:rPr>
        <w:t>1.8</w:t>
      </w:r>
      <w:r>
        <w:rPr>
          <w:rFonts w:hint="eastAsia" w:ascii="仿宋_GB2312" w:hAnsi="仿宋_GB2312" w:eastAsia="仿宋_GB2312" w:cs="仿宋_GB2312"/>
          <w:color w:val="000000"/>
          <w:kern w:val="0"/>
          <w:sz w:val="32"/>
          <w:szCs w:val="32"/>
          <w:lang w:val="en-US" w:eastAsia="zh-CN" w:bidi="ar"/>
        </w:rPr>
        <w:t>亿吨，现在每年仍有大约</w:t>
      </w:r>
      <w:r>
        <w:rPr>
          <w:rFonts w:hint="default" w:ascii="仿宋_GB2312" w:hAnsi="仿宋_GB2312" w:eastAsia="仿宋_GB2312" w:cs="仿宋_GB2312"/>
          <w:color w:val="000000"/>
          <w:kern w:val="0"/>
          <w:sz w:val="32"/>
          <w:szCs w:val="32"/>
          <w:lang w:val="en-US" w:eastAsia="zh-CN" w:bidi="ar"/>
        </w:rPr>
        <w:t>26</w:t>
      </w:r>
      <w:r>
        <w:rPr>
          <w:rFonts w:hint="eastAsia" w:ascii="仿宋_GB2312" w:hAnsi="仿宋_GB2312" w:eastAsia="仿宋_GB2312" w:cs="仿宋_GB2312"/>
          <w:color w:val="000000"/>
          <w:kern w:val="0"/>
          <w:sz w:val="32"/>
          <w:szCs w:val="32"/>
          <w:lang w:val="en-US" w:eastAsia="zh-CN" w:bidi="ar"/>
        </w:rPr>
        <w:t>0</w:t>
      </w:r>
      <w:r>
        <w:rPr>
          <w:rFonts w:hint="default" w:ascii="仿宋_GB2312" w:hAnsi="仿宋_GB2312" w:eastAsia="仿宋_GB2312" w:cs="仿宋_GB2312"/>
          <w:color w:val="000000"/>
          <w:kern w:val="0"/>
          <w:sz w:val="32"/>
          <w:szCs w:val="32"/>
          <w:lang w:val="en-US" w:eastAsia="zh-CN" w:bidi="ar"/>
        </w:rPr>
        <w:t>万吨</w:t>
      </w:r>
      <w:r>
        <w:rPr>
          <w:rFonts w:hint="eastAsia" w:ascii="仿宋_GB2312" w:hAnsi="仿宋_GB2312" w:eastAsia="仿宋_GB2312" w:cs="仿宋_GB2312"/>
          <w:color w:val="000000"/>
          <w:kern w:val="0"/>
          <w:sz w:val="32"/>
          <w:szCs w:val="32"/>
          <w:lang w:val="en-US" w:eastAsia="zh-CN" w:bidi="ar"/>
        </w:rPr>
        <w:t>的煤矸石</w:t>
      </w:r>
      <w:r>
        <w:rPr>
          <w:rFonts w:hint="default" w:ascii="仿宋_GB2312" w:hAnsi="仿宋_GB2312" w:eastAsia="仿宋_GB2312" w:cs="仿宋_GB2312"/>
          <w:color w:val="000000"/>
          <w:kern w:val="0"/>
          <w:sz w:val="32"/>
          <w:szCs w:val="32"/>
          <w:lang w:val="en-US" w:eastAsia="zh-CN" w:bidi="ar"/>
        </w:rPr>
        <w:t>新</w:t>
      </w:r>
      <w:r>
        <w:rPr>
          <w:rFonts w:hint="eastAsia" w:ascii="仿宋_GB2312" w:hAnsi="仿宋_GB2312" w:eastAsia="仿宋_GB2312" w:cs="仿宋_GB2312"/>
          <w:color w:val="000000"/>
          <w:kern w:val="0"/>
          <w:sz w:val="32"/>
          <w:szCs w:val="32"/>
          <w:lang w:val="en-US" w:eastAsia="zh-CN" w:bidi="ar"/>
        </w:rPr>
        <w:t>增量，预计2025年煤矸石储量可达到1.95亿吨，为产业发展提供了丰富的资源支撑。</w:t>
      </w:r>
      <w:r>
        <w:rPr>
          <w:rFonts w:hint="eastAsia" w:ascii="仿宋_GB2312" w:hAnsi="仿宋_GB2312" w:eastAsia="仿宋_GB2312" w:cs="仿宋_GB2312"/>
          <w:b/>
          <w:bCs/>
          <w:color w:val="000000"/>
          <w:kern w:val="0"/>
          <w:sz w:val="32"/>
          <w:szCs w:val="32"/>
          <w:lang w:val="en-US" w:eastAsia="zh-CN" w:bidi="ar"/>
        </w:rPr>
        <w:t>四是</w:t>
      </w:r>
      <w:r>
        <w:rPr>
          <w:rFonts w:hint="eastAsia" w:ascii="仿宋_GB2312" w:hAnsi="仿宋_GB2312" w:eastAsia="仿宋_GB2312" w:cs="仿宋_GB2312"/>
          <w:color w:val="000000"/>
          <w:kern w:val="0"/>
          <w:sz w:val="32"/>
          <w:szCs w:val="32"/>
          <w:lang w:val="en-US" w:eastAsia="zh-CN" w:bidi="ar"/>
        </w:rPr>
        <w:t>煤矸石资源特性好。抚顺煤矸石的</w:t>
      </w:r>
      <w:r>
        <w:rPr>
          <w:rFonts w:hint="default" w:ascii="仿宋_GB2312" w:hAnsi="仿宋_GB2312" w:eastAsia="仿宋_GB2312" w:cs="仿宋_GB2312"/>
          <w:color w:val="000000"/>
          <w:kern w:val="0"/>
          <w:sz w:val="32"/>
          <w:szCs w:val="32"/>
          <w:lang w:val="en-US" w:eastAsia="zh-CN" w:bidi="ar"/>
        </w:rPr>
        <w:t>主要来源为露天剥离及巷道掘进过程产生的矸石</w:t>
      </w:r>
      <w:r>
        <w:rPr>
          <w:rFonts w:hint="eastAsia" w:ascii="仿宋_GB2312" w:hAnsi="仿宋_GB2312" w:eastAsia="仿宋_GB2312" w:cs="仿宋_GB2312"/>
          <w:color w:val="000000"/>
          <w:kern w:val="0"/>
          <w:sz w:val="32"/>
          <w:szCs w:val="32"/>
          <w:lang w:val="en-US" w:eastAsia="zh-CN" w:bidi="ar"/>
        </w:rPr>
        <w:t>、</w:t>
      </w:r>
      <w:r>
        <w:rPr>
          <w:rFonts w:hint="default" w:ascii="仿宋_GB2312" w:hAnsi="仿宋_GB2312" w:eastAsia="仿宋_GB2312" w:cs="仿宋_GB2312"/>
          <w:color w:val="000000"/>
          <w:kern w:val="0"/>
          <w:sz w:val="32"/>
          <w:szCs w:val="32"/>
          <w:lang w:val="en-US" w:eastAsia="zh-CN" w:bidi="ar"/>
        </w:rPr>
        <w:t>采煤和煤巷掘进过程中排出的普矸以及煤炭洗选过程产生的矸石</w:t>
      </w:r>
      <w:r>
        <w:rPr>
          <w:rFonts w:hint="eastAsia" w:ascii="仿宋_GB2312" w:hAnsi="仿宋_GB2312" w:eastAsia="仿宋_GB2312" w:cs="仿宋_GB2312"/>
          <w:color w:val="000000"/>
          <w:kern w:val="0"/>
          <w:sz w:val="32"/>
          <w:szCs w:val="32"/>
          <w:lang w:val="en-US" w:eastAsia="zh-CN" w:bidi="ar"/>
        </w:rPr>
        <w:t>，经随机取样研究后，发现抚顺</w:t>
      </w:r>
      <w:r>
        <w:rPr>
          <w:rFonts w:hint="default" w:ascii="仿宋_GB2312" w:hAnsi="仿宋_GB2312" w:eastAsia="仿宋_GB2312" w:cs="仿宋_GB2312"/>
          <w:color w:val="000000"/>
          <w:kern w:val="0"/>
          <w:sz w:val="32"/>
          <w:szCs w:val="32"/>
          <w:lang w:val="en-US" w:eastAsia="zh-CN" w:bidi="ar"/>
        </w:rPr>
        <w:t>煤矸石主要由高岭土、石英、伊利石、蒙脱石、石灰石、氧化铝等组成</w:t>
      </w:r>
      <w:r>
        <w:rPr>
          <w:rFonts w:hint="eastAsia" w:ascii="仿宋_GB2312" w:hAnsi="仿宋_GB2312" w:eastAsia="仿宋_GB2312" w:cs="仿宋_GB2312"/>
          <w:color w:val="000000"/>
          <w:kern w:val="0"/>
          <w:sz w:val="32"/>
          <w:szCs w:val="32"/>
          <w:lang w:val="en-US" w:eastAsia="zh-CN" w:bidi="ar"/>
        </w:rPr>
        <w:t>，具备烧失量高、煤系高岭土稳定等特点，</w:t>
      </w:r>
      <w:r>
        <w:rPr>
          <w:rFonts w:hint="default" w:ascii="仿宋_GB2312" w:hAnsi="仿宋_GB2312" w:eastAsia="仿宋_GB2312" w:cs="仿宋_GB2312"/>
          <w:color w:val="000000"/>
          <w:kern w:val="0"/>
          <w:sz w:val="32"/>
          <w:szCs w:val="32"/>
          <w:lang w:val="en-US" w:eastAsia="zh-CN" w:bidi="ar"/>
        </w:rPr>
        <w:t>具备极高</w:t>
      </w:r>
      <w:r>
        <w:rPr>
          <w:rFonts w:hint="eastAsia" w:ascii="仿宋_GB2312" w:hAnsi="仿宋_GB2312" w:eastAsia="仿宋_GB2312" w:cs="仿宋_GB2312"/>
          <w:color w:val="000000"/>
          <w:kern w:val="0"/>
          <w:sz w:val="32"/>
          <w:szCs w:val="32"/>
          <w:lang w:val="en-US" w:eastAsia="zh-CN" w:bidi="ar"/>
        </w:rPr>
        <w:t>的经济</w:t>
      </w:r>
      <w:r>
        <w:rPr>
          <w:rFonts w:hint="default" w:ascii="仿宋_GB2312" w:hAnsi="仿宋_GB2312" w:eastAsia="仿宋_GB2312" w:cs="仿宋_GB2312"/>
          <w:color w:val="000000"/>
          <w:kern w:val="0"/>
          <w:sz w:val="32"/>
          <w:szCs w:val="32"/>
          <w:lang w:val="en-US" w:eastAsia="zh-CN" w:bidi="ar"/>
        </w:rPr>
        <w:t>价值</w:t>
      </w:r>
      <w:r>
        <w:rPr>
          <w:rFonts w:hint="eastAsia" w:ascii="仿宋_GB2312" w:hAnsi="仿宋_GB2312" w:eastAsia="仿宋_GB2312" w:cs="仿宋_GB2312"/>
          <w:color w:val="000000"/>
          <w:kern w:val="0"/>
          <w:sz w:val="32"/>
          <w:szCs w:val="32"/>
          <w:lang w:val="en-US" w:eastAsia="zh-CN" w:bidi="ar"/>
        </w:rPr>
        <w:t>。</w:t>
      </w:r>
    </w:p>
    <w:p>
      <w:pPr>
        <w:keepNext w:val="0"/>
        <w:keepLines w:val="0"/>
        <w:numPr>
          <w:ilvl w:val="0"/>
          <w:numId w:val="0"/>
        </w:numPr>
        <w:kinsoku/>
        <w:wordWrap/>
        <w:overflowPunct/>
        <w:topLinePunct w:val="0"/>
        <w:autoSpaceDE/>
        <w:autoSpaceDN/>
        <w:bidi w:val="0"/>
        <w:spacing w:line="360" w:lineRule="auto"/>
        <w:ind w:left="0" w:leftChars="0" w:firstLine="643" w:firstLineChars="200"/>
        <w:jc w:val="both"/>
        <w:rPr>
          <w:rFonts w:hint="eastAsia" w:ascii="宋体" w:hAnsi="宋体" w:eastAsia="宋体" w:cs="宋体"/>
          <w:b/>
          <w:bCs/>
          <w:color w:val="auto"/>
          <w:sz w:val="28"/>
          <w:szCs w:val="28"/>
          <w:lang w:val="en-US" w:eastAsia="zh-CN"/>
        </w:rPr>
      </w:pPr>
      <w:r>
        <w:rPr>
          <w:rFonts w:hint="eastAsia" w:ascii="仿宋_GB2312" w:hAnsi="仿宋_GB2312" w:eastAsia="仿宋_GB2312" w:cs="仿宋_GB2312"/>
          <w:b/>
          <w:bCs/>
          <w:color w:val="000000"/>
          <w:kern w:val="0"/>
          <w:sz w:val="32"/>
          <w:szCs w:val="32"/>
          <w:lang w:val="en-US" w:eastAsia="zh-CN" w:bidi="ar"/>
        </w:rPr>
        <w:t>从挑战看，一是</w:t>
      </w:r>
      <w:r>
        <w:rPr>
          <w:rFonts w:hint="eastAsia" w:eastAsia="仿宋_GB2312" w:cs="Times New Roman"/>
          <w:color w:val="auto"/>
          <w:kern w:val="2"/>
          <w:sz w:val="32"/>
          <w:szCs w:val="32"/>
          <w:highlight w:val="none"/>
          <w:lang w:val="en-US" w:eastAsia="zh-CN" w:bidi="ar-SA"/>
        </w:rPr>
        <w:t>产业发展进程较缓。</w:t>
      </w:r>
      <w:r>
        <w:rPr>
          <w:rFonts w:hint="eastAsia" w:ascii="仿宋_GB2312" w:hAnsi="仿宋_GB2312" w:eastAsia="仿宋_GB2312" w:cs="仿宋_GB2312"/>
          <w:color w:val="000000"/>
          <w:kern w:val="0"/>
          <w:sz w:val="32"/>
          <w:szCs w:val="32"/>
          <w:lang w:val="en-US" w:eastAsia="zh-CN" w:bidi="ar"/>
        </w:rPr>
        <w:t>抚顺煤矸石综合利用产业</w:t>
      </w:r>
      <w:r>
        <w:rPr>
          <w:rFonts w:hint="default" w:ascii="仿宋_GB2312" w:hAnsi="仿宋_GB2312" w:eastAsia="仿宋_GB2312" w:cs="仿宋_GB2312"/>
          <w:color w:val="000000"/>
          <w:kern w:val="0"/>
          <w:sz w:val="32"/>
          <w:szCs w:val="32"/>
          <w:lang w:val="en-US" w:eastAsia="zh-CN" w:bidi="ar"/>
        </w:rPr>
        <w:t>尚处于</w:t>
      </w:r>
      <w:r>
        <w:rPr>
          <w:rFonts w:hint="eastAsia" w:ascii="仿宋_GB2312" w:hAnsi="仿宋_GB2312" w:eastAsia="仿宋_GB2312" w:cs="仿宋_GB2312"/>
          <w:color w:val="000000"/>
          <w:kern w:val="0"/>
          <w:sz w:val="32"/>
          <w:szCs w:val="32"/>
          <w:lang w:val="en-US" w:eastAsia="zh-CN" w:bidi="ar"/>
        </w:rPr>
        <w:t>萌芽</w:t>
      </w:r>
      <w:r>
        <w:rPr>
          <w:rFonts w:hint="default" w:ascii="仿宋_GB2312" w:hAnsi="仿宋_GB2312" w:eastAsia="仿宋_GB2312" w:cs="仿宋_GB2312"/>
          <w:color w:val="000000"/>
          <w:kern w:val="0"/>
          <w:sz w:val="32"/>
          <w:szCs w:val="32"/>
          <w:lang w:val="en-US" w:eastAsia="zh-CN" w:bidi="ar"/>
        </w:rPr>
        <w:t>阶段，创新平台数量不多，专业园区刚刚起步，骨干企业数量较少，资源要素有待整合，成果转化、孵化机制亟待完善，领军人物、专业团队比较缺乏，标准、评价、质量检测等支撑体系缺失，制约了</w:t>
      </w:r>
      <w:r>
        <w:rPr>
          <w:rFonts w:hint="eastAsia" w:ascii="仿宋_GB2312" w:hAnsi="仿宋_GB2312" w:eastAsia="仿宋_GB2312" w:cs="仿宋_GB2312"/>
          <w:color w:val="000000"/>
          <w:kern w:val="0"/>
          <w:sz w:val="32"/>
          <w:szCs w:val="32"/>
          <w:lang w:val="en-US" w:eastAsia="zh-CN" w:bidi="ar"/>
        </w:rPr>
        <w:t>煤矸石综合利用产业</w:t>
      </w:r>
      <w:r>
        <w:rPr>
          <w:rFonts w:hint="default" w:ascii="仿宋_GB2312" w:hAnsi="仿宋_GB2312" w:eastAsia="仿宋_GB2312" w:cs="仿宋_GB2312"/>
          <w:color w:val="000000"/>
          <w:kern w:val="0"/>
          <w:sz w:val="32"/>
          <w:szCs w:val="32"/>
          <w:lang w:val="en-US" w:eastAsia="zh-CN" w:bidi="ar"/>
        </w:rPr>
        <w:t>持续、快速发展。</w:t>
      </w:r>
      <w:r>
        <w:rPr>
          <w:rFonts w:hint="eastAsia" w:ascii="仿宋_GB2312" w:hAnsi="仿宋_GB2312" w:eastAsia="仿宋_GB2312" w:cs="仿宋_GB2312"/>
          <w:b/>
          <w:bCs/>
          <w:color w:val="000000"/>
          <w:kern w:val="0"/>
          <w:sz w:val="32"/>
          <w:szCs w:val="32"/>
          <w:lang w:val="en-US" w:eastAsia="zh-CN" w:bidi="ar"/>
        </w:rPr>
        <w:t>二是</w:t>
      </w:r>
      <w:r>
        <w:rPr>
          <w:rFonts w:hint="eastAsia" w:eastAsia="仿宋_GB2312" w:cs="Times New Roman"/>
          <w:color w:val="auto"/>
          <w:kern w:val="2"/>
          <w:sz w:val="32"/>
          <w:szCs w:val="32"/>
          <w:highlight w:val="none"/>
          <w:lang w:val="en-US" w:eastAsia="zh-CN" w:bidi="ar-SA"/>
        </w:rPr>
        <w:t>关键技术尚未成熟。</w:t>
      </w:r>
      <w:r>
        <w:rPr>
          <w:rFonts w:hint="eastAsia" w:ascii="仿宋_GB2312" w:hAnsi="仿宋_GB2312" w:eastAsia="仿宋_GB2312" w:cs="仿宋_GB2312"/>
          <w:color w:val="000000"/>
          <w:kern w:val="0"/>
          <w:sz w:val="32"/>
          <w:szCs w:val="32"/>
          <w:lang w:val="en-US" w:eastAsia="zh-CN" w:bidi="ar"/>
        </w:rPr>
        <w:t>抚顺煤矸石综合利用产业总体上正处于产业化突破前期，短时间内均难以实现产业化。目前，</w:t>
      </w:r>
      <w:r>
        <w:rPr>
          <w:rFonts w:hint="eastAsia" w:ascii="仿宋_GB2312" w:hAnsi="仿宋_GB2312" w:eastAsia="仿宋_GB2312" w:cs="仿宋_GB2312"/>
          <w:sz w:val="32"/>
          <w:szCs w:val="32"/>
        </w:rPr>
        <w:t>规上工业企业规模不大，中小企业居多，生产集中度较低，没有形成规模效益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且多为传统生产模式，生产技术水平不高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bCs/>
          <w:sz w:val="32"/>
          <w:szCs w:val="32"/>
          <w:lang w:eastAsia="zh-CN"/>
        </w:rPr>
        <w:t>三是</w:t>
      </w:r>
      <w:r>
        <w:rPr>
          <w:rFonts w:hint="eastAsia" w:ascii="仿宋_GB2312" w:hAnsi="仿宋_GB2312" w:eastAsia="仿宋_GB2312" w:cs="仿宋_GB2312"/>
          <w:sz w:val="32"/>
          <w:szCs w:val="32"/>
          <w:lang w:eastAsia="zh-CN"/>
        </w:rPr>
        <w:t>节能降耗任务艰巨。</w:t>
      </w:r>
      <w:r>
        <w:rPr>
          <w:rFonts w:hint="eastAsia" w:ascii="仿宋_GB2312" w:hAnsi="仿宋_GB2312" w:eastAsia="仿宋_GB2312" w:cs="仿宋_GB2312"/>
          <w:sz w:val="32"/>
          <w:szCs w:val="32"/>
        </w:rPr>
        <w:t>部分企业生产耗能、资源浪费和环境污染问题仍然存在，技术改造任务繁重，资源利用和环保改善有待提升。</w:t>
      </w:r>
      <w:r>
        <w:rPr>
          <w:rFonts w:hint="eastAsia" w:ascii="仿宋_GB2312" w:hAnsi="仿宋_GB2312" w:eastAsia="仿宋_GB2312" w:cs="仿宋_GB2312"/>
          <w:b/>
          <w:bCs/>
          <w:sz w:val="32"/>
          <w:szCs w:val="32"/>
          <w:lang w:eastAsia="zh-CN"/>
        </w:rPr>
        <w:t>四是</w:t>
      </w:r>
      <w:r>
        <w:rPr>
          <w:rFonts w:hint="eastAsia" w:ascii="仿宋_GB2312" w:hAnsi="仿宋_GB2312" w:eastAsia="仿宋_GB2312" w:cs="仿宋_GB2312"/>
          <w:b w:val="0"/>
          <w:bCs w:val="0"/>
          <w:color w:val="000000"/>
          <w:kern w:val="0"/>
          <w:sz w:val="32"/>
          <w:szCs w:val="32"/>
          <w:lang w:val="en-US" w:eastAsia="zh-CN" w:bidi="ar"/>
        </w:rPr>
        <w:t>产品应用市场尚未打开。煤矸石综合利用产品市场尚需激活，</w:t>
      </w:r>
      <w:r>
        <w:rPr>
          <w:rFonts w:hint="eastAsia" w:ascii="仿宋_GB2312" w:hAnsi="仿宋_GB2312" w:eastAsia="仿宋_GB2312" w:cs="仿宋_GB2312"/>
          <w:color w:val="000000"/>
          <w:kern w:val="0"/>
          <w:sz w:val="32"/>
          <w:szCs w:val="32"/>
          <w:lang w:val="en-US" w:eastAsia="zh-CN" w:bidi="ar"/>
        </w:rPr>
        <w:t>下游应用企业普遍呈现观望态势，亟待进一步加强上下游协调合作，突破应用瓶颈。</w:t>
      </w:r>
    </w:p>
    <w:p>
      <w:pPr>
        <w:pStyle w:val="10"/>
        <w:keepNext w:val="0"/>
        <w:keepLines w:val="0"/>
        <w:pageBreakBefore w:val="0"/>
        <w:widowControl w:val="0"/>
        <w:kinsoku/>
        <w:wordWrap/>
        <w:overflowPunct/>
        <w:topLinePunct w:val="0"/>
        <w:autoSpaceDE/>
        <w:autoSpaceDN/>
        <w:bidi w:val="0"/>
        <w:adjustRightInd/>
        <w:snapToGrid w:val="0"/>
        <w:spacing w:line="360" w:lineRule="auto"/>
        <w:ind w:left="0" w:leftChars="0" w:firstLine="643" w:firstLineChars="200"/>
        <w:jc w:val="both"/>
        <w:textAlignment w:val="auto"/>
        <w:outlineLvl w:val="0"/>
        <w:rPr>
          <w:rFonts w:hint="default" w:ascii="楷体_GB2312" w:hAnsi="楷体_GB2312" w:eastAsia="楷体_GB2312" w:cs="楷体_GB2312"/>
          <w:b/>
          <w:bCs/>
          <w:color w:val="000000"/>
          <w:kern w:val="0"/>
          <w:sz w:val="32"/>
          <w:szCs w:val="32"/>
          <w:lang w:val="en-US" w:eastAsia="zh-CN" w:bidi="ar"/>
        </w:rPr>
      </w:pPr>
      <w:bookmarkStart w:id="14" w:name="_Toc27134"/>
      <w:r>
        <w:rPr>
          <w:rFonts w:hint="eastAsia" w:ascii="楷体_GB2312" w:hAnsi="楷体_GB2312" w:eastAsia="楷体_GB2312" w:cs="楷体_GB2312"/>
          <w:b/>
          <w:bCs/>
          <w:color w:val="000000"/>
          <w:kern w:val="0"/>
          <w:sz w:val="32"/>
          <w:szCs w:val="32"/>
          <w:lang w:val="en-US" w:eastAsia="zh-CN" w:bidi="ar"/>
        </w:rPr>
        <w:t>四、总体要求</w:t>
      </w:r>
      <w:bookmarkEnd w:id="14"/>
    </w:p>
    <w:p>
      <w:pPr>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15" w:name="_Toc14716"/>
      <w:r>
        <w:rPr>
          <w:rFonts w:hint="eastAsia" w:ascii="仿宋_GB2312" w:hAnsi="仿宋_GB2312" w:eastAsia="仿宋_GB2312" w:cs="仿宋_GB2312"/>
          <w:b/>
          <w:bCs/>
          <w:color w:val="000000"/>
          <w:kern w:val="0"/>
          <w:sz w:val="32"/>
          <w:szCs w:val="32"/>
          <w:lang w:val="en-US" w:eastAsia="zh-CN" w:bidi="ar"/>
        </w:rPr>
        <w:t>（一）指导思想</w:t>
      </w:r>
      <w:bookmarkEnd w:id="15"/>
    </w:p>
    <w:p>
      <w:pPr>
        <w:keepNext w:val="0"/>
        <w:keepLines w:val="0"/>
        <w:kinsoku/>
        <w:wordWrap/>
        <w:overflowPunct/>
        <w:topLinePunct w:val="0"/>
        <w:autoSpaceDE/>
        <w:autoSpaceDN/>
        <w:bidi w:val="0"/>
        <w:spacing w:line="360" w:lineRule="auto"/>
        <w:ind w:left="0" w:leftChars="0" w:firstLine="640" w:firstLineChars="200"/>
        <w:jc w:val="both"/>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以习近平新时代中国特色社会主义思想为指导，全面贯彻党的十九大和十九届二中、三中、四中、五中全会精神，以及省委十二届十四次、十五次全会精神，市委十二届十六次全会精神，坚持“工业立市、工业强市、产业兴市”，立足新发展阶段，贯彻新发展理念，构建新发展格局，以全面提高资源利用效率为目标，以推动煤矸石综合利用产业绿色发展为核心，加强系统治理，创新利用模式，实施专项行动，促进煤矸石综合利用实现绿色、高效、高质、高值、规模化发展，提高煤矸石综合利用水平，助力生态文明建设，为抚顺市经济社会高质量发展提供有力支撑。</w:t>
      </w:r>
    </w:p>
    <w:p>
      <w:pPr>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val="0"/>
          <w:color w:val="000000"/>
          <w:kern w:val="0"/>
          <w:sz w:val="32"/>
          <w:szCs w:val="32"/>
          <w:lang w:val="en-US" w:eastAsia="zh-CN" w:bidi="ar"/>
        </w:rPr>
      </w:pPr>
      <w:bookmarkStart w:id="16" w:name="_Toc19525"/>
      <w:r>
        <w:rPr>
          <w:rFonts w:hint="eastAsia" w:ascii="仿宋_GB2312" w:hAnsi="仿宋_GB2312" w:eastAsia="仿宋_GB2312" w:cs="仿宋_GB2312"/>
          <w:b/>
          <w:bCs/>
          <w:color w:val="000000"/>
          <w:kern w:val="0"/>
          <w:sz w:val="32"/>
          <w:szCs w:val="32"/>
          <w:lang w:val="en-US" w:eastAsia="zh-CN" w:bidi="ar"/>
        </w:rPr>
        <w:t>基本原则</w:t>
      </w:r>
      <w:bookmarkEnd w:id="16"/>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3" w:firstLineChars="200"/>
        <w:jc w:val="both"/>
        <w:textAlignment w:val="auto"/>
        <w:outlineLvl w:val="9"/>
        <w:rPr>
          <w:rFonts w:hint="eastAsia" w:ascii="仿宋_GB2312" w:hAnsi="仿宋_GB2312" w:eastAsia="仿宋_GB2312" w:cs="仿宋_GB2312"/>
          <w:b w:val="0"/>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坚持政府引导与市场主导相结合。</w:t>
      </w:r>
      <w:r>
        <w:rPr>
          <w:rFonts w:hint="eastAsia" w:ascii="仿宋_GB2312" w:hAnsi="仿宋_GB2312" w:eastAsia="仿宋_GB2312" w:cs="仿宋_GB2312"/>
          <w:b w:val="0"/>
          <w:color w:val="000000"/>
          <w:kern w:val="0"/>
          <w:sz w:val="32"/>
          <w:szCs w:val="32"/>
          <w:lang w:val="en-US" w:eastAsia="zh-CN" w:bidi="ar"/>
        </w:rPr>
        <w:t>完善各项政策措施，激发各类市场主体活力，充分发挥市场配置资源的决定性作用，以企业为主体，立足传统产业改造提升和循环经济培育壮大，发展应用前景好、附加值高、环境污染少的煤矸石综合利用产业。同时进一步发挥政府在统筹规划、投资环境、环境保护等方面的引导作用，强化扶持和服务功能，加大推广应用及市场培育。</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b w:val="0"/>
          <w:color w:val="000000"/>
          <w:kern w:val="0"/>
          <w:sz w:val="32"/>
          <w:szCs w:val="32"/>
          <w:lang w:val="en-US" w:eastAsia="zh-CN" w:bidi="ar"/>
        </w:rPr>
      </w:pPr>
      <w:r>
        <w:rPr>
          <w:rFonts w:hint="eastAsia" w:ascii="仿宋_GB2312" w:hAnsi="仿宋_GB2312" w:eastAsia="仿宋_GB2312" w:cs="仿宋_GB2312"/>
          <w:b w:val="0"/>
          <w:color w:val="000000"/>
          <w:kern w:val="0"/>
          <w:sz w:val="32"/>
          <w:szCs w:val="32"/>
          <w:lang w:val="en-US" w:eastAsia="zh-CN" w:bidi="ar"/>
        </w:rPr>
        <w:t xml:space="preserve">   </w:t>
      </w:r>
      <w:r>
        <w:rPr>
          <w:rFonts w:hint="eastAsia" w:ascii="仿宋_GB2312" w:hAnsi="仿宋_GB2312" w:eastAsia="仿宋_GB2312" w:cs="仿宋_GB2312"/>
          <w:b/>
          <w:bCs/>
          <w:color w:val="000000"/>
          <w:kern w:val="0"/>
          <w:sz w:val="32"/>
          <w:szCs w:val="32"/>
          <w:lang w:val="en-US" w:eastAsia="zh-CN" w:bidi="ar"/>
        </w:rPr>
        <w:t>坚持消纳存量与控制增量相结合。</w:t>
      </w:r>
      <w:r>
        <w:rPr>
          <w:rFonts w:hint="eastAsia" w:ascii="仿宋_GB2312" w:hAnsi="仿宋_GB2312" w:eastAsia="仿宋_GB2312" w:cs="仿宋_GB2312"/>
          <w:b w:val="0"/>
          <w:color w:val="000000"/>
          <w:kern w:val="0"/>
          <w:sz w:val="32"/>
          <w:szCs w:val="32"/>
          <w:lang w:val="en-US" w:eastAsia="zh-CN" w:bidi="ar"/>
        </w:rPr>
        <w:t>依法依规、科学有序消纳存量煤矸石，积极拓宽煤矸石综合利用渠道，进一步扩大利用规模，不断提高资源综合利用产品附加值，增强产业核心竞争力；因地制宜、综合施策，有效降低煤矸石产排强度，加大综合利用力度，严控新增煤矸石堆存量。</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3" w:firstLineChars="200"/>
        <w:jc w:val="both"/>
        <w:textAlignment w:val="auto"/>
        <w:outlineLvl w:val="9"/>
        <w:rPr>
          <w:rFonts w:hint="eastAsia" w:ascii="仿宋_GB2312" w:hAnsi="仿宋_GB2312" w:eastAsia="仿宋_GB2312" w:cs="仿宋_GB2312"/>
          <w:b w:val="0"/>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坚持需求牵引与技术推动相结合。</w:t>
      </w:r>
      <w:r>
        <w:rPr>
          <w:rFonts w:hint="eastAsia" w:ascii="仿宋_GB2312" w:hAnsi="仿宋_GB2312" w:eastAsia="仿宋_GB2312" w:cs="仿宋_GB2312"/>
          <w:b w:val="0"/>
          <w:color w:val="000000"/>
          <w:kern w:val="0"/>
          <w:sz w:val="32"/>
          <w:szCs w:val="32"/>
          <w:lang w:val="en-US" w:eastAsia="zh-CN" w:bidi="ar"/>
        </w:rPr>
        <w:t>围绕省、市重点工程建设、产业转型升级、循环经济产业培育的需求，促进煤矸石综合利用产业链、技术链、价值不断延伸，立足提质降本增效，协同开展生产和应用技术攻关，完善抚顺市煤矸石综合利用产业持续创新发展的体系。</w:t>
      </w:r>
      <w:bookmarkStart w:id="17" w:name="_Toc23413"/>
      <w:bookmarkStart w:id="18" w:name="_Toc428"/>
      <w:bookmarkStart w:id="19" w:name="_Toc13779"/>
      <w:bookmarkStart w:id="20" w:name="_Toc29320"/>
      <w:bookmarkStart w:id="21" w:name="_Toc20990"/>
      <w:bookmarkStart w:id="22" w:name="_Toc21267"/>
      <w:bookmarkStart w:id="23" w:name="_Toc21475"/>
      <w:bookmarkStart w:id="24" w:name="_Toc13210"/>
      <w:bookmarkStart w:id="25" w:name="_Toc4041"/>
      <w:bookmarkStart w:id="26" w:name="_Toc17709"/>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3" w:firstLineChars="200"/>
        <w:jc w:val="both"/>
        <w:textAlignment w:val="auto"/>
        <w:outlineLvl w:val="9"/>
        <w:rPr>
          <w:rFonts w:hint="eastAsia" w:ascii="仿宋_GB2312" w:hAnsi="仿宋_GB2312" w:eastAsia="仿宋_GB2312" w:cs="仿宋_GB2312"/>
          <w:b w:val="0"/>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坚持要素集聚与融合发展相结合</w:t>
      </w:r>
      <w:bookmarkEnd w:id="17"/>
      <w:bookmarkEnd w:id="18"/>
      <w:bookmarkEnd w:id="19"/>
      <w:bookmarkEnd w:id="20"/>
      <w:bookmarkEnd w:id="21"/>
      <w:bookmarkEnd w:id="22"/>
      <w:bookmarkEnd w:id="23"/>
      <w:bookmarkEnd w:id="24"/>
      <w:bookmarkEnd w:id="25"/>
      <w:bookmarkEnd w:id="26"/>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b w:val="0"/>
          <w:color w:val="000000"/>
          <w:kern w:val="0"/>
          <w:sz w:val="32"/>
          <w:szCs w:val="32"/>
          <w:lang w:val="en-US" w:eastAsia="zh-CN" w:bidi="ar"/>
        </w:rPr>
        <w:t xml:space="preserve">优化技术、资金、人才等要素资源配置，把有限的资源集中到关键领域和环节，在最有基础、最有条件的环节率先突破，同时推动煤矸石综合利用产业与本地优势产业融合发展，推进与辽宁省煤矸石综合利用产业发展规划的战略融合，与高等院校、科研机构的创新融合，提升综合竞争力。 </w:t>
      </w:r>
    </w:p>
    <w:p>
      <w:pPr>
        <w:pStyle w:val="2"/>
        <w:keepNext w:val="0"/>
        <w:keepLines w:val="0"/>
        <w:kinsoku/>
        <w:wordWrap/>
        <w:overflowPunct/>
        <w:topLinePunct w:val="0"/>
        <w:autoSpaceDE/>
        <w:autoSpaceDN/>
        <w:bidi w:val="0"/>
        <w:spacing w:line="360" w:lineRule="auto"/>
        <w:ind w:left="0" w:leftChars="0"/>
        <w:jc w:val="both"/>
        <w:rPr>
          <w:rFonts w:hint="eastAsia" w:ascii="仿宋_GB2312" w:hAnsi="仿宋_GB2312" w:eastAsia="仿宋_GB2312" w:cs="仿宋_GB2312"/>
          <w:b w:val="0"/>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坚持节能减排与综合利用相结合。</w:t>
      </w:r>
      <w:r>
        <w:rPr>
          <w:rFonts w:hint="eastAsia" w:ascii="仿宋_GB2312" w:hAnsi="仿宋_GB2312" w:eastAsia="仿宋_GB2312" w:cs="仿宋_GB2312"/>
          <w:b w:val="0"/>
          <w:color w:val="000000"/>
          <w:kern w:val="0"/>
          <w:sz w:val="32"/>
          <w:szCs w:val="32"/>
          <w:lang w:val="en-US" w:eastAsia="zh-CN" w:bidi="ar"/>
        </w:rPr>
        <w:t>着力推动抚顺市煤炭传统产业绿色转型，鼓励煤矸石综合利用企业优化生产工艺流程，选用高效节能设备，减少资源能源投入，发挥煤矸石综合利用对天然矿产资源的替代作用，显著增强产业发展对抚顺降碳的支撑能力。</w:t>
      </w:r>
    </w:p>
    <w:p>
      <w:pPr>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default" w:ascii="仿宋_GB2312" w:hAnsi="仿宋_GB2312" w:eastAsia="仿宋_GB2312" w:cs="仿宋_GB2312"/>
          <w:b/>
          <w:bCs/>
          <w:color w:val="000000"/>
          <w:kern w:val="0"/>
          <w:sz w:val="32"/>
          <w:szCs w:val="32"/>
          <w:lang w:val="en-US" w:eastAsia="zh-CN" w:bidi="ar"/>
        </w:rPr>
      </w:pPr>
      <w:bookmarkStart w:id="27" w:name="_Toc14868"/>
      <w:r>
        <w:rPr>
          <w:rFonts w:hint="eastAsia" w:ascii="仿宋_GB2312" w:hAnsi="仿宋_GB2312" w:eastAsia="仿宋_GB2312" w:cs="仿宋_GB2312"/>
          <w:b/>
          <w:bCs/>
          <w:color w:val="000000"/>
          <w:kern w:val="0"/>
          <w:sz w:val="32"/>
          <w:szCs w:val="32"/>
          <w:lang w:val="en-US" w:eastAsia="zh-CN" w:bidi="ar"/>
        </w:rPr>
        <w:t>（三）发展路径</w:t>
      </w:r>
      <w:bookmarkEnd w:id="27"/>
    </w:p>
    <w:p>
      <w:pPr>
        <w:pStyle w:val="14"/>
        <w:keepNext w:val="0"/>
        <w:keepLines w:val="0"/>
        <w:shd w:val="clear" w:color="auto" w:fill="FFFFFF"/>
        <w:kinsoku/>
        <w:wordWrap/>
        <w:overflowPunct/>
        <w:topLinePunct w:val="0"/>
        <w:autoSpaceDE/>
        <w:autoSpaceDN/>
        <w:bidi w:val="0"/>
        <w:spacing w:before="0" w:beforeAutospacing="0" w:after="0" w:afterAutospacing="0" w:line="360" w:lineRule="auto"/>
        <w:ind w:left="0" w:leftChars="0" w:firstLine="640" w:firstLineChars="200"/>
        <w:jc w:val="both"/>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kern w:val="2"/>
          <w:sz w:val="32"/>
          <w:szCs w:val="32"/>
        </w:rPr>
        <w:t>坚持科学发展观，依据循环经济原则，统筹规划，加深产业纵向延伸和横</w:t>
      </w:r>
      <w:r>
        <w:rPr>
          <w:rFonts w:hint="eastAsia" w:ascii="仿宋_GB2312" w:hAnsi="仿宋_GB2312" w:eastAsia="仿宋_GB2312" w:cs="仿宋_GB2312"/>
          <w:color w:val="000000"/>
          <w:sz w:val="32"/>
          <w:szCs w:val="32"/>
        </w:rPr>
        <w:t>文明建设的总体要求：“以集聚化、产业化、市场化、生态化为导向，以提高资源利用效率为核心”，坚持政、产、学、研、用五位一体的发展理念，发挥政府引导、企业主导、市场、招商融资、资产重组、高新技术引入、产学研示范等方式，推动</w:t>
      </w:r>
      <w:r>
        <w:rPr>
          <w:rFonts w:hint="eastAsia" w:ascii="仿宋_GB2312" w:hAnsi="仿宋_GB2312" w:eastAsia="仿宋_GB2312" w:cs="仿宋_GB2312"/>
          <w:color w:val="000000"/>
          <w:sz w:val="32"/>
          <w:szCs w:val="32"/>
          <w:lang w:eastAsia="zh-CN"/>
        </w:rPr>
        <w:t>煤矸石综合利用产业</w:t>
      </w:r>
      <w:r>
        <w:rPr>
          <w:rFonts w:hint="eastAsia" w:ascii="仿宋_GB2312" w:hAnsi="仿宋_GB2312" w:eastAsia="仿宋_GB2312" w:cs="仿宋_GB2312"/>
          <w:color w:val="000000"/>
          <w:sz w:val="32"/>
          <w:szCs w:val="32"/>
        </w:rPr>
        <w:t>的</w:t>
      </w:r>
      <w:r>
        <w:rPr>
          <w:rFonts w:hint="eastAsia" w:ascii="仿宋_GB2312" w:hAnsi="仿宋_GB2312" w:eastAsia="仿宋_GB2312" w:cs="仿宋_GB2312"/>
          <w:color w:val="000000"/>
          <w:sz w:val="32"/>
          <w:szCs w:val="32"/>
          <w:lang w:eastAsia="zh-CN"/>
        </w:rPr>
        <w:t>高质量</w:t>
      </w:r>
      <w:r>
        <w:rPr>
          <w:rFonts w:hint="eastAsia" w:ascii="仿宋_GB2312" w:hAnsi="仿宋_GB2312" w:eastAsia="仿宋_GB2312" w:cs="仿宋_GB2312"/>
          <w:color w:val="000000"/>
          <w:sz w:val="32"/>
          <w:szCs w:val="32"/>
        </w:rPr>
        <w:t>发展</w:t>
      </w:r>
      <w:r>
        <w:rPr>
          <w:rFonts w:hint="eastAsia" w:ascii="仿宋_GB2312" w:hAnsi="仿宋_GB2312" w:eastAsia="仿宋_GB2312" w:cs="仿宋_GB2312"/>
          <w:color w:val="000000"/>
          <w:sz w:val="32"/>
          <w:szCs w:val="32"/>
          <w:lang w:eastAsia="zh-CN"/>
        </w:rPr>
        <w:t>。</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b/>
          <w:bCs/>
          <w:kern w:val="2"/>
          <w:sz w:val="32"/>
          <w:szCs w:val="32"/>
        </w:rPr>
        <w:t>采用“治理+利用”的方式</w:t>
      </w:r>
      <w:r>
        <w:rPr>
          <w:rFonts w:hint="eastAsia" w:ascii="仿宋_GB2312" w:hAnsi="仿宋_GB2312" w:eastAsia="仿宋_GB2312" w:cs="仿宋_GB2312"/>
          <w:b/>
          <w:bCs/>
          <w:kern w:val="2"/>
          <w:sz w:val="32"/>
          <w:szCs w:val="32"/>
          <w:lang w:eastAsia="zh-CN"/>
        </w:rPr>
        <w:t>。</w:t>
      </w:r>
      <w:r>
        <w:rPr>
          <w:rFonts w:hint="eastAsia" w:ascii="仿宋_GB2312" w:hAnsi="仿宋_GB2312" w:eastAsia="仿宋_GB2312" w:cs="仿宋_GB2312"/>
          <w:kern w:val="2"/>
          <w:sz w:val="32"/>
          <w:szCs w:val="32"/>
        </w:rPr>
        <w:t>科学合理开展煤矸石污染防治和资源化利用工作，形成现代化的</w:t>
      </w:r>
      <w:r>
        <w:rPr>
          <w:rFonts w:hint="eastAsia" w:ascii="仿宋_GB2312" w:hAnsi="仿宋_GB2312" w:eastAsia="仿宋_GB2312" w:cs="仿宋_GB2312"/>
          <w:kern w:val="2"/>
          <w:sz w:val="32"/>
          <w:szCs w:val="32"/>
          <w:lang w:eastAsia="zh-CN"/>
        </w:rPr>
        <w:t>煤矸石综合利用产业</w:t>
      </w:r>
      <w:r>
        <w:rPr>
          <w:rFonts w:hint="eastAsia" w:ascii="仿宋_GB2312" w:hAnsi="仿宋_GB2312" w:eastAsia="仿宋_GB2312" w:cs="仿宋_GB2312"/>
          <w:kern w:val="2"/>
          <w:sz w:val="32"/>
          <w:szCs w:val="32"/>
        </w:rPr>
        <w:t>生产运营管理模式</w:t>
      </w:r>
      <w:r>
        <w:rPr>
          <w:rFonts w:hint="eastAsia" w:ascii="仿宋_GB2312" w:hAnsi="仿宋_GB2312" w:eastAsia="仿宋_GB2312" w:cs="仿宋_GB2312"/>
          <w:kern w:val="2"/>
          <w:sz w:val="32"/>
          <w:szCs w:val="32"/>
          <w:lang w:eastAsia="zh-CN"/>
        </w:rPr>
        <w:t>。在环境治理方面，</w:t>
      </w:r>
      <w:r>
        <w:rPr>
          <w:rFonts w:hint="eastAsia" w:ascii="仿宋_GB2312" w:hAnsi="仿宋_GB2312" w:eastAsia="仿宋_GB2312" w:cs="仿宋_GB2312"/>
          <w:color w:val="000000"/>
          <w:sz w:val="32"/>
          <w:szCs w:val="32"/>
        </w:rPr>
        <w:t>规范煤炭企业和油页岩提取企业的煤矸石运输堆存处置工作，开展</w:t>
      </w:r>
      <w:r>
        <w:rPr>
          <w:rFonts w:hint="eastAsia" w:ascii="仿宋_GB2312" w:hAnsi="仿宋_GB2312" w:eastAsia="仿宋_GB2312" w:cs="仿宋_GB2312"/>
          <w:sz w:val="32"/>
          <w:szCs w:val="32"/>
        </w:rPr>
        <w:t>堆场环境污染防治和安全隐患排查，维持生态稳定与矸石山体安全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eastAsia="zh-CN"/>
        </w:rPr>
        <w:t>从根本上</w:t>
      </w:r>
      <w:r>
        <w:rPr>
          <w:rFonts w:hint="eastAsia" w:ascii="仿宋_GB2312" w:hAnsi="仿宋_GB2312" w:eastAsia="仿宋_GB2312" w:cs="仿宋_GB2312"/>
          <w:kern w:val="2"/>
          <w:sz w:val="32"/>
          <w:szCs w:val="32"/>
        </w:rPr>
        <w:t>解决煤矸石堆存带来的一系列</w:t>
      </w:r>
      <w:r>
        <w:rPr>
          <w:rFonts w:hint="eastAsia" w:ascii="仿宋_GB2312" w:hAnsi="仿宋_GB2312" w:eastAsia="仿宋_GB2312" w:cs="仿宋_GB2312"/>
          <w:kern w:val="2"/>
          <w:sz w:val="32"/>
          <w:szCs w:val="32"/>
          <w:lang w:eastAsia="zh-CN"/>
        </w:rPr>
        <w:t>生态环境</w:t>
      </w:r>
      <w:r>
        <w:rPr>
          <w:rFonts w:hint="eastAsia" w:ascii="仿宋_GB2312" w:hAnsi="仿宋_GB2312" w:eastAsia="仿宋_GB2312" w:cs="仿宋_GB2312"/>
          <w:kern w:val="2"/>
          <w:sz w:val="32"/>
          <w:szCs w:val="32"/>
        </w:rPr>
        <w:t>问题</w:t>
      </w:r>
      <w:r>
        <w:rPr>
          <w:rFonts w:hint="eastAsia" w:ascii="仿宋_GB2312" w:hAnsi="仿宋_GB2312" w:eastAsia="仿宋_GB2312" w:cs="仿宋_GB2312"/>
          <w:sz w:val="32"/>
          <w:szCs w:val="32"/>
        </w:rPr>
        <w:t>。</w:t>
      </w:r>
      <w:r>
        <w:rPr>
          <w:rFonts w:hint="eastAsia" w:ascii="仿宋_GB2312" w:hAnsi="仿宋_GB2312" w:eastAsia="仿宋_GB2312" w:cs="仿宋_GB2312"/>
          <w:kern w:val="2"/>
          <w:sz w:val="32"/>
          <w:szCs w:val="32"/>
        </w:rPr>
        <w:t>在</w:t>
      </w:r>
      <w:r>
        <w:rPr>
          <w:rFonts w:hint="eastAsia" w:ascii="仿宋_GB2312" w:hAnsi="仿宋_GB2312" w:eastAsia="仿宋_GB2312" w:cs="仿宋_GB2312"/>
          <w:kern w:val="2"/>
          <w:sz w:val="32"/>
          <w:szCs w:val="32"/>
          <w:lang w:eastAsia="zh-CN"/>
        </w:rPr>
        <w:t>综合利用方面，</w:t>
      </w:r>
      <w:r>
        <w:rPr>
          <w:rFonts w:hint="eastAsia" w:ascii="仿宋_GB2312" w:hAnsi="仿宋_GB2312" w:eastAsia="仿宋_GB2312" w:cs="仿宋_GB2312"/>
          <w:kern w:val="2"/>
          <w:sz w:val="32"/>
          <w:szCs w:val="32"/>
        </w:rPr>
        <w:t>引进规模化、高值化煤矸石利用项目，实现新</w:t>
      </w:r>
      <w:r>
        <w:rPr>
          <w:rFonts w:hint="eastAsia" w:ascii="仿宋_GB2312" w:hAnsi="仿宋_GB2312" w:eastAsia="仿宋_GB2312" w:cs="仿宋_GB2312"/>
          <w:kern w:val="2"/>
          <w:sz w:val="32"/>
          <w:szCs w:val="32"/>
          <w:lang w:eastAsia="zh-CN"/>
        </w:rPr>
        <w:t>增</w:t>
      </w:r>
      <w:r>
        <w:rPr>
          <w:rFonts w:hint="eastAsia" w:ascii="仿宋_GB2312" w:hAnsi="仿宋_GB2312" w:eastAsia="仿宋_GB2312" w:cs="仿宋_GB2312"/>
          <w:kern w:val="2"/>
          <w:sz w:val="32"/>
          <w:szCs w:val="32"/>
        </w:rPr>
        <w:t>煤矸石不落地，</w:t>
      </w:r>
      <w:r>
        <w:rPr>
          <w:rFonts w:hint="eastAsia" w:ascii="仿宋_GB2312" w:hAnsi="仿宋_GB2312" w:eastAsia="仿宋_GB2312" w:cs="仿宋_GB2312"/>
          <w:kern w:val="2"/>
          <w:sz w:val="32"/>
          <w:szCs w:val="32"/>
          <w:lang w:eastAsia="zh-CN"/>
        </w:rPr>
        <w:t>历史堆存</w:t>
      </w:r>
      <w:r>
        <w:rPr>
          <w:rFonts w:hint="eastAsia" w:ascii="仿宋_GB2312" w:hAnsi="仿宋_GB2312" w:eastAsia="仿宋_GB2312" w:cs="仿宋_GB2312"/>
          <w:kern w:val="2"/>
          <w:sz w:val="32"/>
          <w:szCs w:val="32"/>
        </w:rPr>
        <w:t>煤矸石逐步利用，有序推进抚顺</w:t>
      </w:r>
      <w:r>
        <w:rPr>
          <w:rFonts w:hint="eastAsia" w:ascii="仿宋_GB2312" w:hAnsi="仿宋_GB2312" w:eastAsia="仿宋_GB2312" w:cs="仿宋_GB2312"/>
          <w:kern w:val="2"/>
          <w:sz w:val="32"/>
          <w:szCs w:val="32"/>
          <w:lang w:eastAsia="zh-CN"/>
        </w:rPr>
        <w:t>煤矸石综合利用产业</w:t>
      </w:r>
      <w:r>
        <w:rPr>
          <w:rFonts w:hint="eastAsia" w:ascii="仿宋_GB2312" w:hAnsi="仿宋_GB2312" w:eastAsia="仿宋_GB2312" w:cs="仿宋_GB2312"/>
          <w:kern w:val="2"/>
          <w:sz w:val="32"/>
          <w:szCs w:val="32"/>
        </w:rPr>
        <w:t>发展，打造全方位、多层次、宽领域、广覆盖的煤矸石资源综合利用发展格局</w:t>
      </w:r>
      <w:r>
        <w:rPr>
          <w:rFonts w:hint="eastAsia" w:ascii="仿宋_GB2312" w:hAnsi="仿宋_GB2312" w:eastAsia="仿宋_GB2312" w:cs="仿宋_GB2312"/>
          <w:kern w:val="2"/>
          <w:sz w:val="32"/>
          <w:szCs w:val="32"/>
          <w:lang w:eastAsia="zh-CN"/>
        </w:rPr>
        <w:t>。</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sz w:val="32"/>
          <w:szCs w:val="32"/>
        </w:rPr>
        <w:t>突出预处理过程。</w:t>
      </w:r>
      <w:r>
        <w:rPr>
          <w:rFonts w:hint="eastAsia" w:ascii="仿宋_GB2312" w:hAnsi="仿宋_GB2312" w:eastAsia="仿宋_GB2312" w:cs="仿宋_GB2312"/>
          <w:b w:val="0"/>
          <w:bCs w:val="0"/>
          <w:sz w:val="32"/>
          <w:szCs w:val="32"/>
          <w:lang w:eastAsia="zh-CN"/>
        </w:rPr>
        <w:t>积极推进抚顺煤矸石预处理中心建设，实施源头再选、有用组分高效分离提取工艺，</w:t>
      </w:r>
      <w:r>
        <w:rPr>
          <w:rFonts w:hint="eastAsia" w:ascii="仿宋_GB2312" w:hAnsi="仿宋_GB2312" w:eastAsia="仿宋_GB2312" w:cs="仿宋_GB2312"/>
          <w:sz w:val="32"/>
          <w:szCs w:val="32"/>
        </w:rPr>
        <w:t>通过预处理中心形成原料化和标准化的煤矸石资源，围绕预处理中心建设高值化和规模化利用项目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kern w:val="0"/>
          <w:sz w:val="32"/>
          <w:szCs w:val="32"/>
          <w:lang w:val="en-US" w:eastAsia="zh-CN" w:bidi="ar"/>
        </w:rPr>
        <w:t>实现煤矸石高效高附加值利用，逐步建立规范有序的煤矸石资源开发利用长效机制。</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rPr>
        <w:t>规划重点</w:t>
      </w:r>
      <w:r>
        <w:rPr>
          <w:rFonts w:hint="eastAsia" w:ascii="仿宋_GB2312" w:hAnsi="仿宋_GB2312" w:eastAsia="仿宋_GB2312" w:cs="仿宋_GB2312"/>
          <w:b/>
          <w:bCs/>
          <w:sz w:val="32"/>
          <w:szCs w:val="32"/>
          <w:lang w:eastAsia="zh-CN"/>
        </w:rPr>
        <w:t>发展</w:t>
      </w:r>
      <w:r>
        <w:rPr>
          <w:rFonts w:hint="eastAsia" w:ascii="仿宋_GB2312" w:hAnsi="仿宋_GB2312" w:eastAsia="仿宋_GB2312" w:cs="仿宋_GB2312"/>
          <w:b/>
          <w:bCs/>
          <w:sz w:val="32"/>
          <w:szCs w:val="32"/>
        </w:rPr>
        <w:t>方向。</w:t>
      </w:r>
      <w:r>
        <w:rPr>
          <w:rFonts w:hint="eastAsia" w:ascii="仿宋_GB2312" w:hAnsi="仿宋_GB2312" w:eastAsia="仿宋_GB2312" w:cs="仿宋_GB2312"/>
          <w:sz w:val="32"/>
          <w:szCs w:val="32"/>
        </w:rPr>
        <w:t>推进形成煤矸石</w:t>
      </w:r>
      <w:r>
        <w:rPr>
          <w:rFonts w:hint="eastAsia" w:ascii="仿宋_GB2312" w:hAnsi="仿宋_GB2312" w:eastAsia="仿宋_GB2312" w:cs="仿宋_GB2312"/>
          <w:sz w:val="32"/>
          <w:szCs w:val="32"/>
          <w:lang w:eastAsia="zh-CN"/>
        </w:rPr>
        <w:t>节能绿色</w:t>
      </w:r>
      <w:r>
        <w:rPr>
          <w:rFonts w:hint="eastAsia" w:ascii="仿宋_GB2312" w:hAnsi="仿宋_GB2312" w:eastAsia="仿宋_GB2312" w:cs="仿宋_GB2312"/>
          <w:sz w:val="32"/>
          <w:szCs w:val="32"/>
        </w:rPr>
        <w:t>建筑材料、煤矸石工业原料、煤矸石土壤改良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煤矸石洗选综合利用、煤矸石砂源替代利用</w:t>
      </w:r>
      <w:r>
        <w:rPr>
          <w:rFonts w:hint="eastAsia" w:ascii="仿宋_GB2312" w:hAnsi="仿宋_GB2312" w:eastAsia="仿宋_GB2312" w:cs="仿宋_GB2312"/>
          <w:sz w:val="32"/>
          <w:szCs w:val="32"/>
        </w:rPr>
        <w:t>等主导产业。实现对抚顺煤矸石多元化、精细化加工，聚集成为</w:t>
      </w:r>
      <w:r>
        <w:rPr>
          <w:rFonts w:hint="eastAsia" w:ascii="仿宋_GB2312" w:hAnsi="仿宋_GB2312" w:eastAsia="仿宋_GB2312" w:cs="仿宋_GB2312"/>
          <w:sz w:val="32"/>
          <w:szCs w:val="32"/>
          <w:lang w:eastAsia="zh-CN"/>
        </w:rPr>
        <w:t>具有示范引领作用的全国大宗固体废弃物综合利用示范基地。</w:t>
      </w:r>
    </w:p>
    <w:p>
      <w:pPr>
        <w:keepNext w:val="0"/>
        <w:keepLines w:val="0"/>
        <w:kinsoku/>
        <w:wordWrap/>
        <w:overflowPunct/>
        <w:topLinePunct w:val="0"/>
        <w:autoSpaceDE/>
        <w:autoSpaceDN/>
        <w:bidi w:val="0"/>
        <w:spacing w:line="360" w:lineRule="auto"/>
        <w:ind w:left="0" w:leftChars="0"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发挥骨干引领作用。</w:t>
      </w:r>
      <w:r>
        <w:rPr>
          <w:rFonts w:hint="eastAsia" w:ascii="仿宋_GB2312" w:hAnsi="仿宋_GB2312" w:eastAsia="仿宋_GB2312" w:cs="仿宋_GB2312"/>
          <w:sz w:val="32"/>
          <w:szCs w:val="32"/>
        </w:rPr>
        <w:t>以煤矸石</w:t>
      </w:r>
      <w:r>
        <w:rPr>
          <w:rFonts w:hint="eastAsia" w:ascii="仿宋_GB2312" w:hAnsi="仿宋_GB2312" w:eastAsia="仿宋_GB2312" w:cs="仿宋_GB2312"/>
          <w:sz w:val="32"/>
          <w:szCs w:val="32"/>
          <w:lang w:eastAsia="zh-CN"/>
        </w:rPr>
        <w:t>节能绿色</w:t>
      </w:r>
      <w:r>
        <w:rPr>
          <w:rFonts w:hint="eastAsia" w:ascii="仿宋_GB2312" w:hAnsi="仿宋_GB2312" w:eastAsia="仿宋_GB2312" w:cs="仿宋_GB2312"/>
          <w:sz w:val="32"/>
          <w:szCs w:val="32"/>
        </w:rPr>
        <w:t>建材</w:t>
      </w:r>
      <w:r>
        <w:rPr>
          <w:rFonts w:hint="eastAsia" w:ascii="仿宋_GB2312" w:hAnsi="仿宋_GB2312" w:eastAsia="仿宋_GB2312" w:cs="仿宋_GB2312"/>
          <w:sz w:val="32"/>
          <w:szCs w:val="32"/>
          <w:lang w:eastAsia="zh-CN"/>
        </w:rPr>
        <w:t>方向</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产业发展</w:t>
      </w:r>
      <w:r>
        <w:rPr>
          <w:rFonts w:hint="eastAsia" w:ascii="仿宋_GB2312" w:hAnsi="仿宋_GB2312" w:eastAsia="仿宋_GB2312" w:cs="仿宋_GB2312"/>
          <w:sz w:val="32"/>
          <w:szCs w:val="32"/>
        </w:rPr>
        <w:t>重中之重，突出煤矸石制备保温岩棉、发泡陶瓷、装配式建筑</w:t>
      </w:r>
      <w:r>
        <w:rPr>
          <w:rFonts w:hint="eastAsia" w:ascii="仿宋_GB2312" w:hAnsi="仿宋_GB2312" w:eastAsia="仿宋_GB2312" w:cs="仿宋_GB2312"/>
          <w:sz w:val="32"/>
          <w:szCs w:val="32"/>
          <w:lang w:eastAsia="zh-CN"/>
        </w:rPr>
        <w:t>构件</w:t>
      </w:r>
      <w:r>
        <w:rPr>
          <w:rFonts w:hint="eastAsia" w:ascii="仿宋_GB2312" w:hAnsi="仿宋_GB2312" w:eastAsia="仿宋_GB2312" w:cs="仿宋_GB2312"/>
          <w:sz w:val="32"/>
          <w:szCs w:val="32"/>
        </w:rPr>
        <w:t>等系列产品。发展一批术产品成熟、科技含量高、市场前景好的优势骨干企业，</w:t>
      </w:r>
      <w:r>
        <w:rPr>
          <w:rFonts w:hint="eastAsia" w:ascii="仿宋_GB2312" w:hAnsi="仿宋_GB2312" w:eastAsia="仿宋_GB2312" w:cs="仿宋_GB2312"/>
          <w:sz w:val="32"/>
          <w:szCs w:val="32"/>
          <w:lang w:eastAsia="zh-CN"/>
        </w:rPr>
        <w:t>聚焦</w:t>
      </w:r>
      <w:r>
        <w:rPr>
          <w:rFonts w:hint="eastAsia" w:ascii="仿宋_GB2312" w:hAnsi="仿宋_GB2312" w:eastAsia="仿宋_GB2312" w:cs="仿宋_GB2312"/>
          <w:sz w:val="32"/>
          <w:szCs w:val="32"/>
        </w:rPr>
        <w:t>打造“国家级节能环保</w:t>
      </w:r>
      <w:r>
        <w:rPr>
          <w:rFonts w:hint="eastAsia" w:ascii="仿宋_GB2312" w:hAnsi="仿宋_GB2312" w:eastAsia="仿宋_GB2312" w:cs="仿宋_GB2312"/>
          <w:sz w:val="32"/>
          <w:szCs w:val="32"/>
          <w:lang w:eastAsia="zh-CN"/>
        </w:rPr>
        <w:t>型</w:t>
      </w:r>
      <w:r>
        <w:rPr>
          <w:rFonts w:hint="eastAsia" w:ascii="仿宋_GB2312" w:hAnsi="仿宋_GB2312" w:eastAsia="仿宋_GB2312" w:cs="仿宋_GB2312"/>
          <w:sz w:val="32"/>
          <w:szCs w:val="32"/>
        </w:rPr>
        <w:t>装配</w:t>
      </w:r>
      <w:r>
        <w:rPr>
          <w:rFonts w:hint="eastAsia" w:ascii="仿宋_GB2312" w:hAnsi="仿宋_GB2312" w:eastAsia="仿宋_GB2312" w:cs="仿宋_GB2312"/>
          <w:sz w:val="32"/>
          <w:szCs w:val="32"/>
          <w:lang w:eastAsia="zh-CN"/>
        </w:rPr>
        <w:t>式</w:t>
      </w:r>
      <w:r>
        <w:rPr>
          <w:rFonts w:hint="eastAsia" w:ascii="仿宋_GB2312" w:hAnsi="仿宋_GB2312" w:eastAsia="仿宋_GB2312" w:cs="仿宋_GB2312"/>
          <w:sz w:val="32"/>
          <w:szCs w:val="32"/>
        </w:rPr>
        <w:t>建筑生产基地”。</w:t>
      </w:r>
    </w:p>
    <w:p>
      <w:pPr>
        <w:keepNext w:val="0"/>
        <w:keepLines w:val="0"/>
        <w:kinsoku/>
        <w:wordWrap/>
        <w:overflowPunct/>
        <w:topLinePunct w:val="0"/>
        <w:autoSpaceDE/>
        <w:autoSpaceDN/>
        <w:bidi w:val="0"/>
        <w:spacing w:line="360" w:lineRule="auto"/>
        <w:ind w:left="0" w:leftChars="0"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强调配套服务设施。</w:t>
      </w:r>
      <w:r>
        <w:rPr>
          <w:rFonts w:hint="eastAsia" w:ascii="仿宋_GB2312" w:hAnsi="仿宋_GB2312" w:eastAsia="仿宋_GB2312" w:cs="仿宋_GB2312"/>
          <w:sz w:val="32"/>
          <w:szCs w:val="32"/>
        </w:rPr>
        <w:t>建设公共服务平台、科技成果转化、信息数据库、仓储物流系统等，为</w:t>
      </w:r>
      <w:r>
        <w:rPr>
          <w:rFonts w:hint="eastAsia" w:ascii="仿宋_GB2312" w:hAnsi="仿宋_GB2312" w:eastAsia="仿宋_GB2312" w:cs="仿宋_GB2312"/>
          <w:sz w:val="32"/>
          <w:szCs w:val="32"/>
          <w:lang w:eastAsia="zh-CN"/>
        </w:rPr>
        <w:t>抚顺市煤矸石综合利用产业</w:t>
      </w:r>
      <w:r>
        <w:rPr>
          <w:rFonts w:hint="eastAsia" w:ascii="仿宋_GB2312" w:hAnsi="仿宋_GB2312" w:eastAsia="仿宋_GB2312" w:cs="仿宋_GB2312"/>
          <w:sz w:val="32"/>
          <w:szCs w:val="32"/>
        </w:rPr>
        <w:t>健康发展提供</w:t>
      </w:r>
      <w:r>
        <w:rPr>
          <w:rFonts w:hint="eastAsia" w:ascii="仿宋_GB2312" w:hAnsi="仿宋_GB2312" w:eastAsia="仿宋_GB2312" w:cs="仿宋_GB2312"/>
          <w:sz w:val="32"/>
          <w:szCs w:val="32"/>
          <w:lang w:eastAsia="zh-CN"/>
        </w:rPr>
        <w:t>强有力的要素保障</w:t>
      </w:r>
      <w:r>
        <w:rPr>
          <w:rFonts w:hint="eastAsia" w:ascii="仿宋_GB2312" w:hAnsi="仿宋_GB2312" w:eastAsia="仿宋_GB2312" w:cs="仿宋_GB2312"/>
          <w:sz w:val="32"/>
          <w:szCs w:val="32"/>
        </w:rPr>
        <w:t>，为高新技术项目招商引进创造有利条件。</w:t>
      </w:r>
    </w:p>
    <w:p>
      <w:pPr>
        <w:keepNext w:val="0"/>
        <w:keepLines w:val="0"/>
        <w:kinsoku/>
        <w:wordWrap/>
        <w:overflowPunct/>
        <w:topLinePunct w:val="0"/>
        <w:autoSpaceDE/>
        <w:autoSpaceDN/>
        <w:bidi w:val="0"/>
        <w:spacing w:line="360" w:lineRule="auto"/>
        <w:ind w:left="0" w:leftChars="0" w:firstLine="643" w:firstLineChars="200"/>
        <w:jc w:val="both"/>
        <w:rPr>
          <w:rFonts w:ascii="仿宋_GB2312" w:hAnsi="仿宋_GB2312" w:eastAsia="仿宋_GB2312" w:cs="仿宋_GB2312"/>
          <w:sz w:val="32"/>
          <w:szCs w:val="32"/>
        </w:rPr>
      </w:pPr>
      <w:r>
        <w:rPr>
          <w:rFonts w:hint="eastAsia" w:ascii="仿宋_GB2312" w:hAnsi="仿宋_GB2312" w:eastAsia="仿宋_GB2312" w:cs="仿宋_GB2312"/>
          <w:b/>
          <w:bCs/>
          <w:sz w:val="32"/>
          <w:szCs w:val="32"/>
        </w:rPr>
        <w:t>加强科技创新。</w:t>
      </w:r>
      <w:r>
        <w:rPr>
          <w:rFonts w:hint="eastAsia" w:ascii="仿宋_GB2312" w:hAnsi="仿宋_GB2312" w:eastAsia="仿宋_GB2312" w:cs="仿宋_GB2312"/>
          <w:sz w:val="32"/>
          <w:szCs w:val="32"/>
        </w:rPr>
        <w:t>与高等院校、科研机构深度合作，按“产、学、研”相结合的方针，组建专家队伍，推动产业技术对接、项目论证评审等工作，帮助企业解决关键技术问题，助力煤矸石高端利用产业持续升级发展，最终打造成为“集中预处理、资源化利用、新技术支撑”三位一体的国家级</w:t>
      </w:r>
      <w:r>
        <w:rPr>
          <w:rFonts w:hint="eastAsia" w:ascii="仿宋_GB2312" w:hAnsi="仿宋_GB2312" w:eastAsia="仿宋_GB2312" w:cs="仿宋_GB2312"/>
          <w:sz w:val="32"/>
          <w:szCs w:val="32"/>
          <w:lang w:eastAsia="zh-CN"/>
        </w:rPr>
        <w:t>煤矸石综合利用产业示范</w:t>
      </w:r>
      <w:r>
        <w:rPr>
          <w:rFonts w:hint="eastAsia" w:ascii="仿宋_GB2312" w:hAnsi="仿宋_GB2312" w:eastAsia="仿宋_GB2312" w:cs="仿宋_GB2312"/>
          <w:sz w:val="32"/>
          <w:szCs w:val="32"/>
        </w:rPr>
        <w:t>基地。</w:t>
      </w:r>
    </w:p>
    <w:p>
      <w:pPr>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28" w:name="_Toc16469"/>
      <w:r>
        <w:rPr>
          <w:rFonts w:hint="eastAsia" w:ascii="仿宋_GB2312" w:hAnsi="仿宋_GB2312" w:eastAsia="仿宋_GB2312" w:cs="仿宋_GB2312"/>
          <w:b/>
          <w:bCs/>
          <w:color w:val="000000"/>
          <w:kern w:val="0"/>
          <w:sz w:val="32"/>
          <w:szCs w:val="32"/>
          <w:lang w:val="en-US" w:eastAsia="zh-CN" w:bidi="ar"/>
        </w:rPr>
        <w:t>（四）发展目标</w:t>
      </w:r>
      <w:bookmarkEnd w:id="28"/>
    </w:p>
    <w:p>
      <w:pPr>
        <w:keepNext w:val="0"/>
        <w:keepLines w:val="0"/>
        <w:kinsoku/>
        <w:wordWrap/>
        <w:overflowPunct/>
        <w:topLinePunct w:val="0"/>
        <w:autoSpaceDE/>
        <w:autoSpaceDN/>
        <w:bidi w:val="0"/>
        <w:spacing w:line="360" w:lineRule="auto"/>
        <w:ind w:left="0" w:leftChars="0" w:firstLine="640" w:firstLineChars="200"/>
        <w:jc w:val="both"/>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加强煤矸石资源的整合对接，充分利用煤矸石资源特性，加强高附加值煤矸石综合利用产品的制备，提高制备水平，同时延伸产业链，促进与新型建筑材料、化工原料、土壤改良、砂源替代利用等下游产业的融合，做大做强高附加值煤矸石综合利用产业化应用，完善产业配套，提高园区承载能力，加速项目孵化落地，促进产业集聚发展。力争到2022年，煤矸石综合利用产业发展初步形成技术先进、结构优化、布局合理、经济效益较好、产品品种性能满足市场需求的产业体系。到2025年，将抚顺市建设成为具有示范引领作用的</w:t>
      </w:r>
      <w:bookmarkStart w:id="29" w:name="_Toc8653"/>
      <w:bookmarkStart w:id="30" w:name="_Toc475115285"/>
      <w:bookmarkStart w:id="31" w:name="_Toc810"/>
      <w:bookmarkStart w:id="32" w:name="_Toc7888"/>
      <w:bookmarkStart w:id="33" w:name="_Toc655"/>
      <w:bookmarkStart w:id="34" w:name="_Toc1930"/>
      <w:bookmarkStart w:id="35" w:name="_Toc8267"/>
      <w:bookmarkStart w:id="36" w:name="_Toc29747"/>
      <w:bookmarkStart w:id="37" w:name="_Toc17061"/>
      <w:bookmarkStart w:id="38" w:name="_Toc16288"/>
      <w:bookmarkStart w:id="39" w:name="_Toc826"/>
      <w:r>
        <w:rPr>
          <w:rFonts w:hint="eastAsia" w:ascii="仿宋_GB2312" w:hAnsi="仿宋_GB2312" w:eastAsia="仿宋_GB2312" w:cs="仿宋_GB2312"/>
          <w:color w:val="000000"/>
          <w:kern w:val="0"/>
          <w:sz w:val="32"/>
          <w:szCs w:val="32"/>
          <w:lang w:val="en-US" w:eastAsia="zh-CN" w:bidi="ar"/>
        </w:rPr>
        <w:t>全国大宗固体废弃物综合利用示范基地，新增大宗固废综合利用率达到60％，存量大宗固废有序减少。</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color w:val="auto"/>
          <w:kern w:val="0"/>
          <w:sz w:val="32"/>
          <w:szCs w:val="32"/>
          <w:lang w:val="en-US" w:eastAsia="zh-CN" w:bidi="ar"/>
        </w:rPr>
      </w:pPr>
      <w:r>
        <w:rPr>
          <w:rFonts w:hint="eastAsia" w:ascii="仿宋_GB2312" w:hAnsi="仿宋_GB2312" w:eastAsia="仿宋_GB2312" w:cs="仿宋_GB2312"/>
          <w:b/>
          <w:bCs/>
          <w:color w:val="000000"/>
          <w:kern w:val="0"/>
          <w:sz w:val="32"/>
          <w:szCs w:val="32"/>
          <w:highlight w:val="none"/>
          <w:lang w:val="en-US" w:eastAsia="zh-CN" w:bidi="ar"/>
        </w:rPr>
        <w:t>产业规模</w:t>
      </w:r>
      <w:bookmarkEnd w:id="29"/>
      <w:bookmarkEnd w:id="30"/>
      <w:bookmarkEnd w:id="31"/>
      <w:bookmarkEnd w:id="32"/>
      <w:r>
        <w:rPr>
          <w:rFonts w:hint="eastAsia" w:ascii="仿宋_GB2312" w:hAnsi="仿宋_GB2312" w:eastAsia="仿宋_GB2312" w:cs="仿宋_GB2312"/>
          <w:b/>
          <w:bCs/>
          <w:color w:val="000000"/>
          <w:kern w:val="0"/>
          <w:sz w:val="32"/>
          <w:szCs w:val="32"/>
          <w:highlight w:val="none"/>
          <w:lang w:val="en-US" w:eastAsia="zh-CN" w:bidi="ar"/>
        </w:rPr>
        <w:t>不断壮大</w:t>
      </w:r>
      <w:bookmarkEnd w:id="33"/>
      <w:bookmarkEnd w:id="34"/>
      <w:bookmarkEnd w:id="35"/>
      <w:bookmarkEnd w:id="36"/>
      <w:bookmarkEnd w:id="37"/>
      <w:bookmarkEnd w:id="38"/>
      <w:bookmarkEnd w:id="39"/>
      <w:r>
        <w:rPr>
          <w:rFonts w:hint="eastAsia" w:ascii="仿宋_GB2312" w:hAnsi="仿宋_GB2312" w:eastAsia="仿宋_GB2312" w:cs="仿宋_GB2312"/>
          <w:b/>
          <w:bCs/>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lang w:val="en-US" w:eastAsia="zh-CN" w:bidi="ar"/>
        </w:rPr>
        <w:t>到2022年，通过龙头企业的引进培育、重大项目的落地投产以及园区基础设施和服务平台的完善，推动煤矸石综合利用产业相关产品产值实现有效增长，带动</w:t>
      </w:r>
      <w:r>
        <w:rPr>
          <w:rFonts w:hint="eastAsia" w:ascii="仿宋_GB2312" w:hAnsi="仿宋_GB2312" w:eastAsia="仿宋_GB2312" w:cs="仿宋_GB2312"/>
          <w:color w:val="auto"/>
          <w:kern w:val="0"/>
          <w:sz w:val="32"/>
          <w:szCs w:val="32"/>
          <w:lang w:val="en-US" w:eastAsia="zh-CN" w:bidi="ar"/>
        </w:rPr>
        <w:t>产业链项目产值大幅增加。到2025年，随着下游应用市场打开，产业集聚发展态势的形成和影响力大幅提升，煤矸石综合利用产业相关产品产值突破150亿元，带动形成产值超300亿的产业链。</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color w:val="000000"/>
          <w:kern w:val="0"/>
          <w:sz w:val="32"/>
          <w:szCs w:val="32"/>
          <w:lang w:val="en-US" w:eastAsia="zh-CN" w:bidi="ar"/>
        </w:rPr>
      </w:pPr>
      <w:bookmarkStart w:id="40" w:name="_Toc17968"/>
      <w:bookmarkStart w:id="41" w:name="_Toc31896"/>
      <w:bookmarkStart w:id="42" w:name="_Toc4788"/>
      <w:bookmarkStart w:id="43" w:name="_Toc25393"/>
      <w:bookmarkStart w:id="44" w:name="_Toc15000"/>
      <w:bookmarkStart w:id="45" w:name="_Toc7015"/>
      <w:bookmarkStart w:id="46" w:name="_Toc19262"/>
      <w:bookmarkStart w:id="47" w:name="_Toc27419"/>
      <w:bookmarkStart w:id="48" w:name="_Toc18488"/>
      <w:bookmarkStart w:id="49" w:name="_Toc32297"/>
      <w:r>
        <w:rPr>
          <w:rFonts w:hint="eastAsia" w:ascii="仿宋_GB2312" w:hAnsi="仿宋_GB2312" w:eastAsia="仿宋_GB2312" w:cs="仿宋_GB2312"/>
          <w:b/>
          <w:bCs/>
          <w:color w:val="000000"/>
          <w:kern w:val="0"/>
          <w:sz w:val="32"/>
          <w:szCs w:val="32"/>
          <w:highlight w:val="none"/>
          <w:lang w:val="en-US" w:eastAsia="zh-CN" w:bidi="ar"/>
        </w:rPr>
        <w:t>产业集群效应显著</w:t>
      </w:r>
      <w:bookmarkEnd w:id="40"/>
      <w:bookmarkEnd w:id="41"/>
      <w:bookmarkEnd w:id="42"/>
      <w:bookmarkEnd w:id="43"/>
      <w:bookmarkEnd w:id="44"/>
      <w:bookmarkEnd w:id="45"/>
      <w:bookmarkEnd w:id="46"/>
      <w:bookmarkEnd w:id="47"/>
      <w:bookmarkEnd w:id="48"/>
      <w:bookmarkEnd w:id="49"/>
      <w:r>
        <w:rPr>
          <w:rFonts w:hint="eastAsia" w:ascii="仿宋_GB2312" w:hAnsi="仿宋_GB2312" w:eastAsia="仿宋_GB2312" w:cs="仿宋_GB2312"/>
          <w:b/>
          <w:bCs/>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lang w:val="en-US" w:eastAsia="zh-CN" w:bidi="ar"/>
        </w:rPr>
        <w:t>到2022年，引进和培育年产值</w:t>
      </w:r>
      <w:r>
        <w:rPr>
          <w:rFonts w:hint="eastAsia" w:ascii="仿宋_GB2312" w:hAnsi="仿宋_GB2312" w:eastAsia="仿宋_GB2312" w:cs="仿宋_GB2312"/>
          <w:color w:val="auto"/>
          <w:kern w:val="0"/>
          <w:sz w:val="32"/>
          <w:szCs w:val="32"/>
          <w:lang w:val="en-US" w:eastAsia="zh-CN" w:bidi="ar"/>
        </w:rPr>
        <w:t>超10</w:t>
      </w:r>
      <w:r>
        <w:rPr>
          <w:rFonts w:hint="eastAsia" w:ascii="仿宋_GB2312" w:hAnsi="仿宋_GB2312" w:eastAsia="仿宋_GB2312" w:cs="仿宋_GB2312"/>
          <w:color w:val="000000"/>
          <w:kern w:val="0"/>
          <w:sz w:val="32"/>
          <w:szCs w:val="32"/>
          <w:lang w:val="en-US" w:eastAsia="zh-CN" w:bidi="ar"/>
        </w:rPr>
        <w:t>亿元</w:t>
      </w:r>
      <w:r>
        <w:rPr>
          <w:rFonts w:hint="eastAsia" w:ascii="仿宋_GB2312" w:hAnsi="仿宋_GB2312" w:eastAsia="仿宋_GB2312" w:cs="仿宋_GB2312"/>
          <w:color w:val="auto"/>
          <w:kern w:val="0"/>
          <w:sz w:val="32"/>
          <w:szCs w:val="32"/>
          <w:lang w:val="en-US" w:eastAsia="zh-CN" w:bidi="ar"/>
        </w:rPr>
        <w:t>的企业1～2家，年产值过亿元的企业5～7家，涌现一批具有较强自主创新能力和技术引领作用，以及拥有自有品牌的龙头骨干企业，在</w:t>
      </w:r>
      <w:r>
        <w:rPr>
          <w:rFonts w:hint="eastAsia" w:ascii="仿宋_GB2312" w:hAnsi="仿宋_GB2312" w:eastAsia="仿宋_GB2312" w:cs="仿宋_GB2312"/>
          <w:color w:val="auto"/>
          <w:sz w:val="32"/>
          <w:szCs w:val="32"/>
        </w:rPr>
        <w:t>煤矸石新型建筑材料、煤矸石制备工业原料、煤矸石土壤改良</w:t>
      </w:r>
      <w:r>
        <w:rPr>
          <w:rFonts w:hint="eastAsia" w:ascii="仿宋_GB2312" w:hAnsi="仿宋_GB2312" w:eastAsia="仿宋_GB2312" w:cs="仿宋_GB2312"/>
          <w:color w:val="auto"/>
          <w:sz w:val="32"/>
          <w:szCs w:val="32"/>
          <w:lang w:eastAsia="zh-CN"/>
        </w:rPr>
        <w:t>、煤矸石大规模低成本固废填充</w:t>
      </w:r>
      <w:r>
        <w:rPr>
          <w:rFonts w:hint="eastAsia" w:ascii="仿宋_GB2312" w:hAnsi="仿宋_GB2312" w:eastAsia="仿宋_GB2312" w:cs="仿宋_GB2312"/>
          <w:color w:val="auto"/>
          <w:kern w:val="0"/>
          <w:sz w:val="32"/>
          <w:szCs w:val="32"/>
          <w:lang w:val="en-US" w:eastAsia="zh-CN" w:bidi="ar"/>
        </w:rPr>
        <w:t>等领域培育形成一批产业链较为完善、特色鲜明、市场竞争力较强的产业集群和产业品牌。到2025年，引进和培育</w:t>
      </w:r>
      <w:r>
        <w:rPr>
          <w:rFonts w:hint="eastAsia" w:ascii="仿宋_GB2312" w:hAnsi="仿宋_GB2312" w:eastAsia="仿宋_GB2312" w:cs="仿宋_GB2312"/>
          <w:color w:val="000000"/>
          <w:kern w:val="0"/>
          <w:sz w:val="32"/>
          <w:szCs w:val="32"/>
          <w:lang w:val="en-US" w:eastAsia="zh-CN" w:bidi="ar"/>
        </w:rPr>
        <w:t>产值</w:t>
      </w:r>
      <w:r>
        <w:rPr>
          <w:rFonts w:hint="eastAsia" w:ascii="仿宋_GB2312" w:hAnsi="仿宋_GB2312" w:eastAsia="仿宋_GB2312" w:cs="仿宋_GB2312"/>
          <w:color w:val="auto"/>
          <w:kern w:val="0"/>
          <w:sz w:val="32"/>
          <w:szCs w:val="32"/>
          <w:lang w:val="en-US" w:eastAsia="zh-CN" w:bidi="ar"/>
        </w:rPr>
        <w:t>超10</w:t>
      </w:r>
      <w:r>
        <w:rPr>
          <w:rFonts w:hint="eastAsia" w:ascii="仿宋_GB2312" w:hAnsi="仿宋_GB2312" w:eastAsia="仿宋_GB2312" w:cs="仿宋_GB2312"/>
          <w:color w:val="000000"/>
          <w:kern w:val="0"/>
          <w:sz w:val="32"/>
          <w:szCs w:val="32"/>
          <w:lang w:val="en-US" w:eastAsia="zh-CN" w:bidi="ar"/>
        </w:rPr>
        <w:t>亿元</w:t>
      </w:r>
      <w:r>
        <w:rPr>
          <w:rFonts w:hint="eastAsia" w:ascii="仿宋_GB2312" w:hAnsi="仿宋_GB2312" w:eastAsia="仿宋_GB2312" w:cs="仿宋_GB2312"/>
          <w:color w:val="auto"/>
          <w:kern w:val="0"/>
          <w:sz w:val="32"/>
          <w:szCs w:val="32"/>
          <w:lang w:val="en-US" w:eastAsia="zh-CN" w:bidi="ar"/>
        </w:rPr>
        <w:t>的企业3家，年产值过亿元的企业10家，形成3～4个在全国具有影响力的高附加值煤矸石产品、品牌，培育一批具有国际竞争力的高附加值煤矸石骨干企业以及</w:t>
      </w:r>
      <w:r>
        <w:rPr>
          <w:rFonts w:hint="eastAsia" w:ascii="仿宋_GB2312" w:hAnsi="仿宋_GB2312" w:eastAsia="仿宋_GB2312" w:cs="仿宋_GB2312"/>
          <w:color w:val="000000"/>
          <w:kern w:val="0"/>
          <w:sz w:val="32"/>
          <w:szCs w:val="32"/>
          <w:lang w:val="en-US" w:eastAsia="zh-CN" w:bidi="ar"/>
        </w:rPr>
        <w:t>具有持续创新能力的科技型企业，成为国内外重要的煤矸石原料、产品和技术供应基地。</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color w:val="000000"/>
          <w:kern w:val="0"/>
          <w:sz w:val="32"/>
          <w:szCs w:val="32"/>
          <w:lang w:val="en-US" w:eastAsia="zh-CN" w:bidi="ar"/>
        </w:rPr>
      </w:pPr>
      <w:bookmarkStart w:id="50" w:name="_Toc5557"/>
      <w:bookmarkStart w:id="51" w:name="_Toc4533"/>
      <w:bookmarkStart w:id="52" w:name="_Toc21443"/>
      <w:bookmarkStart w:id="53" w:name="_Toc15670"/>
      <w:bookmarkStart w:id="54" w:name="_Toc30735"/>
      <w:bookmarkStart w:id="55" w:name="_Toc24895"/>
      <w:bookmarkStart w:id="56" w:name="_Toc6919"/>
      <w:bookmarkStart w:id="57" w:name="_Toc31724"/>
      <w:bookmarkStart w:id="58" w:name="_Toc20515"/>
      <w:bookmarkStart w:id="59" w:name="_Toc31172"/>
      <w:r>
        <w:rPr>
          <w:rFonts w:hint="eastAsia" w:ascii="仿宋_GB2312" w:hAnsi="仿宋_GB2312" w:eastAsia="仿宋_GB2312" w:cs="仿宋_GB2312"/>
          <w:b/>
          <w:bCs/>
          <w:color w:val="000000"/>
          <w:kern w:val="0"/>
          <w:sz w:val="32"/>
          <w:szCs w:val="32"/>
          <w:lang w:val="en-US" w:eastAsia="zh-CN" w:bidi="ar"/>
        </w:rPr>
        <w:t>创新能力大幅提升</w:t>
      </w:r>
      <w:bookmarkEnd w:id="50"/>
      <w:bookmarkEnd w:id="51"/>
      <w:bookmarkEnd w:id="52"/>
      <w:bookmarkEnd w:id="53"/>
      <w:bookmarkEnd w:id="54"/>
      <w:bookmarkEnd w:id="55"/>
      <w:bookmarkEnd w:id="56"/>
      <w:bookmarkEnd w:id="57"/>
      <w:bookmarkEnd w:id="58"/>
      <w:bookmarkEnd w:id="59"/>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到2022年，力争培育省级以上研发</w:t>
      </w:r>
      <w:r>
        <w:rPr>
          <w:rFonts w:hint="eastAsia" w:ascii="仿宋_GB2312" w:hAnsi="仿宋_GB2312" w:eastAsia="仿宋_GB2312" w:cs="仿宋_GB2312"/>
          <w:color w:val="auto"/>
          <w:kern w:val="0"/>
          <w:sz w:val="32"/>
          <w:szCs w:val="32"/>
          <w:lang w:val="en-US" w:eastAsia="zh-CN" w:bidi="ar"/>
        </w:rPr>
        <w:t>机构1个</w:t>
      </w:r>
      <w:r>
        <w:rPr>
          <w:rFonts w:hint="eastAsia" w:ascii="仿宋_GB2312" w:hAnsi="仿宋_GB2312" w:eastAsia="仿宋_GB2312" w:cs="仿宋_GB2312"/>
          <w:color w:val="000000"/>
          <w:kern w:val="0"/>
          <w:sz w:val="32"/>
          <w:szCs w:val="32"/>
          <w:lang w:val="en-US" w:eastAsia="zh-CN" w:bidi="ar"/>
        </w:rPr>
        <w:t>，孵化中心、煤矸石研究院全面建成并充分发挥功能，重要骨干企业研发投入占销售收入的比重达</w:t>
      </w:r>
      <w:r>
        <w:rPr>
          <w:rFonts w:hint="eastAsia" w:ascii="仿宋_GB2312" w:hAnsi="仿宋_GB2312" w:eastAsia="仿宋_GB2312" w:cs="仿宋_GB2312"/>
          <w:color w:val="auto"/>
          <w:kern w:val="0"/>
          <w:sz w:val="32"/>
          <w:szCs w:val="32"/>
          <w:lang w:val="en-US" w:eastAsia="zh-CN" w:bidi="ar"/>
        </w:rPr>
        <w:t>到2%以上。</w:t>
      </w:r>
      <w:r>
        <w:rPr>
          <w:rFonts w:hint="eastAsia" w:ascii="仿宋_GB2312" w:hAnsi="仿宋_GB2312" w:eastAsia="仿宋_GB2312" w:cs="仿宋_GB2312"/>
          <w:color w:val="000000"/>
          <w:kern w:val="0"/>
          <w:sz w:val="32"/>
          <w:szCs w:val="32"/>
          <w:lang w:val="en-US" w:eastAsia="zh-CN" w:bidi="ar"/>
        </w:rPr>
        <w:t>到2025年，力争培育省级以上研发</w:t>
      </w:r>
      <w:r>
        <w:rPr>
          <w:rFonts w:hint="eastAsia" w:ascii="仿宋_GB2312" w:hAnsi="仿宋_GB2312" w:eastAsia="仿宋_GB2312" w:cs="仿宋_GB2312"/>
          <w:color w:val="auto"/>
          <w:kern w:val="0"/>
          <w:sz w:val="32"/>
          <w:szCs w:val="32"/>
          <w:lang w:val="en-US" w:eastAsia="zh-CN" w:bidi="ar"/>
        </w:rPr>
        <w:t>机构2个</w:t>
      </w:r>
      <w:r>
        <w:rPr>
          <w:rFonts w:hint="eastAsia" w:ascii="仿宋_GB2312" w:hAnsi="仿宋_GB2312" w:eastAsia="仿宋_GB2312" w:cs="仿宋_GB2312"/>
          <w:color w:val="000000"/>
          <w:kern w:val="0"/>
          <w:sz w:val="32"/>
          <w:szCs w:val="32"/>
          <w:lang w:val="en-US" w:eastAsia="zh-CN" w:bidi="ar"/>
        </w:rPr>
        <w:t>，重要骨干企业研发投入占销售收入的比重达</w:t>
      </w:r>
      <w:r>
        <w:rPr>
          <w:rFonts w:hint="eastAsia" w:ascii="仿宋_GB2312" w:hAnsi="仿宋_GB2312" w:eastAsia="仿宋_GB2312" w:cs="仿宋_GB2312"/>
          <w:color w:val="auto"/>
          <w:kern w:val="0"/>
          <w:sz w:val="32"/>
          <w:szCs w:val="32"/>
          <w:lang w:val="en-US" w:eastAsia="zh-CN" w:bidi="ar"/>
        </w:rPr>
        <w:t>到3.2%以上。</w:t>
      </w:r>
      <w:r>
        <w:rPr>
          <w:rFonts w:hint="eastAsia" w:ascii="仿宋_GB2312" w:hAnsi="仿宋_GB2312" w:eastAsia="仿宋_GB2312" w:cs="仿宋_GB2312"/>
          <w:color w:val="000000"/>
          <w:kern w:val="0"/>
          <w:sz w:val="32"/>
          <w:szCs w:val="32"/>
          <w:lang w:val="en-US" w:eastAsia="zh-CN" w:bidi="ar"/>
        </w:rPr>
        <w:t>企业重大科技成果集成转化能力大幅提高，掌握一批具有产业主导地位的关键核心技术，实施一批重大科技成果转化项目，培育一批具有自主知识产权的重大战略性新兴产品，建成一批具有国际先进水平的创新平台，发明专利质量数量和技术标准水平进一步提升。</w:t>
      </w:r>
    </w:p>
    <w:p>
      <w:pPr>
        <w:keepNext w:val="0"/>
        <w:keepLines w:val="0"/>
        <w:kinsoku/>
        <w:wordWrap/>
        <w:overflowPunct/>
        <w:topLinePunct w:val="0"/>
        <w:autoSpaceDE/>
        <w:autoSpaceDN/>
        <w:bidi w:val="0"/>
        <w:spacing w:line="360" w:lineRule="auto"/>
        <w:ind w:left="0" w:leftChars="0" w:firstLine="643" w:firstLineChars="200"/>
        <w:jc w:val="both"/>
        <w:rPr>
          <w:rFonts w:hint="eastAsia" w:ascii="仿宋_GB2312" w:hAnsi="仿宋_GB2312" w:eastAsia="仿宋_GB2312" w:cs="仿宋_GB2312"/>
          <w:color w:val="000000"/>
          <w:kern w:val="0"/>
          <w:sz w:val="32"/>
          <w:szCs w:val="32"/>
          <w:lang w:val="en-US" w:eastAsia="zh-CN" w:bidi="ar"/>
        </w:rPr>
      </w:pPr>
      <w:bookmarkStart w:id="60" w:name="_Toc13678"/>
      <w:bookmarkStart w:id="61" w:name="_Toc31532"/>
      <w:bookmarkStart w:id="62" w:name="_Toc31138"/>
      <w:bookmarkStart w:id="63" w:name="_Toc29912"/>
      <w:bookmarkStart w:id="64" w:name="_Toc16155"/>
      <w:bookmarkStart w:id="65" w:name="_Toc29017"/>
      <w:bookmarkStart w:id="66" w:name="_Toc26037"/>
      <w:r>
        <w:rPr>
          <w:rFonts w:hint="eastAsia" w:ascii="仿宋_GB2312" w:hAnsi="仿宋_GB2312" w:eastAsia="仿宋_GB2312" w:cs="仿宋_GB2312"/>
          <w:b/>
          <w:bCs/>
          <w:color w:val="000000"/>
          <w:kern w:val="0"/>
          <w:sz w:val="32"/>
          <w:szCs w:val="32"/>
          <w:lang w:val="en-US" w:eastAsia="zh-CN" w:bidi="ar"/>
        </w:rPr>
        <w:t>企业生态逐步形成</w:t>
      </w:r>
      <w:bookmarkEnd w:id="60"/>
      <w:bookmarkEnd w:id="61"/>
      <w:bookmarkEnd w:id="62"/>
      <w:bookmarkEnd w:id="63"/>
      <w:bookmarkEnd w:id="64"/>
      <w:bookmarkEnd w:id="65"/>
      <w:bookmarkEnd w:id="66"/>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到2025年，引进一批规模较大的具有重大影响力的标志性企业及重大关键项目，培育一批技术含量高、经济效益好的中小企业和产业关联度大的协作配套企业，建成完善的配套设施和企业支撑服务平台，形成产业链上下游纵向专业分工、横向高度匹配的煤矸石产业协同生态链企业群落。</w:t>
      </w:r>
    </w:p>
    <w:p>
      <w:pPr>
        <w:pStyle w:val="2"/>
        <w:rPr>
          <w:rFonts w:hint="eastAsia" w:ascii="仿宋_GB2312" w:hAnsi="仿宋_GB2312" w:eastAsia="仿宋_GB2312" w:cs="仿宋_GB2312"/>
          <w:color w:val="000000"/>
          <w:kern w:val="0"/>
          <w:sz w:val="32"/>
          <w:szCs w:val="32"/>
          <w:lang w:val="en-US" w:eastAsia="zh-CN" w:bidi="ar"/>
        </w:rPr>
      </w:pPr>
    </w:p>
    <w:p>
      <w:pPr>
        <w:pStyle w:val="2"/>
        <w:rPr>
          <w:rFonts w:hint="eastAsia" w:ascii="仿宋_GB2312" w:hAnsi="仿宋_GB2312" w:eastAsia="仿宋_GB2312" w:cs="仿宋_GB2312"/>
          <w:color w:val="000000"/>
          <w:kern w:val="0"/>
          <w:sz w:val="32"/>
          <w:szCs w:val="32"/>
          <w:lang w:val="en-US" w:eastAsia="zh-CN" w:bidi="ar"/>
        </w:rPr>
      </w:pPr>
    </w:p>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4"/>
          <w:szCs w:val="24"/>
          <w:lang w:val="en-US" w:eastAsia="zh-CN"/>
        </w:rPr>
      </w:pPr>
      <w:r>
        <w:rPr>
          <w:rFonts w:hint="eastAsia" w:ascii="仿宋" w:hAnsi="仿宋" w:eastAsia="仿宋" w:cs="仿宋"/>
          <w:b/>
          <w:bCs/>
          <w:color w:val="000000"/>
          <w:sz w:val="24"/>
          <w:szCs w:val="24"/>
          <w:lang w:val="en-US" w:eastAsia="zh-CN"/>
        </w:rPr>
        <w:t>表1：抚顺市煤矸石综合利用产业发展</w:t>
      </w:r>
      <w:r>
        <w:rPr>
          <w:rFonts w:hint="eastAsia" w:ascii="仿宋" w:hAnsi="仿宋" w:eastAsia="仿宋" w:cs="仿宋"/>
          <w:b/>
          <w:bCs/>
          <w:color w:val="000000"/>
          <w:sz w:val="24"/>
          <w:szCs w:val="24"/>
        </w:rPr>
        <w:t>主要</w:t>
      </w:r>
      <w:r>
        <w:rPr>
          <w:rFonts w:hint="eastAsia" w:ascii="仿宋" w:hAnsi="仿宋" w:eastAsia="仿宋" w:cs="仿宋"/>
          <w:b/>
          <w:bCs/>
          <w:color w:val="000000"/>
          <w:sz w:val="24"/>
          <w:szCs w:val="24"/>
          <w:lang w:val="en-US" w:eastAsia="zh-CN"/>
        </w:rPr>
        <w:t>指标</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8"/>
        <w:gridCol w:w="3084"/>
        <w:gridCol w:w="677"/>
        <w:gridCol w:w="1471"/>
        <w:gridCol w:w="1471"/>
        <w:gridCol w:w="1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序号</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指标名称</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单位</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202</w:t>
            </w:r>
            <w:r>
              <w:rPr>
                <w:rFonts w:hint="eastAsia" w:ascii="仿宋" w:hAnsi="仿宋" w:eastAsia="仿宋" w:cs="仿宋"/>
                <w:b/>
                <w:bCs/>
                <w:color w:val="000000"/>
                <w:szCs w:val="21"/>
                <w:lang w:val="en-US" w:eastAsia="zh-CN"/>
              </w:rPr>
              <w:t>0</w:t>
            </w:r>
            <w:r>
              <w:rPr>
                <w:rFonts w:hint="eastAsia" w:ascii="仿宋" w:hAnsi="仿宋" w:eastAsia="仿宋" w:cs="仿宋"/>
                <w:b/>
                <w:bCs/>
                <w:color w:val="000000"/>
                <w:szCs w:val="21"/>
              </w:rPr>
              <w:t>年</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2025年</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指标</w:t>
            </w:r>
          </w:p>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rPr>
            </w:pPr>
            <w:r>
              <w:rPr>
                <w:rFonts w:hint="eastAsia" w:ascii="仿宋" w:hAnsi="仿宋" w:eastAsia="仿宋" w:cs="仿宋"/>
                <w:b/>
                <w:bCs/>
                <w:color w:val="000000"/>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lang w:eastAsia="zh-CN"/>
              </w:rPr>
            </w:pPr>
            <w:r>
              <w:rPr>
                <w:rFonts w:hint="eastAsia" w:ascii="仿宋" w:hAnsi="仿宋" w:eastAsia="仿宋" w:cs="仿宋"/>
                <w:b/>
                <w:bCs/>
                <w:color w:val="000000"/>
                <w:szCs w:val="21"/>
                <w:lang w:val="en-US" w:eastAsia="zh-CN"/>
              </w:rPr>
              <w:t>一</w:t>
            </w:r>
          </w:p>
        </w:tc>
        <w:tc>
          <w:tcPr>
            <w:tcW w:w="4636" w:type="pct"/>
            <w:gridSpan w:val="5"/>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b/>
                <w:bCs/>
                <w:color w:val="000000"/>
                <w:szCs w:val="21"/>
                <w:lang w:val="en-US" w:eastAsia="zh-CN"/>
              </w:rPr>
              <w:t>煤矸石综合利用产业年产值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1.1</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新型建筑材料年产值</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亿元</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86.3</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1.2</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制备化工原料年产值</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亿元</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75.5</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1.3</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土壤改良年产值</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亿元</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0.5</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1.4</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煤矸石洗选综合利用年产值</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rPr>
              <w:t>亿元</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tabs>
                <w:tab w:val="left" w:pos="344"/>
              </w:tabs>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0.5</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lang w:eastAsia="zh-CN"/>
              </w:rPr>
            </w:pPr>
            <w:r>
              <w:rPr>
                <w:rFonts w:hint="eastAsia" w:ascii="仿宋" w:hAnsi="仿宋" w:eastAsia="仿宋" w:cs="仿宋"/>
                <w:b/>
                <w:bCs/>
                <w:color w:val="000000"/>
                <w:szCs w:val="21"/>
                <w:lang w:val="en-US" w:eastAsia="zh-CN"/>
              </w:rPr>
              <w:t>二</w:t>
            </w:r>
          </w:p>
        </w:tc>
        <w:tc>
          <w:tcPr>
            <w:tcW w:w="4636" w:type="pct"/>
            <w:gridSpan w:val="5"/>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b/>
                <w:bCs/>
                <w:color w:val="000000"/>
                <w:szCs w:val="21"/>
                <w:lang w:val="en-US" w:eastAsia="zh-CN"/>
              </w:rPr>
              <w:t>煤矸石综合利用产业规上工业企业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2.1</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占全市规上工业企业总数</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tabs>
                <w:tab w:val="left" w:pos="344"/>
              </w:tabs>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6.8%</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2.2</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产值超10亿元工业企业</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个</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tabs>
                <w:tab w:val="left" w:pos="200"/>
              </w:tabs>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2.3</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产值超亿元工业企业</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eastAsia="zh-CN"/>
              </w:rPr>
            </w:pPr>
            <w:r>
              <w:rPr>
                <w:rFonts w:hint="eastAsia" w:ascii="仿宋" w:hAnsi="仿宋" w:eastAsia="仿宋" w:cs="仿宋"/>
                <w:color w:val="000000"/>
                <w:szCs w:val="21"/>
                <w:lang w:val="en-US" w:eastAsia="zh-CN"/>
              </w:rPr>
              <w:t>个</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tabs>
                <w:tab w:val="left" w:pos="200"/>
              </w:tabs>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10</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lang w:eastAsia="zh-CN"/>
              </w:rPr>
            </w:pPr>
            <w:r>
              <w:rPr>
                <w:rFonts w:hint="eastAsia" w:ascii="仿宋" w:hAnsi="仿宋" w:eastAsia="仿宋" w:cs="仿宋"/>
                <w:b/>
                <w:bCs/>
                <w:color w:val="000000"/>
                <w:szCs w:val="21"/>
                <w:lang w:val="en-US" w:eastAsia="zh-CN"/>
              </w:rPr>
              <w:t>三</w:t>
            </w:r>
          </w:p>
        </w:tc>
        <w:tc>
          <w:tcPr>
            <w:tcW w:w="4636" w:type="pct"/>
            <w:gridSpan w:val="5"/>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b/>
                <w:bCs/>
                <w:color w:val="000000"/>
                <w:szCs w:val="21"/>
                <w:lang w:val="en-US" w:eastAsia="zh-CN"/>
              </w:rPr>
              <w:t>全国具有影响力的煤矸石产品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3.1</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煤矸石建材产品</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个</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2</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3.2</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煤矸石化工产品</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个</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3.3</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煤矸石有机肥料</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个</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1</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Cs w:val="21"/>
                <w:lang w:eastAsia="zh-CN"/>
              </w:rPr>
            </w:pPr>
            <w:r>
              <w:rPr>
                <w:rFonts w:hint="eastAsia" w:ascii="仿宋" w:hAnsi="仿宋" w:eastAsia="仿宋" w:cs="仿宋"/>
                <w:b/>
                <w:bCs/>
                <w:color w:val="000000"/>
                <w:szCs w:val="21"/>
                <w:lang w:val="en-US" w:eastAsia="zh-CN"/>
              </w:rPr>
              <w:t>四</w:t>
            </w:r>
          </w:p>
        </w:tc>
        <w:tc>
          <w:tcPr>
            <w:tcW w:w="4636" w:type="pct"/>
            <w:gridSpan w:val="5"/>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b/>
                <w:bCs/>
                <w:color w:val="000000"/>
                <w:szCs w:val="21"/>
                <w:lang w:val="en-US" w:eastAsia="zh-CN"/>
              </w:rPr>
              <w:t>创新能力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4.1</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R&amp;D经费投入强度</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3.2%</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4.2</w:t>
            </w:r>
          </w:p>
        </w:tc>
        <w:tc>
          <w:tcPr>
            <w:tcW w:w="1810"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高技术企业数量</w:t>
            </w:r>
          </w:p>
        </w:tc>
        <w:tc>
          <w:tcPr>
            <w:tcW w:w="397"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个</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w:t>
            </w:r>
          </w:p>
        </w:tc>
        <w:tc>
          <w:tcPr>
            <w:tcW w:w="863"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lang w:val="en-US" w:eastAsia="zh-CN"/>
              </w:rPr>
            </w:pPr>
            <w:r>
              <w:rPr>
                <w:rFonts w:hint="eastAsia" w:ascii="仿宋" w:hAnsi="仿宋" w:eastAsia="仿宋" w:cs="仿宋"/>
                <w:color w:val="000000"/>
                <w:szCs w:val="21"/>
                <w:lang w:val="en-US" w:eastAsia="zh-CN"/>
              </w:rPr>
              <w:t>2</w:t>
            </w:r>
          </w:p>
        </w:tc>
        <w:tc>
          <w:tcPr>
            <w:tcW w:w="701" w:type="pct"/>
            <w:noWrap w:val="0"/>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color w:val="000000"/>
                <w:szCs w:val="21"/>
              </w:rPr>
            </w:pPr>
            <w:r>
              <w:rPr>
                <w:rFonts w:hint="eastAsia" w:ascii="仿宋" w:hAnsi="仿宋" w:eastAsia="仿宋" w:cs="仿宋"/>
                <w:color w:val="000000"/>
                <w:szCs w:val="21"/>
              </w:rPr>
              <w:t>预期性</w:t>
            </w:r>
          </w:p>
        </w:tc>
      </w:tr>
    </w:tbl>
    <w:p>
      <w:pPr>
        <w:pStyle w:val="6"/>
        <w:keepNext w:val="0"/>
        <w:keepLines w:val="0"/>
        <w:kinsoku/>
        <w:wordWrap/>
        <w:overflowPunct/>
        <w:topLinePunct w:val="0"/>
        <w:autoSpaceDE/>
        <w:autoSpaceDN/>
        <w:bidi w:val="0"/>
        <w:spacing w:line="360" w:lineRule="auto"/>
        <w:ind w:left="0" w:leftChars="0" w:firstLine="0" w:firstLineChars="0"/>
        <w:jc w:val="both"/>
        <w:rPr>
          <w:rFonts w:hint="eastAsia"/>
          <w:lang w:val="en-US" w:eastAsia="zh-CN"/>
        </w:rPr>
      </w:pPr>
    </w:p>
    <w:p>
      <w:pPr>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default" w:ascii="仿宋_GB2312" w:hAnsi="仿宋_GB2312" w:eastAsia="仿宋_GB2312" w:cs="仿宋_GB2312"/>
          <w:b/>
          <w:bCs/>
          <w:color w:val="000000"/>
          <w:kern w:val="0"/>
          <w:sz w:val="32"/>
          <w:szCs w:val="32"/>
          <w:lang w:val="en-US" w:eastAsia="zh-CN" w:bidi="ar"/>
        </w:rPr>
      </w:pPr>
      <w:bookmarkStart w:id="67" w:name="_Toc14323"/>
      <w:r>
        <w:rPr>
          <w:rFonts w:hint="eastAsia" w:ascii="仿宋_GB2312" w:hAnsi="仿宋_GB2312" w:eastAsia="仿宋_GB2312" w:cs="仿宋_GB2312"/>
          <w:b/>
          <w:bCs/>
          <w:color w:val="000000"/>
          <w:kern w:val="0"/>
          <w:sz w:val="32"/>
          <w:szCs w:val="32"/>
          <w:lang w:val="en-US" w:eastAsia="zh-CN" w:bidi="ar"/>
        </w:rPr>
        <w:t>（五）空间布局</w:t>
      </w:r>
      <w:bookmarkEnd w:id="67"/>
    </w:p>
    <w:p>
      <w:pPr>
        <w:pStyle w:val="8"/>
        <w:keepNext w:val="0"/>
        <w:keepLines w:val="0"/>
        <w:kinsoku/>
        <w:wordWrap/>
        <w:overflowPunct/>
        <w:topLinePunct w:val="0"/>
        <w:autoSpaceDE/>
        <w:autoSpaceDN/>
        <w:bidi w:val="0"/>
        <w:spacing w:line="360" w:lineRule="auto"/>
        <w:ind w:left="0" w:leftChars="0"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抚顺市煤矸石综合利用发展围绕汪良舍场和东舍场布局，建成望花经济开发区（A区）和胜利经济开发区（B区）两个大宗固体废弃物综合利用产业园区，并分别由望花经济开发区管委会及胜利开发区管委会负责管理工作。</w:t>
      </w:r>
    </w:p>
    <w:p>
      <w:pPr>
        <w:keepNext w:val="0"/>
        <w:keepLines w:val="0"/>
        <w:kinsoku/>
        <w:wordWrap/>
        <w:overflowPunct/>
        <w:topLinePunct w:val="0"/>
        <w:autoSpaceDE/>
        <w:autoSpaceDN/>
        <w:bidi w:val="0"/>
        <w:spacing w:line="360" w:lineRule="auto"/>
        <w:ind w:left="0" w:leftChars="0"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望花大宗固体废弃物综合利用产业园区（A区），东起汪良舍场，西至西舍场，北起中机热电厂区，南到碾三线，规划用地总面积4.43平方公里。重点围绕汪良舍场历史堆存煤矸石开展综合利用，主要发展煤矸石无机保温材料、绿色水泥、发泡陶瓷、透水砖和透水混凝土、煤矸石仿古装配整体式预制构件等新型建材。</w:t>
      </w:r>
    </w:p>
    <w:p>
      <w:pPr>
        <w:keepNext w:val="0"/>
        <w:keepLines w:val="0"/>
        <w:kinsoku/>
        <w:wordWrap/>
        <w:overflowPunct/>
        <w:topLinePunct w:val="0"/>
        <w:autoSpaceDE/>
        <w:autoSpaceDN/>
        <w:bidi w:val="0"/>
        <w:spacing w:line="360" w:lineRule="auto"/>
        <w:ind w:left="0" w:leftChars="0" w:firstLine="640" w:firstLineChars="200"/>
        <w:jc w:val="both"/>
        <w:rPr>
          <w:rFonts w:hint="eastAsia" w:ascii="仿宋_GB2312" w:hAnsi="仿宋_GB2312" w:eastAsia="仿宋_GB2312" w:cs="仿宋_GB2312"/>
          <w:color w:val="000000"/>
          <w:kern w:val="0"/>
          <w:sz w:val="32"/>
          <w:szCs w:val="32"/>
          <w:lang w:val="en-US" w:eastAsia="zh-CN" w:bidi="ar"/>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ascii="仿宋_GB2312" w:hAnsi="仿宋_GB2312" w:eastAsia="仿宋_GB2312" w:cs="仿宋_GB2312"/>
          <w:color w:val="000000"/>
          <w:kern w:val="0"/>
          <w:sz w:val="32"/>
          <w:szCs w:val="32"/>
          <w:lang w:val="en-US" w:eastAsia="zh-CN" w:bidi="ar"/>
        </w:rPr>
        <w:t>胜利开发区大宗固体废弃物综合利用产业园（B区），包括两个片区，规划总面积88.5公顷。一个位于千金乡千金村，规划用地面积48.5公顷，东起东舍场，西至抚清线，北起南花园桥，南到石家堡。另一个以原胜利矿为核心，规划用地面积40公顷。重点围绕东露天矿低品位油母页岩、绿岩，东舍场历史堆存煤矸石开展综合利用，主要发展工业净水材料、发泡陶瓷、透水砖、煤矸石仿古装配整体式预制构件、生物肥料、煤矸石洗选、煤矸石砂源替代利用等。</w:t>
      </w:r>
    </w:p>
    <w:p>
      <w:pPr>
        <w:pStyle w:val="8"/>
        <w:keepNext w:val="0"/>
        <w:keepLines w:val="0"/>
        <w:kinsoku/>
        <w:wordWrap/>
        <w:overflowPunct/>
        <w:topLinePunct w:val="0"/>
        <w:autoSpaceDE/>
        <w:autoSpaceDN/>
        <w:bidi w:val="0"/>
        <w:spacing w:line="360" w:lineRule="auto"/>
        <w:ind w:left="0" w:leftChars="0"/>
        <w:jc w:val="center"/>
        <w:rPr>
          <w:rFonts w:hint="eastAsia" w:ascii="仿宋_GB2312" w:hAnsi="仿宋_GB2312" w:eastAsia="仿宋_GB2312" w:cs="仿宋_GB2312"/>
          <w:color w:val="000000"/>
          <w:kern w:val="0"/>
          <w:sz w:val="32"/>
          <w:szCs w:val="32"/>
          <w:lang w:val="en-US" w:eastAsia="zh-CN" w:bidi="ar"/>
        </w:rPr>
      </w:pPr>
      <w:r>
        <w:rPr>
          <w:sz w:val="32"/>
        </w:rPr>
        <mc:AlternateContent>
          <mc:Choice Requires="wps">
            <w:drawing>
              <wp:anchor distT="0" distB="0" distL="114300" distR="114300" simplePos="0" relativeHeight="251662336" behindDoc="0" locked="0" layoutInCell="1" allowOverlap="1">
                <wp:simplePos x="0" y="0"/>
                <wp:positionH relativeFrom="column">
                  <wp:posOffset>2617470</wp:posOffset>
                </wp:positionH>
                <wp:positionV relativeFrom="paragraph">
                  <wp:posOffset>-224790</wp:posOffset>
                </wp:positionV>
                <wp:extent cx="4105275" cy="305435"/>
                <wp:effectExtent l="0" t="0" r="9525" b="18415"/>
                <wp:wrapNone/>
                <wp:docPr id="1" name="文本框 1"/>
                <wp:cNvGraphicFramePr/>
                <a:graphic xmlns:a="http://schemas.openxmlformats.org/drawingml/2006/main">
                  <a:graphicData uri="http://schemas.microsoft.com/office/word/2010/wordprocessingShape">
                    <wps:wsp>
                      <wps:cNvSpPr txBox="1"/>
                      <wps:spPr>
                        <a:xfrm>
                          <a:off x="2293620" y="1061085"/>
                          <a:ext cx="41052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图1：抚顺市煤矸石综合利用产业园区总体布局图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pt;margin-top:-17.7pt;height:24.05pt;width:323.25pt;z-index:251662336;mso-width-relative:page;mso-height-relative:page;" fillcolor="#FFFFFF [3201]" filled="t" stroked="f" coordsize="21600,21600" o:gfxdata="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4S5Cp&#10;1wAAAAsBAAAPAAAAAAAAAAEAIAAAACIAAABkcnMvZG93bnJldi54bWxQSwECFAAUAAAACACHTuJA&#10;zK+DHVsCAACbBAAADgAAAAAAAAABACAAAAAmAQAAZHJzL2Uyb0RvYy54bWxQSwUGAAAAAAYABgBZ&#10;AQAA8wUAAAAA&#10;">
                <v:fill on="t" focussize="0,0"/>
                <v:stroke on="f" weight="0.5pt"/>
                <v:imagedata o:title=""/>
                <o:lock v:ext="edit" aspectratio="f"/>
                <v:textbox>
                  <w:txbxContent>
                    <w:p>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图1：抚顺市煤矸石综合利用产业园区总体布局图</w:t>
                      </w:r>
                    </w:p>
                  </w:txbxContent>
                </v:textbox>
              </v:shape>
            </w:pict>
          </mc:Fallback>
        </mc:AlternateContent>
      </w:r>
      <w:r>
        <w:rPr>
          <w:rFonts w:hint="eastAsia" w:ascii="仿宋_GB2312" w:hAnsi="仿宋_GB2312" w:eastAsia="仿宋_GB2312" w:cs="仿宋_GB2312"/>
          <w:color w:val="000000"/>
          <w:kern w:val="0"/>
          <w:sz w:val="32"/>
          <w:szCs w:val="32"/>
          <w:lang w:val="en-US" w:eastAsia="zh-CN" w:bidi="ar"/>
        </w:rPr>
        <w:drawing>
          <wp:inline distT="0" distB="0" distL="114300" distR="114300">
            <wp:extent cx="8369935" cy="5162550"/>
            <wp:effectExtent l="0" t="0" r="12065" b="0"/>
            <wp:docPr id="9" name="图片 9"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3"/>
                    <pic:cNvPicPr>
                      <a:picLocks noChangeAspect="1"/>
                    </pic:cNvPicPr>
                  </pic:nvPicPr>
                  <pic:blipFill>
                    <a:blip r:embed="rId7"/>
                    <a:srcRect t="7366"/>
                    <a:stretch>
                      <a:fillRect/>
                    </a:stretch>
                  </pic:blipFill>
                  <pic:spPr>
                    <a:xfrm>
                      <a:off x="0" y="0"/>
                      <a:ext cx="8369935" cy="5162550"/>
                    </a:xfrm>
                    <a:prstGeom prst="rect">
                      <a:avLst/>
                    </a:prstGeom>
                  </pic:spPr>
                </pic:pic>
              </a:graphicData>
            </a:graphic>
          </wp:inline>
        </w:drawing>
      </w:r>
    </w:p>
    <w:p>
      <w:pPr>
        <w:pStyle w:val="6"/>
        <w:keepNext w:val="0"/>
        <w:keepLines w:val="0"/>
        <w:kinsoku/>
        <w:wordWrap/>
        <w:overflowPunct/>
        <w:topLinePunct w:val="0"/>
        <w:autoSpaceDE/>
        <w:autoSpaceDN/>
        <w:bidi w:val="0"/>
        <w:spacing w:line="360" w:lineRule="auto"/>
        <w:ind w:left="0" w:leftChars="0" w:firstLine="0" w:firstLineChars="0"/>
        <w:jc w:val="center"/>
        <w:rPr>
          <w:rFonts w:hint="eastAsia"/>
          <w:lang w:val="en-US" w:eastAsia="zh-CN"/>
        </w:rPr>
      </w:pPr>
      <w:r>
        <w:rPr>
          <w:sz w:val="32"/>
        </w:rPr>
        <mc:AlternateContent>
          <mc:Choice Requires="wps">
            <w:drawing>
              <wp:anchor distT="0" distB="0" distL="114300" distR="114300" simplePos="0" relativeHeight="251663360" behindDoc="0" locked="0" layoutInCell="1" allowOverlap="1">
                <wp:simplePos x="0" y="0"/>
                <wp:positionH relativeFrom="column">
                  <wp:posOffset>2760345</wp:posOffset>
                </wp:positionH>
                <wp:positionV relativeFrom="paragraph">
                  <wp:posOffset>-300990</wp:posOffset>
                </wp:positionV>
                <wp:extent cx="4105275" cy="305435"/>
                <wp:effectExtent l="0" t="0" r="9525" b="18415"/>
                <wp:wrapNone/>
                <wp:docPr id="2" name="文本框 2"/>
                <wp:cNvGraphicFramePr/>
                <a:graphic xmlns:a="http://schemas.openxmlformats.org/drawingml/2006/main">
                  <a:graphicData uri="http://schemas.microsoft.com/office/word/2010/wordprocessingShape">
                    <wps:wsp>
                      <wps:cNvSpPr txBox="1"/>
                      <wps:spPr>
                        <a:xfrm>
                          <a:off x="0" y="0"/>
                          <a:ext cx="41052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图2：望花大宗固体废弃物综合利用产业园区（A区）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35pt;margin-top:-23.7pt;height:24.05pt;width:323.25pt;z-index:251663360;mso-width-relative:page;mso-height-relative:page;" fillcolor="#FFFFFF [3201]" filled="t" stroked="f" coordsize="21600,21600" o:gfxdata="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dImYfVAAAACQEAAA8AAAAA&#10;AAAAAQAgAAAAIgAAAGRycy9kb3ducmV2LnhtbFBLAQIUABQAAAAIAIdO4kC6MG26UAIAAI8EAAAO&#10;AAAAAAAAAAEAIAAAACQBAABkcnMvZTJvRG9jLnhtbFBLBQYAAAAABgAGAFkBAADmBQAAAAA=&#10;">
                <v:fill on="t" focussize="0,0"/>
                <v:stroke on="f" weight="0.5pt"/>
                <v:imagedata o:title=""/>
                <o:lock v:ext="edit" aspectratio="f"/>
                <v:textbox>
                  <w:txbxContent>
                    <w:p>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图2：望花大宗固体废弃物综合利用产业园区（A区）</w:t>
                      </w:r>
                    </w:p>
                  </w:txbxContent>
                </v:textbox>
              </v:shape>
            </w:pict>
          </mc:Fallback>
        </mc:AlternateContent>
      </w:r>
      <w:r>
        <w:rPr>
          <w:rFonts w:hint="eastAsia"/>
          <w:lang w:val="en-US" w:eastAsia="zh-CN"/>
        </w:rPr>
        <w:drawing>
          <wp:inline distT="0" distB="0" distL="114300" distR="114300">
            <wp:extent cx="8375015" cy="5247640"/>
            <wp:effectExtent l="0" t="0" r="6985" b="10160"/>
            <wp:docPr id="6" name="图片 6" descr="望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望花"/>
                    <pic:cNvPicPr>
                      <a:picLocks noChangeAspect="1"/>
                    </pic:cNvPicPr>
                  </pic:nvPicPr>
                  <pic:blipFill>
                    <a:blip r:embed="rId8"/>
                    <a:srcRect l="5447" t="13737" r="5523" b="11776"/>
                    <a:stretch>
                      <a:fillRect/>
                    </a:stretch>
                  </pic:blipFill>
                  <pic:spPr>
                    <a:xfrm>
                      <a:off x="0" y="0"/>
                      <a:ext cx="8375015" cy="5247640"/>
                    </a:xfrm>
                    <a:prstGeom prst="rect">
                      <a:avLst/>
                    </a:prstGeom>
                  </pic:spPr>
                </pic:pic>
              </a:graphicData>
            </a:graphic>
          </wp:inline>
        </w:drawing>
      </w:r>
    </w:p>
    <w:p>
      <w:pPr>
        <w:pStyle w:val="6"/>
        <w:keepNext w:val="0"/>
        <w:keepLines w:val="0"/>
        <w:kinsoku/>
        <w:wordWrap/>
        <w:overflowPunct/>
        <w:topLinePunct w:val="0"/>
        <w:autoSpaceDE/>
        <w:autoSpaceDN/>
        <w:bidi w:val="0"/>
        <w:spacing w:line="360" w:lineRule="auto"/>
        <w:ind w:left="0" w:leftChars="0" w:firstLine="0" w:firstLineChars="0"/>
        <w:jc w:val="center"/>
        <w:rPr>
          <w:rFonts w:hint="eastAsia"/>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2760345</wp:posOffset>
                </wp:positionH>
                <wp:positionV relativeFrom="paragraph">
                  <wp:posOffset>-300990</wp:posOffset>
                </wp:positionV>
                <wp:extent cx="4105275" cy="305435"/>
                <wp:effectExtent l="0" t="0" r="9525" b="18415"/>
                <wp:wrapNone/>
                <wp:docPr id="5" name="文本框 5"/>
                <wp:cNvGraphicFramePr/>
                <a:graphic xmlns:a="http://schemas.openxmlformats.org/drawingml/2006/main">
                  <a:graphicData uri="http://schemas.microsoft.com/office/word/2010/wordprocessingShape">
                    <wps:wsp>
                      <wps:cNvSpPr txBox="1"/>
                      <wps:spPr>
                        <a:xfrm>
                          <a:off x="0" y="0"/>
                          <a:ext cx="41052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图3：胜利大宗固体废弃物综合利用产业园区（B区）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35pt;margin-top:-23.7pt;height:24.05pt;width:323.25pt;z-index:251664384;mso-width-relative:page;mso-height-relative:page;" fillcolor="#FFFFFF [3201]" filled="t" stroked="f" coordsize="21600,21600" o:gfxdata="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3SJmH1QAAAAkBAAAPAAAA&#10;AAAAAAEAIAAAACIAAABkcnMvZG93bnJldi54bWxQSwECFAAUAAAACACHTuJASVJ3nlECAACPBAAA&#10;DgAAAAAAAAABACAAAAAkAQAAZHJzL2Uyb0RvYy54bWxQSwUGAAAAAAYABgBZAQAA5wUAAAAA&#10;">
                <v:fill on="t" focussize="0,0"/>
                <v:stroke on="f" weight="0.5pt"/>
                <v:imagedata o:title=""/>
                <o:lock v:ext="edit" aspectratio="f"/>
                <v:textbox>
                  <w:txbxContent>
                    <w:p>
                      <w:pP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图3：胜利大宗固体废弃物综合利用产业园区（B区）</w:t>
                      </w:r>
                    </w:p>
                  </w:txbxContent>
                </v:textbox>
              </v:shape>
            </w:pict>
          </mc:Fallback>
        </mc:AlternateContent>
      </w:r>
      <w:r>
        <w:rPr>
          <w:rFonts w:hint="eastAsia"/>
          <w:lang w:val="en-US" w:eastAsia="zh-CN"/>
        </w:rPr>
        <w:drawing>
          <wp:inline distT="0" distB="0" distL="114300" distR="114300">
            <wp:extent cx="8432165" cy="5048885"/>
            <wp:effectExtent l="0" t="0" r="6985" b="18415"/>
            <wp:docPr id="12" name="图片 1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1"/>
                    <pic:cNvPicPr>
                      <a:picLocks noChangeAspect="1"/>
                    </pic:cNvPicPr>
                  </pic:nvPicPr>
                  <pic:blipFill>
                    <a:blip r:embed="rId9"/>
                    <a:srcRect l="1325" t="7954" r="1665" b="1030"/>
                    <a:stretch>
                      <a:fillRect/>
                    </a:stretch>
                  </pic:blipFill>
                  <pic:spPr>
                    <a:xfrm>
                      <a:off x="0" y="0"/>
                      <a:ext cx="8432165" cy="50488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0"/>
        <w:rPr>
          <w:rFonts w:hint="eastAsia" w:ascii="楷体_GB2312" w:hAnsi="楷体_GB2312" w:eastAsia="楷体_GB2312" w:cs="楷体_GB2312"/>
          <w:b/>
          <w:bCs/>
          <w:color w:val="000000"/>
          <w:kern w:val="0"/>
          <w:sz w:val="32"/>
          <w:szCs w:val="32"/>
          <w:lang w:val="en-US" w:eastAsia="zh-CN" w:bidi="ar"/>
        </w:rPr>
        <w:sectPr>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0"/>
        <w:rPr>
          <w:rFonts w:hint="default" w:ascii="楷体_GB2312" w:hAnsi="楷体_GB2312" w:eastAsia="楷体_GB2312" w:cs="楷体_GB2312"/>
          <w:b/>
          <w:bCs/>
          <w:color w:val="000000"/>
          <w:kern w:val="0"/>
          <w:sz w:val="32"/>
          <w:szCs w:val="32"/>
          <w:lang w:val="en-US" w:eastAsia="zh-CN" w:bidi="ar"/>
        </w:rPr>
      </w:pPr>
      <w:bookmarkStart w:id="68" w:name="_Toc1445"/>
      <w:r>
        <w:rPr>
          <w:rFonts w:hint="eastAsia" w:ascii="楷体_GB2312" w:hAnsi="楷体_GB2312" w:eastAsia="楷体_GB2312" w:cs="楷体_GB2312"/>
          <w:b/>
          <w:bCs/>
          <w:color w:val="000000"/>
          <w:kern w:val="0"/>
          <w:sz w:val="32"/>
          <w:szCs w:val="32"/>
          <w:lang w:val="en-US" w:eastAsia="zh-CN" w:bidi="ar"/>
        </w:rPr>
        <w:t>五、发展重点及主要任务</w:t>
      </w:r>
      <w:bookmarkEnd w:id="68"/>
    </w:p>
    <w:p>
      <w:pPr>
        <w:keepNext w:val="0"/>
        <w:keepLines w:val="0"/>
        <w:kinsoku/>
        <w:wordWrap/>
        <w:overflowPunct/>
        <w:topLinePunct w:val="0"/>
        <w:autoSpaceDE/>
        <w:autoSpaceDN/>
        <w:bidi w:val="0"/>
        <w:spacing w:line="360" w:lineRule="auto"/>
        <w:ind w:left="0" w:leftChars="0" w:firstLine="640" w:firstLineChars="200"/>
        <w:jc w:val="both"/>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抚顺市依托丰富、优质的煤矸石资源，</w:t>
      </w:r>
      <w:r>
        <w:rPr>
          <w:rFonts w:hint="eastAsia" w:ascii="仿宋_GB2312" w:hAnsi="仿宋_GB2312" w:eastAsia="仿宋_GB2312" w:cs="仿宋_GB2312"/>
          <w:color w:val="auto"/>
          <w:kern w:val="0"/>
          <w:sz w:val="32"/>
          <w:szCs w:val="32"/>
          <w:lang w:val="en-US" w:eastAsia="zh-CN" w:bidi="ar"/>
        </w:rPr>
        <w:t>发展</w:t>
      </w:r>
      <w:r>
        <w:rPr>
          <w:rFonts w:hint="eastAsia" w:ascii="仿宋_GB2312" w:hAnsi="仿宋_GB2312" w:eastAsia="仿宋_GB2312" w:cs="仿宋_GB2312"/>
          <w:color w:val="000000"/>
          <w:kern w:val="0"/>
          <w:sz w:val="32"/>
          <w:szCs w:val="32"/>
          <w:lang w:val="en-US" w:eastAsia="zh-CN" w:bidi="ar"/>
        </w:rPr>
        <w:t>煤矸石综合利用产业</w:t>
      </w:r>
      <w:r>
        <w:rPr>
          <w:rFonts w:hint="eastAsia" w:ascii="仿宋_GB2312" w:hAnsi="仿宋_GB2312" w:eastAsia="仿宋_GB2312" w:cs="仿宋_GB2312"/>
          <w:color w:val="auto"/>
          <w:kern w:val="0"/>
          <w:sz w:val="32"/>
          <w:szCs w:val="32"/>
          <w:lang w:val="en-US" w:eastAsia="zh-CN" w:bidi="ar"/>
        </w:rPr>
        <w:t>，根据本地煤矸石矿物特性和理化性能的研究结果，确定综合利用途径。瞄准高附加值产品</w:t>
      </w:r>
      <w:r>
        <w:rPr>
          <w:rFonts w:hint="eastAsia" w:ascii="仿宋_GB2312" w:hAnsi="仿宋_GB2312" w:eastAsia="仿宋_GB2312" w:cs="仿宋_GB2312"/>
          <w:color w:val="000000"/>
          <w:kern w:val="0"/>
          <w:sz w:val="32"/>
          <w:szCs w:val="32"/>
          <w:lang w:val="en-US" w:eastAsia="zh-CN" w:bidi="ar"/>
        </w:rPr>
        <w:t>开发，提高煤矸石资</w:t>
      </w:r>
      <w:r>
        <w:rPr>
          <w:rFonts w:hint="default" w:ascii="仿宋_GB2312" w:hAnsi="仿宋_GB2312" w:eastAsia="仿宋_GB2312" w:cs="仿宋_GB2312"/>
          <w:color w:val="000000"/>
          <w:kern w:val="0"/>
          <w:sz w:val="32"/>
          <w:szCs w:val="32"/>
          <w:lang w:val="en-US" w:eastAsia="zh-CN" w:bidi="ar"/>
        </w:rPr>
        <w:t>源高效利用</w:t>
      </w:r>
      <w:r>
        <w:rPr>
          <w:rFonts w:hint="eastAsia" w:ascii="仿宋_GB2312" w:hAnsi="仿宋_GB2312" w:eastAsia="仿宋_GB2312" w:cs="仿宋_GB2312"/>
          <w:color w:val="000000"/>
          <w:kern w:val="0"/>
          <w:sz w:val="32"/>
          <w:szCs w:val="32"/>
          <w:lang w:val="en-US" w:eastAsia="zh-CN" w:bidi="ar"/>
        </w:rPr>
        <w:t>率，</w:t>
      </w:r>
      <w:r>
        <w:rPr>
          <w:rFonts w:hint="eastAsia" w:ascii="仿宋_GB2312" w:hAnsi="仿宋_GB2312" w:eastAsia="仿宋_GB2312" w:cs="仿宋_GB2312"/>
          <w:color w:val="auto"/>
          <w:kern w:val="0"/>
          <w:sz w:val="32"/>
          <w:szCs w:val="32"/>
          <w:lang w:val="en-US" w:eastAsia="zh-CN" w:bidi="ar"/>
        </w:rPr>
        <w:t>将资源优势转化为经济优势、产</w:t>
      </w:r>
      <w:r>
        <w:rPr>
          <w:rFonts w:hint="eastAsia" w:ascii="仿宋_GB2312" w:hAnsi="仿宋_GB2312" w:eastAsia="仿宋_GB2312" w:cs="仿宋_GB2312"/>
          <w:color w:val="000000"/>
          <w:kern w:val="0"/>
          <w:sz w:val="32"/>
          <w:szCs w:val="32"/>
          <w:lang w:val="en-US" w:eastAsia="zh-CN" w:bidi="ar"/>
        </w:rPr>
        <w:t>业优势，推动产业结构提档升级，培育循环经济增长支柱。</w:t>
      </w:r>
    </w:p>
    <w:p>
      <w:pPr>
        <w:pStyle w:val="6"/>
        <w:keepNext w:val="0"/>
        <w:keepLines w:val="0"/>
        <w:kinsoku/>
        <w:wordWrap/>
        <w:overflowPunct/>
        <w:topLinePunct w:val="0"/>
        <w:autoSpaceDE/>
        <w:autoSpaceDN/>
        <w:bidi w:val="0"/>
        <w:spacing w:line="360" w:lineRule="auto"/>
        <w:ind w:left="0" w:leftChars="0" w:firstLine="0" w:firstLineChars="0"/>
        <w:jc w:val="both"/>
        <w:rPr>
          <w:rFonts w:hint="eastAsia"/>
          <w:lang w:val="en-US" w:eastAsia="zh-CN"/>
        </w:rPr>
        <w:sectPr>
          <w:pgSz w:w="11906" w:h="16838"/>
          <w:pgMar w:top="1440" w:right="1800" w:bottom="1440" w:left="1800" w:header="851" w:footer="992" w:gutter="0"/>
          <w:cols w:space="425" w:num="1"/>
          <w:docGrid w:type="lines" w:linePitch="312" w:charSpace="0"/>
        </w:sectPr>
      </w:pPr>
    </w:p>
    <w:p>
      <w:pPr>
        <w:pStyle w:val="6"/>
        <w:keepNext w:val="0"/>
        <w:keepLines w:val="0"/>
        <w:kinsoku/>
        <w:wordWrap/>
        <w:overflowPunct/>
        <w:topLinePunct w:val="0"/>
        <w:autoSpaceDE/>
        <w:autoSpaceDN/>
        <w:bidi w:val="0"/>
        <w:spacing w:line="360" w:lineRule="auto"/>
        <w:ind w:left="0" w:leftChars="0" w:firstLine="0" w:firstLineChars="0"/>
        <w:jc w:val="both"/>
        <w:rPr>
          <w:rFonts w:hint="eastAsia"/>
          <w:lang w:val="en-US"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2933700</wp:posOffset>
                </wp:positionH>
                <wp:positionV relativeFrom="paragraph">
                  <wp:posOffset>-31750</wp:posOffset>
                </wp:positionV>
                <wp:extent cx="3401060" cy="304165"/>
                <wp:effectExtent l="0" t="0" r="8890" b="635"/>
                <wp:wrapNone/>
                <wp:docPr id="8" name="文本框 8"/>
                <wp:cNvGraphicFramePr/>
                <a:graphic xmlns:a="http://schemas.openxmlformats.org/drawingml/2006/main">
                  <a:graphicData uri="http://schemas.microsoft.com/office/word/2010/wordprocessingShape">
                    <wps:wsp>
                      <wps:cNvSpPr txBox="1"/>
                      <wps:spPr>
                        <a:xfrm>
                          <a:off x="0" y="0"/>
                          <a:ext cx="3401060" cy="304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图4：</w:t>
                            </w:r>
                            <w:r>
                              <w:rPr>
                                <w:rFonts w:hint="eastAsia" w:ascii="仿宋" w:hAnsi="仿宋" w:eastAsia="仿宋" w:cs="仿宋"/>
                                <w:b/>
                                <w:bCs/>
                                <w:sz w:val="24"/>
                                <w:szCs w:val="24"/>
                                <w:lang w:eastAsia="zh-CN"/>
                              </w:rPr>
                              <w:t>抚顺市煤矸石综合利用产业发展</w:t>
                            </w:r>
                            <w:r>
                              <w:rPr>
                                <w:rFonts w:hint="eastAsia" w:ascii="仿宋" w:hAnsi="仿宋" w:eastAsia="仿宋" w:cs="仿宋"/>
                                <w:b/>
                                <w:bCs/>
                                <w:sz w:val="24"/>
                                <w:szCs w:val="24"/>
                                <w:lang w:val="en-US" w:eastAsia="zh-CN"/>
                              </w:rPr>
                              <w:t>链条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pt;margin-top:-2.5pt;height:23.95pt;width:267.8pt;z-index:251659264;mso-width-relative:page;mso-height-relative:page;" fillcolor="#FFFFFF [3201]" filled="t" stroked="f" coordsize="21600,21600" o:gfxdata="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LxnZp1QAAAAkBAAAPAAAAAAAA&#10;AAEAIAAAACIAAABkcnMvZG93bnJldi54bWxQSwECFAAUAAAACACHTuJA7Bcu/E4CAACPBAAADgAA&#10;AAAAAAABACAAAAAkAQAAZHJzL2Uyb0RvYy54bWxQSwUGAAAAAAYABgBZAQAA5AUAAAAA&#10;">
                <v:fill on="t" focussize="0,0"/>
                <v:stroke on="f" weight="0.5pt"/>
                <v:imagedata o:title=""/>
                <o:lock v:ext="edit" aspectratio="f"/>
                <v:textbox>
                  <w:txbxContent>
                    <w:p>
                      <w:pPr>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图4：</w:t>
                      </w:r>
                      <w:r>
                        <w:rPr>
                          <w:rFonts w:hint="eastAsia" w:ascii="仿宋" w:hAnsi="仿宋" w:eastAsia="仿宋" w:cs="仿宋"/>
                          <w:b/>
                          <w:bCs/>
                          <w:sz w:val="24"/>
                          <w:szCs w:val="24"/>
                          <w:lang w:eastAsia="zh-CN"/>
                        </w:rPr>
                        <w:t>抚顺市煤矸石综合利用产业发展</w:t>
                      </w:r>
                      <w:r>
                        <w:rPr>
                          <w:rFonts w:hint="eastAsia" w:ascii="仿宋" w:hAnsi="仿宋" w:eastAsia="仿宋" w:cs="仿宋"/>
                          <w:b/>
                          <w:bCs/>
                          <w:sz w:val="24"/>
                          <w:szCs w:val="24"/>
                          <w:lang w:val="en-US" w:eastAsia="zh-CN"/>
                        </w:rPr>
                        <w:t>链条</w:t>
                      </w:r>
                    </w:p>
                  </w:txbxContent>
                </v:textbox>
              </v:shape>
            </w:pict>
          </mc:Fallback>
        </mc:AlternateContent>
      </w:r>
    </w:p>
    <w:p>
      <w:pPr>
        <w:pStyle w:val="6"/>
        <w:keepNext w:val="0"/>
        <w:keepLines w:val="0"/>
        <w:kinsoku/>
        <w:wordWrap/>
        <w:overflowPunct/>
        <w:topLinePunct w:val="0"/>
        <w:autoSpaceDE/>
        <w:autoSpaceDN/>
        <w:bidi w:val="0"/>
        <w:spacing w:line="36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8860790" cy="4623435"/>
            <wp:effectExtent l="0" t="0" r="3810" b="1206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0"/>
                    <a:stretch>
                      <a:fillRect/>
                    </a:stretch>
                  </pic:blipFill>
                  <pic:spPr>
                    <a:xfrm>
                      <a:off x="0" y="0"/>
                      <a:ext cx="8860790" cy="46234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jc w:val="both"/>
        <w:textAlignment w:val="auto"/>
        <w:outlineLvl w:val="1"/>
        <w:rPr>
          <w:rFonts w:hint="eastAsia" w:ascii="仿宋_GB2312" w:hAnsi="仿宋_GB2312" w:eastAsia="仿宋_GB2312" w:cs="仿宋_GB2312"/>
          <w:b/>
          <w:bCs/>
          <w:color w:val="000000"/>
          <w:kern w:val="0"/>
          <w:sz w:val="32"/>
          <w:szCs w:val="32"/>
          <w:lang w:val="en-US" w:eastAsia="zh-CN" w:bidi="ar"/>
        </w:rPr>
        <w:sectPr>
          <w:footerReference r:id="rId5" w:type="default"/>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69" w:name="_Toc17371"/>
      <w:r>
        <w:rPr>
          <w:rFonts w:hint="eastAsia" w:ascii="仿宋_GB2312" w:hAnsi="仿宋_GB2312" w:eastAsia="仿宋_GB2312" w:cs="仿宋_GB2312"/>
          <w:b/>
          <w:bCs/>
          <w:color w:val="000000"/>
          <w:kern w:val="0"/>
          <w:sz w:val="32"/>
          <w:szCs w:val="32"/>
          <w:lang w:val="en-US" w:eastAsia="zh-CN" w:bidi="ar"/>
        </w:rPr>
        <w:t>（一）发展重点</w:t>
      </w:r>
      <w:bookmarkEnd w:id="69"/>
    </w:p>
    <w:p>
      <w:pPr>
        <w:keepNext w:val="0"/>
        <w:keepLines w:val="0"/>
        <w:kinsoku/>
        <w:wordWrap/>
        <w:overflowPunct/>
        <w:topLinePunct w:val="0"/>
        <w:autoSpaceDE/>
        <w:autoSpaceDN/>
        <w:bidi w:val="0"/>
        <w:spacing w:line="360" w:lineRule="auto"/>
        <w:ind w:left="0" w:leftChars="0" w:firstLine="640" w:firstLineChars="200"/>
        <w:jc w:val="both"/>
        <w:rPr>
          <w:rFonts w:ascii="仿宋_GB2312" w:hAnsi="仿宋_GB2312" w:eastAsia="仿宋_GB2312" w:cs="仿宋_GB2312"/>
          <w:b/>
          <w:bCs/>
          <w:sz w:val="32"/>
          <w:szCs w:val="32"/>
        </w:rPr>
      </w:pPr>
      <w:r>
        <w:rPr>
          <w:rFonts w:hint="eastAsia" w:ascii="仿宋_GB2312" w:hAnsi="仿宋_GB2312" w:eastAsia="仿宋_GB2312" w:cs="仿宋_GB2312"/>
          <w:sz w:val="32"/>
          <w:szCs w:val="32"/>
        </w:rPr>
        <w:t>综合考虑抚顺煤矸石资源特性和已有产业现状，重点发展煤矸石新型建筑材料、煤矸石工业原料、煤矸石土壤改良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煤矸石洗选综合利用、煤矸石砂源替代利用</w:t>
      </w:r>
      <w:r>
        <w:rPr>
          <w:rFonts w:hint="eastAsia" w:ascii="仿宋_GB2312" w:hAnsi="仿宋_GB2312" w:eastAsia="仿宋_GB2312" w:cs="仿宋_GB2312"/>
          <w:sz w:val="32"/>
          <w:szCs w:val="32"/>
        </w:rPr>
        <w:t>等主导产业。</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3" w:firstLineChars="200"/>
        <w:jc w:val="both"/>
        <w:outlineLvl w:val="2"/>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rPr>
        <w:t>1.</w:t>
      </w:r>
      <w:r>
        <w:rPr>
          <w:rFonts w:hint="eastAsia" w:ascii="仿宋_GB2312" w:hAnsi="仿宋_GB2312" w:eastAsia="仿宋_GB2312" w:cs="仿宋_GB2312"/>
          <w:b/>
          <w:bCs/>
          <w:kern w:val="2"/>
          <w:sz w:val="32"/>
          <w:szCs w:val="32"/>
        </w:rPr>
        <w:t>煤矸石新型建筑材料</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抚顺市煤矸石新型建筑材料产业发展正处于起步阶段。结合</w:t>
      </w:r>
      <w:r>
        <w:rPr>
          <w:rFonts w:hint="eastAsia" w:ascii="仿宋_GB2312" w:hAnsi="仿宋_GB2312" w:eastAsia="仿宋_GB2312" w:cs="仿宋_GB2312"/>
          <w:kern w:val="2"/>
          <w:sz w:val="32"/>
          <w:szCs w:val="32"/>
          <w:lang w:eastAsia="zh-CN"/>
        </w:rPr>
        <w:t>抚顺资源枯竭型城市转型升级，构建</w:t>
      </w:r>
      <w:r>
        <w:rPr>
          <w:rFonts w:hint="eastAsia" w:ascii="仿宋_GB2312" w:hAnsi="仿宋_GB2312" w:eastAsia="仿宋_GB2312" w:cs="仿宋_GB2312"/>
          <w:kern w:val="2"/>
          <w:sz w:val="32"/>
          <w:szCs w:val="32"/>
        </w:rPr>
        <w:t>循环</w:t>
      </w:r>
      <w:r>
        <w:rPr>
          <w:rFonts w:hint="eastAsia" w:ascii="仿宋_GB2312" w:hAnsi="仿宋_GB2312" w:eastAsia="仿宋_GB2312" w:cs="仿宋_GB2312"/>
          <w:kern w:val="2"/>
          <w:sz w:val="32"/>
          <w:szCs w:val="32"/>
          <w:lang w:eastAsia="zh-CN"/>
        </w:rPr>
        <w:t>经济接替产业链条的大环境</w:t>
      </w:r>
      <w:r>
        <w:rPr>
          <w:rFonts w:hint="eastAsia" w:ascii="仿宋_GB2312" w:hAnsi="仿宋_GB2312" w:eastAsia="仿宋_GB2312" w:cs="仿宋_GB2312"/>
          <w:kern w:val="2"/>
          <w:sz w:val="32"/>
          <w:szCs w:val="32"/>
        </w:rPr>
        <w:t>，实现煤矸石高度资源化，积极推进传统建材产品转型升级，</w:t>
      </w:r>
      <w:r>
        <w:rPr>
          <w:rFonts w:hint="eastAsia" w:ascii="仿宋_GB2312" w:hAnsi="仿宋_GB2312" w:eastAsia="仿宋_GB2312" w:cs="仿宋_GB2312"/>
          <w:kern w:val="2"/>
          <w:sz w:val="32"/>
          <w:szCs w:val="32"/>
          <w:lang w:eastAsia="zh-CN"/>
        </w:rPr>
        <w:t>将煤矸石资源化与住建部重点推广的建材技术、“建筑工业化”发展需求相融合，鼓励企业利用煤矸石作为原料替代原生资源，推动煤矸石新型建材产业高效规模化利用。</w:t>
      </w:r>
      <w:r>
        <w:rPr>
          <w:rFonts w:hint="eastAsia" w:ascii="仿宋_GB2312" w:hAnsi="仿宋_GB2312" w:eastAsia="仿宋_GB2312" w:cs="仿宋_GB2312"/>
          <w:kern w:val="2"/>
          <w:sz w:val="32"/>
          <w:szCs w:val="32"/>
        </w:rPr>
        <w:t>主要研究方向包括：</w:t>
      </w:r>
      <w:r>
        <w:rPr>
          <w:rFonts w:hint="eastAsia" w:ascii="仿宋_GB2312" w:hAnsi="仿宋_GB2312" w:eastAsia="仿宋_GB2312" w:cs="仿宋_GB2312"/>
          <w:kern w:val="2"/>
          <w:sz w:val="32"/>
          <w:szCs w:val="32"/>
          <w:lang w:eastAsia="zh-CN"/>
        </w:rPr>
        <w:t>煤矸石制备</w:t>
      </w:r>
      <w:r>
        <w:rPr>
          <w:rFonts w:hint="eastAsia" w:ascii="仿宋_GB2312" w:hAnsi="仿宋_GB2312" w:eastAsia="仿宋_GB2312" w:cs="仿宋_GB2312"/>
          <w:kern w:val="2"/>
          <w:sz w:val="32"/>
          <w:szCs w:val="32"/>
          <w:lang w:val="en-US" w:eastAsia="zh-CN"/>
        </w:rPr>
        <w:t>装配</w:t>
      </w:r>
      <w:r>
        <w:rPr>
          <w:rFonts w:hint="eastAsia" w:ascii="仿宋_GB2312" w:hAnsi="仿宋_GB2312" w:eastAsia="仿宋_GB2312" w:cs="仿宋_GB2312"/>
          <w:kern w:val="2"/>
          <w:sz w:val="32"/>
          <w:szCs w:val="32"/>
          <w:lang w:eastAsia="zh-CN"/>
        </w:rPr>
        <w:t>整体式预制构件，推动建筑构配件生产工厂化，</w:t>
      </w:r>
      <w:r>
        <w:rPr>
          <w:rFonts w:hint="eastAsia" w:ascii="仿宋_GB2312" w:hAnsi="仿宋_GB2312" w:eastAsia="仿宋_GB2312" w:cs="仿宋_GB2312"/>
          <w:kern w:val="2"/>
          <w:sz w:val="32"/>
          <w:szCs w:val="32"/>
        </w:rPr>
        <w:t>逐步推广应用到民居、别墅、办公用房、文体建筑等领域</w:t>
      </w:r>
      <w:r>
        <w:rPr>
          <w:rFonts w:hint="eastAsia" w:ascii="仿宋_GB2312" w:hAnsi="仿宋_GB2312" w:eastAsia="仿宋_GB2312" w:cs="仿宋_GB2312"/>
          <w:kern w:val="2"/>
          <w:sz w:val="32"/>
          <w:szCs w:val="32"/>
          <w:lang w:eastAsia="zh-CN"/>
        </w:rPr>
        <w:t>。</w:t>
      </w:r>
      <w:r>
        <w:rPr>
          <w:rFonts w:hint="eastAsia" w:ascii="仿宋_GB2312" w:hAnsi="仿宋_GB2312" w:eastAsia="仿宋_GB2312" w:cs="仿宋_GB2312"/>
          <w:kern w:val="2"/>
          <w:sz w:val="32"/>
          <w:szCs w:val="32"/>
        </w:rPr>
        <w:t>煤矸石制备绿色水泥，以煤矸石为原料制备烧制水泥熟料、烧制早强水泥、生产无煤矸石熟料水泥和无煤矸石熟料水泥、研磨各种普通水泥等。煤矸石制备陶瓷，以煤矸石为原料，采用火法处理，制备煤矸石制备微晶玻璃、人造玉石、发泡陶瓷等高值化产品</w:t>
      </w:r>
      <w:r>
        <w:rPr>
          <w:rFonts w:hint="eastAsia" w:ascii="仿宋_GB2312" w:hAnsi="仿宋_GB2312" w:eastAsia="仿宋_GB2312" w:cs="仿宋_GB2312"/>
          <w:kern w:val="2"/>
          <w:sz w:val="32"/>
          <w:szCs w:val="32"/>
          <w:lang w:eastAsia="zh-CN"/>
        </w:rPr>
        <w:t>。煤矸石制备透水砖，将自然煤矸石作为透水砖骨料，制备透水砖或透水混凝土等产品，满足路面材料对强度、透水性、耐磨性等要求。</w:t>
      </w:r>
      <w:r>
        <w:rPr>
          <w:rFonts w:hint="eastAsia" w:ascii="仿宋_GB2312" w:hAnsi="仿宋_GB2312" w:eastAsia="仿宋_GB2312" w:cs="仿宋_GB2312"/>
          <w:kern w:val="2"/>
          <w:sz w:val="32"/>
          <w:szCs w:val="32"/>
        </w:rPr>
        <w:t>煤矸石制备无机保温材料，以煤矸石为主要原料，经熔化、采用高速离心法或喷吹法等工艺制备棉丝状无机纤维，</w:t>
      </w:r>
      <w:r>
        <w:rPr>
          <w:rFonts w:hint="eastAsia" w:ascii="仿宋_GB2312" w:hAnsi="仿宋_GB2312" w:eastAsia="仿宋_GB2312" w:cs="仿宋_GB2312"/>
          <w:kern w:val="2"/>
          <w:sz w:val="32"/>
          <w:szCs w:val="32"/>
          <w:lang w:eastAsia="zh-CN"/>
        </w:rPr>
        <w:t>结合</w:t>
      </w:r>
      <w:r>
        <w:rPr>
          <w:rFonts w:hint="eastAsia" w:ascii="仿宋_GB2312" w:hAnsi="仿宋_GB2312" w:eastAsia="仿宋_GB2312" w:cs="仿宋_GB2312"/>
          <w:kern w:val="2"/>
          <w:sz w:val="32"/>
          <w:szCs w:val="32"/>
        </w:rPr>
        <w:t>市场需求，</w:t>
      </w:r>
      <w:r>
        <w:rPr>
          <w:rFonts w:hint="eastAsia" w:ascii="仿宋_GB2312" w:hAnsi="仿宋_GB2312" w:eastAsia="仿宋_GB2312" w:cs="仿宋_GB2312"/>
          <w:kern w:val="2"/>
          <w:sz w:val="32"/>
          <w:szCs w:val="32"/>
          <w:lang w:eastAsia="zh-CN"/>
        </w:rPr>
        <w:t>再</w:t>
      </w:r>
      <w:r>
        <w:rPr>
          <w:rFonts w:hint="eastAsia" w:ascii="仿宋_GB2312" w:hAnsi="仿宋_GB2312" w:eastAsia="仿宋_GB2312" w:cs="仿宋_GB2312"/>
          <w:kern w:val="2"/>
          <w:sz w:val="32"/>
          <w:szCs w:val="32"/>
        </w:rPr>
        <w:t>将无机纤维制备成不同高值化产品。</w:t>
      </w:r>
    </w:p>
    <w:p>
      <w:pPr>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2"/>
        <w:rPr>
          <w:rFonts w:hint="default" w:eastAsia="仿宋_GB2312"/>
          <w:lang w:val="en-US" w:eastAsia="zh-CN"/>
        </w:rPr>
      </w:pPr>
      <w:r>
        <w:rPr>
          <w:rFonts w:hint="eastAsia" w:ascii="仿宋_GB2312" w:hAnsi="仿宋_GB2312" w:eastAsia="仿宋_GB2312" w:cs="仿宋_GB2312"/>
          <w:b/>
          <w:bCs/>
          <w:kern w:val="2"/>
          <w:sz w:val="32"/>
          <w:szCs w:val="32"/>
          <w:lang w:val="en-US" w:eastAsia="zh-CN"/>
        </w:rPr>
        <w:t>2.</w:t>
      </w:r>
      <w:r>
        <w:rPr>
          <w:rFonts w:hint="eastAsia" w:ascii="仿宋_GB2312" w:hAnsi="仿宋_GB2312" w:eastAsia="仿宋_GB2312" w:cs="仿宋_GB2312"/>
          <w:b/>
          <w:bCs/>
          <w:kern w:val="2"/>
          <w:sz w:val="32"/>
          <w:szCs w:val="32"/>
        </w:rPr>
        <w:t>煤矸石</w:t>
      </w:r>
      <w:r>
        <w:rPr>
          <w:rFonts w:hint="eastAsia" w:ascii="仿宋_GB2312" w:hAnsi="仿宋_GB2312" w:eastAsia="仿宋_GB2312" w:cs="仿宋_GB2312"/>
          <w:b/>
          <w:bCs/>
          <w:kern w:val="2"/>
          <w:sz w:val="32"/>
          <w:szCs w:val="32"/>
          <w:lang w:val="en-US" w:eastAsia="zh-CN"/>
        </w:rPr>
        <w:t>制备化工原料</w:t>
      </w:r>
    </w:p>
    <w:p>
      <w:pPr>
        <w:pStyle w:val="14"/>
        <w:keepNext w:val="0"/>
        <w:keepLines w:val="0"/>
        <w:shd w:val="clear" w:color="auto" w:fill="FFFFFF"/>
        <w:kinsoku/>
        <w:wordWrap/>
        <w:overflowPunct/>
        <w:topLinePunct w:val="0"/>
        <w:autoSpaceDE/>
        <w:autoSpaceDN/>
        <w:bidi w:val="0"/>
        <w:spacing w:before="0" w:beforeAutospacing="0" w:after="0" w:afterAutospacing="0" w:line="360" w:lineRule="auto"/>
        <w:ind w:left="0" w:leftChars="0" w:firstLine="640" w:firstLineChars="200"/>
        <w:jc w:val="both"/>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rPr>
        <w:t>推广利用煤矸石制取聚合氯化铝、硫酸铝、合成系列分子筛等化工产品技术。依托顺腾科技股份有限公司，探索研究煤矸石生产聚合氯化铝，以煤矸石为原料，通过高温焙烧，采用酸法和碱法，制备氧化铝及氯化铝，为铝基化工材料提供原材料。</w:t>
      </w:r>
      <w:r>
        <w:rPr>
          <w:rFonts w:hint="eastAsia" w:ascii="仿宋_GB2312" w:hAnsi="仿宋_GB2312" w:eastAsia="仿宋_GB2312" w:cs="仿宋_GB2312"/>
          <w:sz w:val="32"/>
        </w:rPr>
        <w:t>依托抚</w:t>
      </w:r>
      <w:r>
        <w:rPr>
          <w:rFonts w:hint="eastAsia" w:ascii="Times New Roman" w:hAnsi="Times New Roman" w:eastAsia="仿宋_GB2312"/>
          <w:sz w:val="32"/>
        </w:rPr>
        <w:t>顺市盛达工业产品综合利用有限公司，发</w:t>
      </w:r>
      <w:r>
        <w:rPr>
          <w:rFonts w:hint="eastAsia" w:ascii="仿宋_GB2312" w:hAnsi="仿宋_GB2312" w:eastAsia="仿宋_GB2312" w:cs="仿宋_GB2312"/>
          <w:sz w:val="32"/>
        </w:rPr>
        <w:t>展下游精细加工业产品原料，</w:t>
      </w:r>
      <w:r>
        <w:rPr>
          <w:rFonts w:hint="eastAsia" w:ascii="仿宋_GB2312" w:hAnsi="仿宋_GB2312" w:eastAsia="仿宋_GB2312" w:cs="仿宋_GB2312"/>
          <w:sz w:val="32"/>
          <w:lang w:val="en-US" w:eastAsia="zh-CN"/>
        </w:rPr>
        <w:t>继续推进</w:t>
      </w:r>
      <w:r>
        <w:rPr>
          <w:rFonts w:hint="eastAsia" w:ascii="Times New Roman" w:hAnsi="Times New Roman" w:eastAsia="仿宋_GB2312"/>
          <w:sz w:val="32"/>
        </w:rPr>
        <w:t>十八水硫酸铝的连续式循环清洁生产工艺申报国家发明专利</w:t>
      </w:r>
      <w:r>
        <w:rPr>
          <w:rFonts w:hint="eastAsia" w:ascii="Times New Roman" w:hAnsi="Times New Roman" w:eastAsia="仿宋_GB2312"/>
          <w:sz w:val="32"/>
          <w:lang w:val="en-US" w:eastAsia="zh-CN"/>
        </w:rPr>
        <w:t>相关工作，做强做优</w:t>
      </w:r>
      <w:r>
        <w:rPr>
          <w:rFonts w:hint="eastAsia" w:ascii="Times New Roman" w:hAnsi="Times New Roman" w:eastAsia="仿宋_GB2312"/>
          <w:sz w:val="32"/>
        </w:rPr>
        <w:t>煤矸石提炼的精细加工业产品</w:t>
      </w:r>
      <w:r>
        <w:rPr>
          <w:rFonts w:hint="eastAsia" w:ascii="Times New Roman" w:hAnsi="Times New Roman" w:eastAsia="仿宋_GB2312"/>
          <w:sz w:val="32"/>
          <w:lang w:eastAsia="zh-CN"/>
        </w:rPr>
        <w:t>，</w:t>
      </w:r>
      <w:r>
        <w:rPr>
          <w:rFonts w:hint="eastAsia" w:ascii="Times New Roman" w:hAnsi="Times New Roman" w:eastAsia="仿宋_GB2312"/>
          <w:sz w:val="32"/>
          <w:lang w:val="en-US" w:eastAsia="zh-CN"/>
        </w:rPr>
        <w:t>抢占国内市场，为下游</w:t>
      </w:r>
      <w:r>
        <w:rPr>
          <w:rFonts w:hint="eastAsia" w:ascii="Times New Roman" w:hAnsi="Times New Roman" w:eastAsia="仿宋_GB2312"/>
          <w:sz w:val="32"/>
        </w:rPr>
        <w:t>工业污水</w:t>
      </w:r>
      <w:r>
        <w:rPr>
          <w:rFonts w:hint="eastAsia" w:ascii="Times New Roman" w:hAnsi="Times New Roman" w:eastAsia="仿宋_GB2312"/>
          <w:sz w:val="32"/>
          <w:lang w:val="en-US" w:eastAsia="zh-CN"/>
        </w:rPr>
        <w:t>处理</w:t>
      </w:r>
      <w:r>
        <w:rPr>
          <w:rFonts w:hint="eastAsia" w:ascii="Times New Roman" w:hAnsi="Times New Roman" w:eastAsia="仿宋_GB2312"/>
          <w:sz w:val="32"/>
        </w:rPr>
        <w:t>、饮用水处理、空气净化、水净化设备填料等多种领域</w:t>
      </w:r>
      <w:r>
        <w:rPr>
          <w:rFonts w:hint="eastAsia" w:ascii="Times New Roman" w:hAnsi="Times New Roman" w:eastAsia="仿宋_GB2312"/>
          <w:sz w:val="32"/>
          <w:lang w:val="en-US" w:eastAsia="zh-CN"/>
        </w:rPr>
        <w:t>提供优质原材料。</w:t>
      </w:r>
      <w:r>
        <w:rPr>
          <w:rFonts w:hint="eastAsia" w:eastAsia="仿宋_GB2312"/>
          <w:sz w:val="32"/>
          <w:lang w:val="en-US" w:eastAsia="zh-CN"/>
        </w:rPr>
        <w:t>依托抚顺矿业</w:t>
      </w:r>
      <w:r>
        <w:rPr>
          <w:rFonts w:hint="eastAsia" w:ascii="仿宋_GB2312" w:hAnsi="仿宋_GB2312" w:eastAsia="仿宋_GB2312" w:cs="仿宋_GB2312"/>
          <w:kern w:val="2"/>
          <w:sz w:val="32"/>
          <w:szCs w:val="32"/>
          <w:lang w:val="en-US" w:eastAsia="zh-CN" w:bidi="ar-SA"/>
        </w:rPr>
        <w:t>集团，紧紧围绕煤矸石的综合利用，打造“油页岩开采—油页岩炼油—页岩油化工—固废综合利用”循环经济产业链。通过突</w:t>
      </w:r>
      <w:r>
        <w:rPr>
          <w:rFonts w:hint="eastAsia" w:ascii="Times New Roman" w:hAnsi="Times New Roman" w:eastAsia="仿宋_GB2312"/>
          <w:sz w:val="32"/>
          <w:lang w:val="en-US" w:eastAsia="zh-CN"/>
        </w:rPr>
        <w:t>破小颗粒油页岩干馏技术、废旧</w:t>
      </w:r>
      <w:r>
        <w:rPr>
          <w:rFonts w:hint="eastAsia" w:ascii="仿宋_GB2312" w:hAnsi="仿宋_GB2312" w:eastAsia="仿宋_GB2312" w:cs="仿宋_GB2312"/>
          <w:kern w:val="2"/>
          <w:sz w:val="32"/>
          <w:szCs w:val="32"/>
          <w:lang w:val="en-US" w:eastAsia="zh-CN" w:bidi="ar-SA"/>
        </w:rPr>
        <w:t>轮胎与低品位油页岩耦合干馏技术等重大关键技术，加快页岩油新技术、新工艺的研发和应用，做大做优页岩油加工工艺，进一步扩大产业规模，带动上下游相关产业发展。</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3" w:firstLineChars="200"/>
        <w:jc w:val="both"/>
        <w:outlineLvl w:val="2"/>
        <w:rPr>
          <w:rFonts w:hint="eastAsia" w:ascii="仿宋_GB2312" w:hAnsi="仿宋_GB2312" w:eastAsia="仿宋_GB2312" w:cs="仿宋_GB2312"/>
          <w:b/>
          <w:bCs/>
          <w:kern w:val="2"/>
          <w:sz w:val="32"/>
          <w:szCs w:val="32"/>
        </w:rPr>
      </w:pPr>
      <w:r>
        <w:rPr>
          <w:rFonts w:hint="eastAsia" w:ascii="仿宋_GB2312" w:hAnsi="仿宋_GB2312" w:eastAsia="仿宋_GB2312" w:cs="仿宋_GB2312"/>
          <w:b/>
          <w:bCs/>
          <w:kern w:val="2"/>
          <w:sz w:val="32"/>
          <w:szCs w:val="32"/>
          <w:lang w:val="en-US" w:eastAsia="zh-CN"/>
        </w:rPr>
        <w:t>3.</w:t>
      </w:r>
      <w:r>
        <w:rPr>
          <w:rFonts w:hint="eastAsia" w:ascii="仿宋_GB2312" w:hAnsi="仿宋_GB2312" w:eastAsia="仿宋_GB2312" w:cs="仿宋_GB2312"/>
          <w:b/>
          <w:bCs/>
          <w:kern w:val="2"/>
          <w:sz w:val="32"/>
          <w:szCs w:val="32"/>
        </w:rPr>
        <w:t>煤矸石土壤改良</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0" w:firstLineChars="200"/>
        <w:jc w:val="both"/>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鼓励利用煤矸石改良土壤，提高土壤的酸性和疏松度，增加土壤的肥效。积极推广煤矸石生产生物肥料和有机复合肥料技术，完善利用煤矸石生产农用肥料活化处理技术，生产质量稳定的合格产品。依托辽宁亚太固废研究院，重点对煤矸石进行生物、物理、化学方法活化，制成具有不同功能的盐碱地、保护地、沙地的土壤改良剂以及生物肥料和污染物吸附剂等环保产品。以</w:t>
      </w:r>
      <w:r>
        <w:rPr>
          <w:rFonts w:hint="eastAsia" w:ascii="仿宋_GB2312" w:hAnsi="仿宋_GB2312" w:eastAsia="仿宋_GB2312" w:cs="仿宋_GB2312"/>
          <w:kern w:val="2"/>
          <w:sz w:val="32"/>
          <w:szCs w:val="32"/>
          <w:lang w:eastAsia="zh-CN"/>
        </w:rPr>
        <w:t>抚顺市</w:t>
      </w:r>
      <w:r>
        <w:rPr>
          <w:rFonts w:hint="eastAsia" w:ascii="仿宋_GB2312" w:hAnsi="仿宋_GB2312" w:eastAsia="仿宋_GB2312" w:cs="仿宋_GB2312"/>
          <w:kern w:val="2"/>
          <w:sz w:val="32"/>
          <w:szCs w:val="32"/>
        </w:rPr>
        <w:t>为试点，进行推广煤矸石新型肥料和环保肥料产品，未来将面向全国推广，为推动现代农业和环境保护作出贡献。</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3" w:firstLineChars="200"/>
        <w:jc w:val="both"/>
        <w:outlineLvl w:val="2"/>
        <w:rPr>
          <w:rFonts w:hint="eastAsia" w:ascii="仿宋_GB2312" w:hAnsi="仿宋_GB2312" w:eastAsia="仿宋_GB2312" w:cs="仿宋_GB2312"/>
          <w:b/>
          <w:bCs/>
          <w:kern w:val="2"/>
          <w:sz w:val="32"/>
          <w:szCs w:val="32"/>
          <w:lang w:val="en-US" w:eastAsia="zh-CN"/>
        </w:rPr>
      </w:pPr>
      <w:r>
        <w:rPr>
          <w:rFonts w:hint="eastAsia" w:ascii="仿宋_GB2312" w:hAnsi="仿宋_GB2312" w:eastAsia="仿宋_GB2312" w:cs="仿宋_GB2312"/>
          <w:b/>
          <w:bCs/>
          <w:kern w:val="2"/>
          <w:sz w:val="32"/>
          <w:szCs w:val="32"/>
          <w:lang w:val="en-US" w:eastAsia="zh-CN"/>
        </w:rPr>
        <w:t>4.煤矸石洗选综合利用</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0" w:firstLineChars="200"/>
        <w:jc w:val="both"/>
        <w:rPr>
          <w:rFonts w:hint="eastAsia" w:ascii="仿宋_GB2312" w:hAnsi="仿宋_GB2312" w:eastAsia="仿宋_GB2312" w:cs="仿宋_GB2312"/>
          <w:kern w:val="2"/>
          <w:sz w:val="32"/>
          <w:szCs w:val="32"/>
          <w:lang w:val="en-US" w:eastAsia="zh-CN"/>
        </w:rPr>
      </w:pPr>
      <w:r>
        <w:rPr>
          <w:rFonts w:hint="eastAsia" w:ascii="仿宋_GB2312" w:hAnsi="仿宋_GB2312" w:eastAsia="仿宋_GB2312" w:cs="仿宋_GB2312"/>
          <w:kern w:val="2"/>
          <w:sz w:val="32"/>
          <w:szCs w:val="32"/>
          <w:lang w:val="en-US" w:eastAsia="zh-CN"/>
        </w:rPr>
        <w:t>煤矸石洗选综合利用是通过对煤矸石破碎、滚筒洗选，得到洗粒煤、琥珀、改土材料（煤泥）等有价值的产品。洗选得到的琥珀是稀缺的中医药材、洗末煤可作为燃料直接销售、煤泥可作为农业改土材料、洗后矸石可作为水泥原料。</w:t>
      </w:r>
      <w:r>
        <w:rPr>
          <w:rFonts w:hint="eastAsia" w:ascii="仿宋_GB2312" w:hAnsi="仿宋_GB2312" w:eastAsia="仿宋_GB2312" w:cs="仿宋_GB2312"/>
          <w:kern w:val="2"/>
          <w:sz w:val="32"/>
          <w:szCs w:val="32"/>
        </w:rPr>
        <w:t>依托辽宁亚太固废研究院，</w:t>
      </w:r>
      <w:r>
        <w:rPr>
          <w:rFonts w:hint="eastAsia" w:ascii="仿宋_GB2312" w:hAnsi="仿宋_GB2312" w:eastAsia="仿宋_GB2312" w:cs="仿宋_GB2312"/>
          <w:kern w:val="2"/>
          <w:sz w:val="32"/>
          <w:szCs w:val="32"/>
          <w:lang w:val="en-US" w:eastAsia="zh-CN"/>
        </w:rPr>
        <w:t>重点研究煤矸石洗选综合利用，利用螺旋滚筒洗煤机对煤矸石进行洗选加工，可为中医药材、绿色建材、有机肥料等产品提供原料，积极发展下游产业，引导下游企业利用煤矸石洗选产品为原料生产产品，大力推广煤矸石洗选和下游企业组团发展，有效拓宽煤矸石综合利用途径，纵向延长产业链，实现煤矸石减少排放和扩大利用相结合，经济效益、社会效益和环境效益有机统一的目标。</w:t>
      </w:r>
    </w:p>
    <w:p>
      <w:pPr>
        <w:pStyle w:val="14"/>
        <w:keepNext w:val="0"/>
        <w:keepLines w:val="0"/>
        <w:numPr>
          <w:ilvl w:val="0"/>
          <w:numId w:val="0"/>
        </w:numPr>
        <w:shd w:val="clear" w:color="auto" w:fill="FFFFFF"/>
        <w:kinsoku/>
        <w:wordWrap/>
        <w:overflowPunct/>
        <w:topLinePunct w:val="0"/>
        <w:autoSpaceDE/>
        <w:autoSpaceDN/>
        <w:bidi w:val="0"/>
        <w:spacing w:before="0" w:beforeAutospacing="0" w:after="0" w:afterAutospacing="0" w:line="360" w:lineRule="auto"/>
        <w:ind w:left="0" w:leftChars="0" w:right="0" w:rightChars="0" w:firstLine="643" w:firstLineChars="200"/>
        <w:jc w:val="both"/>
        <w:outlineLvl w:val="2"/>
        <w:rPr>
          <w:rFonts w:hint="eastAsia" w:ascii="仿宋_GB2312" w:hAnsi="仿宋_GB2312" w:eastAsia="仿宋_GB2312" w:cs="仿宋_GB2312"/>
          <w:b w:val="0"/>
          <w:bCs w:val="0"/>
          <w:kern w:val="2"/>
          <w:sz w:val="32"/>
          <w:szCs w:val="32"/>
          <w:lang w:val="en-US" w:eastAsia="zh-CN"/>
        </w:rPr>
      </w:pPr>
      <w:r>
        <w:rPr>
          <w:rFonts w:hint="eastAsia" w:ascii="仿宋_GB2312" w:hAnsi="仿宋_GB2312" w:eastAsia="仿宋_GB2312" w:cs="仿宋_GB2312"/>
          <w:b/>
          <w:bCs/>
          <w:kern w:val="2"/>
          <w:sz w:val="32"/>
          <w:szCs w:val="32"/>
          <w:lang w:val="en-US" w:eastAsia="zh-CN"/>
        </w:rPr>
        <w:t>5.煤矸石</w:t>
      </w:r>
      <w:r>
        <w:rPr>
          <w:rFonts w:hint="eastAsia" w:ascii="仿宋_GB2312" w:hAnsi="仿宋_GB2312" w:eastAsia="仿宋_GB2312" w:cs="仿宋_GB2312"/>
          <w:b/>
          <w:bCs/>
          <w:kern w:val="2"/>
          <w:sz w:val="32"/>
          <w:szCs w:val="32"/>
          <w:lang w:val="en-US" w:eastAsia="zh-CN" w:bidi="ar"/>
        </w:rPr>
        <w:t>砂源替代利用</w:t>
      </w:r>
    </w:p>
    <w:p>
      <w:pPr>
        <w:keepNext w:val="0"/>
        <w:keepLines w:val="0"/>
        <w:kinsoku/>
        <w:wordWrap/>
        <w:overflowPunct/>
        <w:topLinePunct w:val="0"/>
        <w:autoSpaceDE/>
        <w:autoSpaceDN/>
        <w:bidi w:val="0"/>
        <w:spacing w:line="360" w:lineRule="auto"/>
        <w:ind w:left="0" w:leftChars="0" w:firstLine="640" w:firstLineChars="200"/>
        <w:jc w:val="both"/>
        <w:rPr>
          <w:rFonts w:hint="default" w:ascii="仿宋_GB2312" w:hAnsi="仿宋_GB2312" w:eastAsia="仿宋_GB2312" w:cs="仿宋_GB2312"/>
          <w:kern w:val="2"/>
          <w:sz w:val="32"/>
          <w:szCs w:val="32"/>
          <w:lang w:val="en-US" w:eastAsia="zh-CN" w:bidi="ar"/>
        </w:rPr>
      </w:pPr>
      <w:r>
        <w:rPr>
          <w:rFonts w:hint="eastAsia" w:ascii="仿宋_GB2312" w:hAnsi="仿宋_GB2312" w:eastAsia="仿宋_GB2312" w:cs="仿宋_GB2312"/>
          <w:kern w:val="2"/>
          <w:sz w:val="32"/>
          <w:szCs w:val="32"/>
          <w:lang w:val="en-US" w:eastAsia="zh-CN" w:bidi="ar"/>
        </w:rPr>
        <w:t>稳步推动煤矸石制备砂石骨料、陶粒、干混砂浆等砂源替代材料，推广胶凝回填利用技术，探索煤矸石在生态环境治理领域的利用。依托抚矿集团，推广“煤矸石井下充填+地面回填”，促进矸石减量。以煤矸石、粉煤灰等大规模低成本充填为发展方向，推广应用煤矸石等大规模低成本浓缩、大泵量高浓度井下输送、低成本煤基固废充填胶凝材料等技术开展井下充填，填充</w:t>
      </w:r>
      <w:r>
        <w:rPr>
          <w:rFonts w:hint="default" w:ascii="仿宋_GB2312" w:hAnsi="仿宋_GB2312" w:eastAsia="仿宋_GB2312" w:cs="仿宋_GB2312"/>
          <w:kern w:val="2"/>
          <w:sz w:val="32"/>
          <w:szCs w:val="32"/>
          <w:lang w:val="en-US" w:eastAsia="zh-CN" w:bidi="ar"/>
        </w:rPr>
        <w:t>采空区、治理塌陷区</w:t>
      </w:r>
      <w:r>
        <w:rPr>
          <w:rFonts w:hint="eastAsia" w:ascii="仿宋_GB2312" w:hAnsi="仿宋_GB2312" w:eastAsia="仿宋_GB2312" w:cs="仿宋_GB2312"/>
          <w:kern w:val="2"/>
          <w:sz w:val="32"/>
          <w:szCs w:val="32"/>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70" w:name="_Toc1160"/>
      <w:r>
        <w:rPr>
          <w:rFonts w:hint="eastAsia" w:ascii="仿宋_GB2312" w:hAnsi="仿宋_GB2312" w:eastAsia="仿宋_GB2312" w:cs="仿宋_GB2312"/>
          <w:b/>
          <w:bCs/>
          <w:color w:val="000000"/>
          <w:kern w:val="0"/>
          <w:sz w:val="32"/>
          <w:szCs w:val="32"/>
          <w:lang w:val="en-US" w:eastAsia="zh-CN" w:bidi="ar"/>
        </w:rPr>
        <w:t>（二）主要任务</w:t>
      </w:r>
      <w:bookmarkEnd w:id="70"/>
      <w:bookmarkStart w:id="71" w:name="_Toc2213"/>
      <w:bookmarkStart w:id="72" w:name="_Toc4546"/>
      <w:bookmarkStart w:id="73" w:name="_Toc32659"/>
      <w:bookmarkStart w:id="74" w:name="_Toc29137"/>
      <w:bookmarkStart w:id="75" w:name="_Toc5938"/>
      <w:bookmarkStart w:id="76" w:name="_Toc17193"/>
      <w:bookmarkStart w:id="77" w:name="_Toc15908"/>
      <w:bookmarkStart w:id="78" w:name="_Toc24839"/>
      <w:bookmarkStart w:id="79" w:name="_Toc25911"/>
      <w:bookmarkStart w:id="80" w:name="_Toc28028"/>
      <w:bookmarkStart w:id="81" w:name="_Toc23477"/>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3" w:firstLineChars="200"/>
        <w:jc w:val="both"/>
        <w:textAlignment w:val="auto"/>
        <w:outlineLvl w:val="2"/>
        <w:rPr>
          <w:rFonts w:hint="default" w:ascii="仿宋_GB2312" w:hAnsi="仿宋_GB2312" w:eastAsia="仿宋_GB2312" w:cs="仿宋_GB2312"/>
          <w:b/>
          <w:bCs/>
          <w:kern w:val="2"/>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1.</w:t>
      </w:r>
      <w:r>
        <w:rPr>
          <w:rFonts w:hint="eastAsia" w:ascii="仿宋_GB2312" w:hAnsi="仿宋_GB2312" w:eastAsia="仿宋_GB2312" w:cs="仿宋_GB2312"/>
          <w:b/>
          <w:bCs/>
          <w:kern w:val="2"/>
          <w:sz w:val="32"/>
          <w:szCs w:val="32"/>
          <w:lang w:val="en-US" w:eastAsia="zh-CN" w:bidi="ar"/>
        </w:rPr>
        <w:t>纵横延伸产业链条</w:t>
      </w:r>
    </w:p>
    <w:p>
      <w:pPr>
        <w:pStyle w:val="6"/>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9"/>
        <w:rPr>
          <w:rFonts w:hint="default" w:ascii="仿宋_GB2312" w:hAnsi="仿宋_GB2312" w:eastAsia="仿宋_GB2312" w:cs="仿宋_GB2312"/>
          <w:kern w:val="2"/>
          <w:sz w:val="32"/>
          <w:szCs w:val="32"/>
          <w:lang w:val="en-US" w:eastAsia="zh-CN" w:bidi="ar"/>
        </w:rPr>
      </w:pPr>
      <w:r>
        <w:rPr>
          <w:rFonts w:hint="eastAsia" w:ascii="仿宋_GB2312" w:hAnsi="仿宋_GB2312" w:eastAsia="仿宋_GB2312" w:cs="仿宋_GB2312"/>
          <w:b/>
          <w:bCs/>
          <w:kern w:val="2"/>
          <w:sz w:val="32"/>
          <w:szCs w:val="32"/>
          <w:lang w:val="en-US" w:eastAsia="zh-CN" w:bidi="ar"/>
        </w:rPr>
        <w:t>突出前端分类，</w:t>
      </w:r>
      <w:r>
        <w:rPr>
          <w:rFonts w:hint="eastAsia" w:ascii="仿宋_GB2312" w:hAnsi="仿宋_GB2312" w:eastAsia="仿宋_GB2312" w:cs="仿宋_GB2312"/>
          <w:b/>
          <w:bCs/>
          <w:sz w:val="32"/>
          <w:szCs w:val="32"/>
        </w:rPr>
        <w:t>提高产业</w:t>
      </w:r>
      <w:r>
        <w:rPr>
          <w:rFonts w:hint="eastAsia" w:ascii="仿宋_GB2312" w:hAnsi="仿宋_GB2312" w:eastAsia="仿宋_GB2312" w:cs="仿宋_GB2312"/>
          <w:b/>
          <w:bCs/>
          <w:sz w:val="32"/>
          <w:szCs w:val="32"/>
          <w:lang w:eastAsia="zh-CN"/>
        </w:rPr>
        <w:t>发展</w:t>
      </w:r>
      <w:r>
        <w:rPr>
          <w:rFonts w:hint="eastAsia" w:ascii="仿宋_GB2312" w:hAnsi="仿宋_GB2312" w:eastAsia="仿宋_GB2312" w:cs="仿宋_GB2312"/>
          <w:b/>
          <w:bCs/>
          <w:sz w:val="32"/>
          <w:szCs w:val="32"/>
        </w:rPr>
        <w:t>综合效益。</w:t>
      </w:r>
      <w:r>
        <w:rPr>
          <w:rFonts w:hint="eastAsia" w:ascii="仿宋_GB2312" w:hAnsi="仿宋_GB2312" w:eastAsia="仿宋_GB2312" w:cs="仿宋_GB2312"/>
          <w:sz w:val="32"/>
          <w:szCs w:val="32"/>
        </w:rPr>
        <w:t>抚顺的煤矸石、低品油母页岩、绿岩和油母页岩废渣处于混合堆存状态，成分复杂多变，因此，做好煤矸石综合利用前处理，将有效提高处理效率，保障产品质量。煤矸石经预处理后筛分成为</w:t>
      </w:r>
      <w:r>
        <w:rPr>
          <w:rFonts w:hint="eastAsia" w:ascii="仿宋_GB2312" w:hAnsi="仿宋_GB2312" w:eastAsia="仿宋_GB2312" w:cs="仿宋_GB2312"/>
          <w:sz w:val="32"/>
          <w:szCs w:val="32"/>
          <w:lang w:val="en-US" w:eastAsia="zh-CN"/>
        </w:rPr>
        <w:t>多种原料</w:t>
      </w:r>
      <w:r>
        <w:rPr>
          <w:rFonts w:hint="eastAsia" w:ascii="仿宋_GB2312" w:hAnsi="仿宋_GB2312" w:eastAsia="仿宋_GB2312" w:cs="仿宋_GB2312"/>
          <w:sz w:val="32"/>
          <w:szCs w:val="32"/>
        </w:rPr>
        <w:t>（如中煤、高岭土、页岩废渣、弃土等），不同原料用于不同煤矸石综合利用企业，筛分后的原料可采取利用企业直接运走或定点短暂堆存的方式处理。对于成分复杂难以综合利用的成分（如弃土等），确保其无害的情况下用于采煤沉陷区治理或西露天矿的回填工作，或运至附近堆场堆存，最终实现复垦绿化。预处理中心处理煤矸石量应根据后续综合利用企业生产情况动态调整，快速利用筛分后的煤矸石，确保预处理中心附近少堆存或不堆存相关原料，实现土地效益最大化。</w:t>
      </w:r>
    </w:p>
    <w:p>
      <w:pPr>
        <w:pStyle w:val="6"/>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9"/>
        <w:rPr>
          <w:rFonts w:hint="default"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kern w:val="2"/>
          <w:sz w:val="32"/>
          <w:szCs w:val="32"/>
          <w:lang w:val="en-US" w:eastAsia="zh-CN" w:bidi="ar"/>
        </w:rPr>
        <w:t>拓宽发展途径，</w:t>
      </w:r>
      <w:r>
        <w:rPr>
          <w:rFonts w:hint="eastAsia" w:ascii="仿宋_GB2312" w:hAnsi="仿宋_GB2312" w:eastAsia="仿宋_GB2312" w:cs="仿宋_GB2312"/>
          <w:b/>
          <w:bCs/>
          <w:sz w:val="32"/>
          <w:szCs w:val="32"/>
          <w:lang w:eastAsia="zh-CN"/>
        </w:rPr>
        <w:t>全方位延伸产业链。</w:t>
      </w:r>
      <w:r>
        <w:rPr>
          <w:rFonts w:hint="eastAsia" w:ascii="仿宋_GB2312" w:hAnsi="仿宋_GB2312" w:eastAsia="仿宋_GB2312" w:cs="仿宋_GB2312"/>
          <w:sz w:val="32"/>
          <w:szCs w:val="32"/>
          <w:lang w:val="en-US" w:eastAsia="zh-CN"/>
        </w:rPr>
        <w:t>煤矸石综合利用以大宗量利用为重点，结合抚顺煤矸石的</w:t>
      </w:r>
      <w:r>
        <w:rPr>
          <w:rFonts w:hint="eastAsia" w:ascii="仿宋_GB2312" w:hAnsi="仿宋_GB2312" w:eastAsia="仿宋_GB2312" w:cs="仿宋_GB2312"/>
          <w:color w:val="auto"/>
          <w:kern w:val="0"/>
          <w:sz w:val="32"/>
          <w:szCs w:val="32"/>
          <w:lang w:val="en-US" w:eastAsia="zh-CN" w:bidi="ar"/>
        </w:rPr>
        <w:t>矿物特性和理化性能，</w:t>
      </w:r>
      <w:r>
        <w:rPr>
          <w:rFonts w:hint="eastAsia" w:ascii="仿宋_GB2312" w:hAnsi="仿宋_GB2312" w:eastAsia="仿宋_GB2312" w:cs="仿宋_GB2312"/>
          <w:sz w:val="32"/>
          <w:szCs w:val="32"/>
          <w:lang w:val="en-US" w:eastAsia="zh-CN"/>
        </w:rPr>
        <w:t>将煤矸石新型建材及制品、煤矸石制备工业原料、煤矸石土壤改良、煤矸石砂源替代等综合利用煤矸石技术作为主攻方向，发展高科技含量、高附加值的煤矸石综合利用技术和产品。</w:t>
      </w:r>
      <w:r>
        <w:rPr>
          <w:rFonts w:hint="eastAsia" w:ascii="仿宋_GB2312" w:hAnsi="仿宋_GB2312" w:eastAsia="仿宋_GB2312" w:cs="仿宋_GB2312"/>
          <w:kern w:val="2"/>
          <w:sz w:val="32"/>
          <w:szCs w:val="32"/>
          <w:lang w:val="en-US" w:eastAsia="zh-CN" w:bidi="ar"/>
        </w:rPr>
        <w:t>坚</w:t>
      </w:r>
      <w:r>
        <w:rPr>
          <w:rFonts w:hint="eastAsia" w:ascii="仿宋_GB2312" w:hAnsi="仿宋_GB2312" w:eastAsia="仿宋_GB2312" w:cs="仿宋_GB2312"/>
          <w:sz w:val="32"/>
          <w:szCs w:val="32"/>
          <w:lang w:val="en-US" w:eastAsia="zh-CN"/>
        </w:rPr>
        <w:t>持提高产品附加值，加强顶层设计，创新政策支持，着力完善产业链上下游</w:t>
      </w:r>
      <w:r>
        <w:rPr>
          <w:rFonts w:hint="eastAsia" w:ascii="仿宋_GB2312" w:hAnsi="仿宋_GB2312" w:eastAsia="仿宋_GB2312" w:cs="仿宋_GB2312"/>
          <w:kern w:val="2"/>
          <w:sz w:val="32"/>
          <w:szCs w:val="32"/>
          <w:lang w:val="en-US" w:eastAsia="zh-CN" w:bidi="ar"/>
        </w:rPr>
        <w:t>关系，尽可能地向下游领域作拓深延展</w:t>
      </w:r>
      <w:r>
        <w:rPr>
          <w:rFonts w:hint="eastAsia" w:ascii="仿宋_GB2312" w:hAnsi="仿宋_GB2312" w:eastAsia="仿宋_GB2312" w:cs="仿宋_GB2312"/>
          <w:sz w:val="32"/>
          <w:szCs w:val="32"/>
          <w:lang w:val="en-US" w:eastAsia="zh-CN"/>
        </w:rPr>
        <w:t>。煤矸石建材及制品，以发展高掺量煤矸石烧结制品为主，积极发展煤矸石承重、非承重烧结空心砖、轻骨料等新型建材，逐步替代粘土；鼓励煤矸石建材及制品向多功能、多品种、高档次方向发展。煤矸石制备工业原料，向下延伸煤矸石制取聚合氯化铝、硫酸铝、合成系列分子筛等化工产品技术，生产岩棉及制品技术。煤矸石土壤改良，以提高土壤的酸性和疏松度，增加土壤的肥效为目的，向下延伸生产生物肥料、有机复合肥料等。加快夯实产业基础能力，全面开展筑链、强链行动，聚焦具有较好基础的行业，紧盯体量大、技术强、前景好的重点企业，加快研究建立上中下游互融共生、分工合作、利益共享的一体化组织创新模式，集中力量打造一批标志性带动力强的产业链。</w:t>
      </w:r>
    </w:p>
    <w:p>
      <w:pPr>
        <w:keepNext w:val="0"/>
        <w:keepLines w:val="0"/>
        <w:pageBreakBefore w:val="0"/>
        <w:widowControl w:val="0"/>
        <w:numPr>
          <w:ilvl w:val="0"/>
          <w:numId w:val="0"/>
        </w:numPr>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2.做大做强产业规模</w:t>
      </w:r>
      <w:bookmarkEnd w:id="71"/>
      <w:bookmarkEnd w:id="72"/>
      <w:bookmarkEnd w:id="73"/>
      <w:bookmarkEnd w:id="74"/>
      <w:bookmarkEnd w:id="75"/>
      <w:bookmarkEnd w:id="76"/>
      <w:bookmarkEnd w:id="77"/>
      <w:bookmarkEnd w:id="78"/>
      <w:bookmarkEnd w:id="79"/>
      <w:bookmarkEnd w:id="80"/>
      <w:bookmarkEnd w:id="81"/>
    </w:p>
    <w:p>
      <w:pPr>
        <w:keepNext w:val="0"/>
        <w:keepLines w:val="0"/>
        <w:kinsoku/>
        <w:wordWrap/>
        <w:overflowPunct/>
        <w:topLinePunct w:val="0"/>
        <w:autoSpaceDE/>
        <w:autoSpaceDN/>
        <w:bidi w:val="0"/>
        <w:spacing w:line="360" w:lineRule="auto"/>
        <w:ind w:left="0" w:leftChars="0" w:firstLine="643" w:firstLineChars="200"/>
        <w:jc w:val="both"/>
        <w:outlineLvl w:val="9"/>
        <w:rPr>
          <w:rFonts w:hint="eastAsia" w:ascii="仿宋_GB2312" w:hAnsi="仿宋_GB2312" w:eastAsia="仿宋_GB2312" w:cs="仿宋_GB2312"/>
          <w:b w:val="0"/>
          <w:bCs/>
          <w:color w:val="000000"/>
          <w:kern w:val="0"/>
          <w:sz w:val="32"/>
          <w:szCs w:val="32"/>
          <w:lang w:val="en-US" w:eastAsia="zh-CN" w:bidi="ar"/>
        </w:rPr>
      </w:pPr>
      <w:bookmarkStart w:id="82" w:name="_Toc23877"/>
      <w:bookmarkStart w:id="83" w:name="_Toc22017"/>
      <w:bookmarkStart w:id="84" w:name="_Toc28821"/>
      <w:bookmarkStart w:id="85" w:name="_Toc3319"/>
      <w:bookmarkStart w:id="86" w:name="_Toc14355"/>
      <w:bookmarkStart w:id="87" w:name="_Toc19093"/>
      <w:bookmarkStart w:id="88" w:name="_Toc15309"/>
      <w:bookmarkStart w:id="89" w:name="_Toc22066"/>
      <w:bookmarkStart w:id="90" w:name="_Toc9084"/>
      <w:bookmarkStart w:id="91" w:name="_Toc15951"/>
      <w:r>
        <w:rPr>
          <w:rFonts w:hint="eastAsia" w:ascii="仿宋_GB2312" w:hAnsi="仿宋_GB2312" w:eastAsia="仿宋_GB2312" w:cs="仿宋_GB2312"/>
          <w:b/>
          <w:bCs/>
          <w:color w:val="000000"/>
          <w:kern w:val="0"/>
          <w:sz w:val="32"/>
          <w:szCs w:val="32"/>
          <w:lang w:val="en-US" w:eastAsia="zh-CN" w:bidi="ar"/>
        </w:rPr>
        <w:t>引进龙头企业</w:t>
      </w:r>
      <w:bookmarkEnd w:id="82"/>
      <w:bookmarkEnd w:id="83"/>
      <w:bookmarkEnd w:id="84"/>
      <w:bookmarkEnd w:id="85"/>
      <w:bookmarkEnd w:id="86"/>
      <w:bookmarkEnd w:id="87"/>
      <w:bookmarkEnd w:id="88"/>
      <w:bookmarkEnd w:id="89"/>
      <w:bookmarkEnd w:id="90"/>
      <w:bookmarkEnd w:id="91"/>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b w:val="0"/>
          <w:bCs/>
          <w:color w:val="000000"/>
          <w:kern w:val="0"/>
          <w:sz w:val="32"/>
          <w:szCs w:val="32"/>
          <w:lang w:val="en-US" w:eastAsia="zh-CN" w:bidi="ar"/>
        </w:rPr>
        <w:t>以</w:t>
      </w:r>
      <w:r>
        <w:rPr>
          <w:rFonts w:hint="eastAsia" w:ascii="仿宋_GB2312" w:hAnsi="仿宋_GB2312" w:eastAsia="仿宋_GB2312" w:cs="仿宋_GB2312"/>
          <w:kern w:val="2"/>
          <w:sz w:val="32"/>
          <w:szCs w:val="32"/>
          <w:lang w:val="en-US" w:eastAsia="zh-CN" w:bidi="ar"/>
        </w:rPr>
        <w:t>煤矸石透水砖，轻骨料，绿色水泥、陶瓷、岩棉、装配式构件、肥料、氧化铝、胶凝填充材料等</w:t>
      </w:r>
      <w:r>
        <w:rPr>
          <w:rFonts w:hint="eastAsia" w:ascii="仿宋_GB2312" w:hAnsi="仿宋_GB2312" w:eastAsia="仿宋_GB2312" w:cs="仿宋_GB2312"/>
          <w:b w:val="0"/>
          <w:bCs/>
          <w:color w:val="000000"/>
          <w:kern w:val="0"/>
          <w:sz w:val="32"/>
          <w:szCs w:val="32"/>
          <w:lang w:val="en-US" w:eastAsia="zh-CN" w:bidi="ar"/>
        </w:rPr>
        <w:t>领域为重点，针对产业的关键环节，策划一批重点招商项目，依托现有骨干企业和配套企业，实施产业链招商。加强与大型企业高层的定期互动和交流，推行代理招商、合作招商、以商招商，依托龙头企业，推动产业链关键环节的整合、延长和优化，实现“引进一个，带动一批”。同时，注重产业集群组团式招商，积极引进专业优势明显、分工协作紧密的配套企业。</w:t>
      </w:r>
      <w:bookmarkStart w:id="92" w:name="_Toc478129837"/>
    </w:p>
    <w:bookmarkEnd w:id="92"/>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bookmarkStart w:id="93" w:name="_Toc1407"/>
      <w:bookmarkStart w:id="94" w:name="_Toc25750"/>
      <w:bookmarkStart w:id="95" w:name="_Toc18213"/>
      <w:bookmarkStart w:id="96" w:name="_Toc27509"/>
      <w:bookmarkStart w:id="97" w:name="_Toc19718"/>
      <w:bookmarkStart w:id="98" w:name="_Toc17394"/>
      <w:bookmarkStart w:id="99" w:name="_Toc27936"/>
      <w:bookmarkStart w:id="100" w:name="_Toc21391"/>
      <w:bookmarkStart w:id="101" w:name="_Toc24561"/>
      <w:bookmarkStart w:id="102" w:name="_Toc15809"/>
      <w:r>
        <w:rPr>
          <w:rFonts w:hint="eastAsia" w:ascii="仿宋_GB2312" w:hAnsi="仿宋_GB2312" w:eastAsia="仿宋_GB2312" w:cs="仿宋_GB2312"/>
          <w:b/>
          <w:bCs/>
          <w:color w:val="000000"/>
          <w:kern w:val="0"/>
          <w:sz w:val="32"/>
          <w:szCs w:val="32"/>
          <w:lang w:val="en-US" w:eastAsia="zh-CN" w:bidi="ar"/>
        </w:rPr>
        <w:t>帮扶重点企业</w:t>
      </w:r>
      <w:bookmarkEnd w:id="93"/>
      <w:bookmarkEnd w:id="94"/>
      <w:bookmarkEnd w:id="95"/>
      <w:bookmarkEnd w:id="96"/>
      <w:bookmarkEnd w:id="97"/>
      <w:bookmarkEnd w:id="98"/>
      <w:bookmarkEnd w:id="99"/>
      <w:bookmarkEnd w:id="100"/>
      <w:bookmarkEnd w:id="101"/>
      <w:bookmarkEnd w:id="102"/>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以抚顺矿业集团有限公司为代表，挑选一批规模较大、市场潜力大、成长性较好、科技含量较高的企业，实行挂点帮扶，组建帮扶小组，建立联席会议、现场办公会议、限时办结、督查督办、考核激励等帮扶工作机制，帮助企业解决困难和问题。支持企业申请国家级及地方重大项目和专项扶持基金；鼓励金融机构围绕重点企业、重大项目的资金需求开展金融产品创新。力争培育技术领先、品牌知名、引领产业升级的企业。</w:t>
      </w:r>
    </w:p>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bookmarkStart w:id="103" w:name="_Toc27262"/>
      <w:bookmarkStart w:id="104" w:name="_Toc17265"/>
      <w:bookmarkStart w:id="105" w:name="_Toc29244"/>
      <w:bookmarkStart w:id="106" w:name="_Toc32707"/>
      <w:bookmarkStart w:id="107" w:name="_Toc19117"/>
      <w:bookmarkStart w:id="108" w:name="_Toc21851"/>
      <w:bookmarkStart w:id="109" w:name="_Toc25679"/>
      <w:bookmarkStart w:id="110" w:name="_Toc5510"/>
      <w:bookmarkStart w:id="111" w:name="_Toc11599"/>
      <w:bookmarkStart w:id="112" w:name="_Toc17745"/>
      <w:r>
        <w:rPr>
          <w:rFonts w:hint="eastAsia" w:ascii="仿宋_GB2312" w:hAnsi="仿宋_GB2312" w:eastAsia="仿宋_GB2312" w:cs="仿宋_GB2312"/>
          <w:b/>
          <w:bCs/>
          <w:color w:val="000000"/>
          <w:kern w:val="0"/>
          <w:sz w:val="32"/>
          <w:szCs w:val="32"/>
          <w:lang w:val="en-US" w:eastAsia="zh-CN" w:bidi="ar"/>
        </w:rPr>
        <w:t>引进科研创新团队</w:t>
      </w:r>
      <w:bookmarkEnd w:id="103"/>
      <w:bookmarkEnd w:id="104"/>
      <w:bookmarkEnd w:id="105"/>
      <w:bookmarkEnd w:id="106"/>
      <w:bookmarkEnd w:id="107"/>
      <w:bookmarkEnd w:id="108"/>
      <w:bookmarkEnd w:id="109"/>
      <w:bookmarkEnd w:id="110"/>
      <w:bookmarkEnd w:id="111"/>
      <w:bookmarkEnd w:id="112"/>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加强与科研机构、高等院校的对接与合作，建立煤矸石综合利用科技成果孵化基地、中试基地等。实施土地、服务保障等优惠政策，以为高校或科研创团队提供煤矸石综合利用中试基地等形式，吸引科研团队与抚顺市合作，在抚顺市开展研究试验等工作，对有些能够进行产业化的项目进行孵化，同时引进高端人才。</w:t>
      </w:r>
    </w:p>
    <w:p>
      <w:pPr>
        <w:keepNext w:val="0"/>
        <w:keepLines w:val="0"/>
        <w:kinsoku/>
        <w:wordWrap/>
        <w:overflowPunct/>
        <w:topLinePunct w:val="0"/>
        <w:autoSpaceDE/>
        <w:autoSpaceDN/>
        <w:bidi w:val="0"/>
        <w:spacing w:line="360" w:lineRule="auto"/>
        <w:ind w:left="0" w:leftChars="0" w:firstLine="643" w:firstLineChars="200"/>
        <w:jc w:val="both"/>
        <w:outlineLvl w:val="9"/>
        <w:rPr>
          <w:rFonts w:hint="eastAsia" w:ascii="仿宋_GB2312" w:hAnsi="仿宋_GB2312" w:eastAsia="仿宋_GB2312" w:cs="仿宋_GB2312"/>
          <w:color w:val="000000"/>
          <w:kern w:val="0"/>
          <w:sz w:val="32"/>
          <w:szCs w:val="32"/>
          <w:lang w:val="en-US" w:eastAsia="zh-CN" w:bidi="ar"/>
        </w:rPr>
      </w:pPr>
      <w:bookmarkStart w:id="113" w:name="_Toc29393"/>
      <w:bookmarkStart w:id="114" w:name="_Toc30254"/>
      <w:bookmarkStart w:id="115" w:name="_Toc5027"/>
      <w:bookmarkStart w:id="116" w:name="_Toc27721"/>
      <w:bookmarkStart w:id="117" w:name="_Toc5607"/>
      <w:bookmarkStart w:id="118" w:name="_Toc9940"/>
      <w:bookmarkStart w:id="119" w:name="_Toc5062"/>
      <w:bookmarkStart w:id="120" w:name="_Toc31008"/>
      <w:bookmarkStart w:id="121" w:name="_Toc18526"/>
      <w:bookmarkStart w:id="122" w:name="_Toc19306"/>
      <w:r>
        <w:rPr>
          <w:rFonts w:hint="eastAsia" w:ascii="仿宋_GB2312" w:hAnsi="仿宋_GB2312" w:eastAsia="仿宋_GB2312" w:cs="仿宋_GB2312"/>
          <w:b/>
          <w:bCs/>
          <w:color w:val="000000"/>
          <w:kern w:val="0"/>
          <w:sz w:val="32"/>
          <w:szCs w:val="32"/>
          <w:lang w:val="en-US" w:eastAsia="zh-CN" w:bidi="ar"/>
        </w:rPr>
        <w:t>强化项目推进</w:t>
      </w:r>
      <w:bookmarkEnd w:id="113"/>
      <w:bookmarkEnd w:id="114"/>
      <w:bookmarkEnd w:id="115"/>
      <w:bookmarkEnd w:id="116"/>
      <w:bookmarkEnd w:id="117"/>
      <w:bookmarkEnd w:id="118"/>
      <w:bookmarkEnd w:id="119"/>
      <w:bookmarkEnd w:id="120"/>
      <w:bookmarkEnd w:id="121"/>
      <w:bookmarkEnd w:id="122"/>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建立健全针对煤矸石综合利用产业发展的重大项目分类推进机制，各委办局相互配合，明确责任领导和责任部门，形成统一指挥、部门分工合作、企业加快推进的项目建设格局。大力推行项目联审制度，建立重大项目、高新技术项目“绿色通道”及重点项目领导挂钩联系制度，推动高新技术项目及创新团队的建设和落户，力争每年1-3个投资超亿元的重大煤矸石综合利用项目建成投产。</w:t>
      </w:r>
    </w:p>
    <w:p>
      <w:pPr>
        <w:keepNext w:val="0"/>
        <w:keepLines w:val="0"/>
        <w:widowControl/>
        <w:kinsoku/>
        <w:wordWrap/>
        <w:overflowPunct/>
        <w:topLinePunct w:val="0"/>
        <w:autoSpaceDE/>
        <w:autoSpaceDN/>
        <w:bidi w:val="0"/>
        <w:adjustRightInd w:val="0"/>
        <w:spacing w:line="360" w:lineRule="auto"/>
        <w:ind w:left="0" w:leftChars="0" w:firstLine="672"/>
        <w:jc w:val="both"/>
        <w:outlineLvl w:val="2"/>
        <w:rPr>
          <w:rFonts w:hint="eastAsia" w:ascii="仿宋_GB2312" w:hAnsi="仿宋_GB2312" w:eastAsia="仿宋_GB2312" w:cs="仿宋_GB2312"/>
          <w:b/>
          <w:bCs/>
          <w:color w:val="000000"/>
          <w:kern w:val="0"/>
          <w:sz w:val="32"/>
          <w:szCs w:val="32"/>
          <w:lang w:val="en-US" w:eastAsia="zh-CN" w:bidi="ar"/>
        </w:rPr>
      </w:pPr>
      <w:bookmarkStart w:id="123" w:name="_Toc28174"/>
      <w:bookmarkStart w:id="124" w:name="_Toc9152"/>
      <w:bookmarkStart w:id="125" w:name="_Toc4292"/>
      <w:bookmarkStart w:id="126" w:name="_Toc27710"/>
      <w:bookmarkStart w:id="127" w:name="_Toc31637"/>
      <w:bookmarkStart w:id="128" w:name="_Toc3741"/>
      <w:bookmarkStart w:id="129" w:name="_Toc13034"/>
      <w:bookmarkStart w:id="130" w:name="_Toc21901"/>
      <w:bookmarkStart w:id="131" w:name="_Toc16300"/>
      <w:bookmarkStart w:id="132" w:name="_Toc16311"/>
      <w:bookmarkStart w:id="133" w:name="_Toc16323"/>
      <w:r>
        <w:rPr>
          <w:rFonts w:hint="eastAsia" w:ascii="仿宋_GB2312" w:hAnsi="仿宋_GB2312" w:eastAsia="仿宋_GB2312" w:cs="仿宋_GB2312"/>
          <w:b/>
          <w:bCs/>
          <w:color w:val="000000"/>
          <w:kern w:val="0"/>
          <w:sz w:val="32"/>
          <w:szCs w:val="32"/>
          <w:lang w:val="en-US" w:eastAsia="zh-CN" w:bidi="ar"/>
        </w:rPr>
        <w:t>3.加快推进园区建设</w:t>
      </w:r>
      <w:bookmarkEnd w:id="123"/>
      <w:bookmarkEnd w:id="124"/>
      <w:bookmarkEnd w:id="125"/>
      <w:bookmarkEnd w:id="126"/>
      <w:bookmarkEnd w:id="127"/>
      <w:bookmarkEnd w:id="128"/>
      <w:bookmarkEnd w:id="129"/>
      <w:bookmarkEnd w:id="130"/>
      <w:bookmarkEnd w:id="131"/>
      <w:bookmarkEnd w:id="132"/>
      <w:bookmarkEnd w:id="133"/>
    </w:p>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加快推进煤矸石产业园区建设。</w:t>
      </w:r>
      <w:r>
        <w:rPr>
          <w:rFonts w:hint="eastAsia" w:ascii="仿宋_GB2312" w:hAnsi="仿宋_GB2312" w:eastAsia="仿宋_GB2312" w:cs="仿宋_GB2312"/>
          <w:color w:val="000000"/>
          <w:kern w:val="0"/>
          <w:sz w:val="32"/>
          <w:szCs w:val="32"/>
          <w:lang w:val="en-US" w:eastAsia="zh-CN" w:bidi="ar"/>
        </w:rPr>
        <w:t>加快推进望花大宗固体废弃物综合利用产业园基础配套设施建设、胜利开发区大宗固体废弃物综合利用产业园基础配套设施提升改造。提高建设标准，建立煤、水、电、气和物流等生产要素的长期保障机制，结合抚顺市实际，给予园区土地、资金、政策等其他生产要素优惠配套。积极吸引社会资金及各类股权投资基金投入，共同推进园区道路、供水供电供气、污染处理设施、标准厂房等公用设施和基础设施项目建设。</w:t>
      </w:r>
    </w:p>
    <w:p>
      <w:pPr>
        <w:keepNext w:val="0"/>
        <w:keepLines w:val="0"/>
        <w:kinsoku/>
        <w:wordWrap/>
        <w:overflowPunct/>
        <w:topLinePunct w:val="0"/>
        <w:autoSpaceDE/>
        <w:autoSpaceDN/>
        <w:bidi w:val="0"/>
        <w:spacing w:line="360" w:lineRule="auto"/>
        <w:ind w:left="0" w:leftChars="0" w:firstLine="643"/>
        <w:jc w:val="both"/>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加快推进公共服务平台建设。</w:t>
      </w:r>
      <w:r>
        <w:rPr>
          <w:rFonts w:hint="eastAsia" w:ascii="仿宋_GB2312" w:hAnsi="仿宋_GB2312" w:eastAsia="仿宋_GB2312" w:cs="仿宋_GB2312"/>
          <w:color w:val="000000"/>
          <w:kern w:val="0"/>
          <w:sz w:val="32"/>
          <w:szCs w:val="32"/>
          <w:lang w:val="en-US" w:eastAsia="zh-CN" w:bidi="ar"/>
        </w:rPr>
        <w:t>加快推进望花大宗固体废弃物综合利用产业园公共服务平台建设，为企业提供煤矸石综合利用产业发展信息服务、创业服务、培训服务、融资服务、产品展览展示等方面的公共服务。建立孵化中心，重点推进具有孵化器功能的科技创业平台、科技成果转化平台等创新驱动公共服务平台建设，搭建产学研用联合创新平台，着力突破产业化瓶颈。</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522" w:type="dxa"/>
          </w:tcPr>
          <w:p>
            <w:pPr>
              <w:pStyle w:val="10"/>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表2：园区建设重点项目</w:t>
            </w:r>
          </w:p>
          <w:p>
            <w:pPr>
              <w:pStyle w:val="14"/>
              <w:keepNext w:val="0"/>
              <w:keepLines w:val="0"/>
              <w:numPr>
                <w:ilvl w:val="0"/>
                <w:numId w:val="4"/>
              </w:numPr>
              <w:kinsoku/>
              <w:wordWrap/>
              <w:overflowPunct/>
              <w:topLinePunct w:val="0"/>
              <w:autoSpaceDE/>
              <w:autoSpaceDN/>
              <w:bidi w:val="0"/>
              <w:spacing w:before="0" w:beforeAutospacing="0" w:after="0" w:afterAutospacing="0" w:line="360" w:lineRule="auto"/>
              <w:ind w:left="0" w:leftChars="0"/>
              <w:jc w:val="both"/>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抚顺望花大宗固体废弃物综合利用产业园区项目，</w:t>
            </w:r>
            <w:r>
              <w:rPr>
                <w:rFonts w:hint="eastAsia" w:ascii="仿宋" w:hAnsi="仿宋" w:eastAsia="仿宋" w:cs="仿宋"/>
                <w:sz w:val="24"/>
                <w:szCs w:val="24"/>
              </w:rPr>
              <w:t>总投资</w:t>
            </w:r>
            <w:r>
              <w:rPr>
                <w:rFonts w:hint="eastAsia" w:ascii="仿宋" w:hAnsi="仿宋" w:eastAsia="仿宋" w:cs="仿宋"/>
                <w:sz w:val="24"/>
                <w:szCs w:val="24"/>
                <w:lang w:val="en-US" w:eastAsia="zh-CN"/>
              </w:rPr>
              <w:t>32793</w:t>
            </w:r>
            <w:r>
              <w:rPr>
                <w:rFonts w:hint="eastAsia" w:ascii="仿宋" w:hAnsi="仿宋" w:eastAsia="仿宋" w:cs="仿宋"/>
                <w:sz w:val="24"/>
                <w:szCs w:val="24"/>
              </w:rPr>
              <w:t>万元，占地</w:t>
            </w:r>
            <w:r>
              <w:rPr>
                <w:rFonts w:hint="eastAsia" w:ascii="仿宋" w:hAnsi="仿宋" w:eastAsia="仿宋" w:cs="仿宋"/>
                <w:sz w:val="24"/>
                <w:szCs w:val="24"/>
                <w:lang w:val="en-US" w:eastAsia="zh-CN"/>
              </w:rPr>
              <w:t>3295</w:t>
            </w:r>
            <w:r>
              <w:rPr>
                <w:rFonts w:hint="eastAsia" w:ascii="仿宋" w:hAnsi="仿宋" w:eastAsia="仿宋" w:cs="仿宋"/>
                <w:sz w:val="24"/>
                <w:szCs w:val="24"/>
              </w:rPr>
              <w:t>亩，</w:t>
            </w:r>
            <w:r>
              <w:rPr>
                <w:rFonts w:hint="eastAsia" w:ascii="仿宋" w:hAnsi="仿宋" w:eastAsia="仿宋" w:cs="仿宋"/>
                <w:sz w:val="24"/>
                <w:szCs w:val="24"/>
                <w:lang w:val="en-US" w:eastAsia="zh-CN"/>
              </w:rPr>
              <w:t>建设内容包括</w:t>
            </w:r>
            <w:r>
              <w:rPr>
                <w:rFonts w:hint="eastAsia" w:ascii="仿宋" w:hAnsi="仿宋" w:eastAsia="仿宋" w:cs="仿宋"/>
                <w:sz w:val="24"/>
                <w:szCs w:val="24"/>
              </w:rPr>
              <w:t>场地平整、道路、供水管网、排污排雨管网、供热管网、燃气管网、电力与电信、污水泵房、变电所、公共研发平台等公用工程配套设施</w:t>
            </w:r>
            <w:r>
              <w:rPr>
                <w:rFonts w:hint="eastAsia" w:ascii="仿宋" w:hAnsi="仿宋" w:eastAsia="仿宋" w:cs="仿宋"/>
                <w:sz w:val="24"/>
                <w:szCs w:val="24"/>
                <w:lang w:eastAsia="zh-CN"/>
              </w:rPr>
              <w:t>。</w:t>
            </w:r>
          </w:p>
          <w:p>
            <w:pPr>
              <w:pStyle w:val="14"/>
              <w:keepNext w:val="0"/>
              <w:keepLines w:val="0"/>
              <w:numPr>
                <w:ilvl w:val="0"/>
                <w:numId w:val="4"/>
              </w:numPr>
              <w:kinsoku/>
              <w:wordWrap/>
              <w:overflowPunct/>
              <w:topLinePunct w:val="0"/>
              <w:autoSpaceDE/>
              <w:autoSpaceDN/>
              <w:bidi w:val="0"/>
              <w:spacing w:before="0" w:beforeAutospacing="0" w:after="0" w:afterAutospacing="0" w:line="360" w:lineRule="auto"/>
              <w:ind w:left="0" w:leftChars="0"/>
              <w:jc w:val="both"/>
              <w:rPr>
                <w:rFonts w:hint="default" w:ascii="宋体" w:hAnsi="宋体" w:eastAsia="宋体" w:cs="宋体"/>
                <w:lang w:val="en-US" w:eastAsia="zh-CN"/>
              </w:rPr>
            </w:pPr>
            <w:r>
              <w:rPr>
                <w:rFonts w:hint="eastAsia" w:ascii="仿宋" w:hAnsi="仿宋" w:eastAsia="仿宋" w:cs="仿宋"/>
                <w:kern w:val="0"/>
                <w:sz w:val="24"/>
                <w:szCs w:val="24"/>
                <w:lang w:val="en-US" w:eastAsia="zh-CN" w:bidi="ar-SA"/>
              </w:rPr>
              <w:t>抚顺市望花经济开发区2#、4#地块基础设施建设项目，总投资17753万元，建设场区道路及市政管网，发展煤矸石综合利用产业。</w:t>
            </w:r>
          </w:p>
        </w:tc>
      </w:tr>
    </w:tbl>
    <w:p>
      <w:pPr>
        <w:pStyle w:val="10"/>
        <w:keepNext w:val="0"/>
        <w:keepLines w:val="0"/>
        <w:kinsoku/>
        <w:wordWrap/>
        <w:overflowPunct/>
        <w:topLinePunct w:val="0"/>
        <w:autoSpaceDE/>
        <w:autoSpaceDN/>
        <w:bidi w:val="0"/>
        <w:spacing w:line="360" w:lineRule="auto"/>
        <w:ind w:left="0" w:leftChars="0"/>
        <w:jc w:val="both"/>
        <w:rPr>
          <w:rFonts w:hint="eastAsia"/>
          <w:lang w:val="en-US" w:eastAsia="zh-CN"/>
        </w:rPr>
      </w:pPr>
    </w:p>
    <w:p>
      <w:pPr>
        <w:keepNext w:val="0"/>
        <w:keepLines w:val="0"/>
        <w:widowControl/>
        <w:kinsoku/>
        <w:wordWrap/>
        <w:overflowPunct/>
        <w:topLinePunct w:val="0"/>
        <w:autoSpaceDE/>
        <w:autoSpaceDN/>
        <w:bidi w:val="0"/>
        <w:adjustRightInd w:val="0"/>
        <w:spacing w:line="360" w:lineRule="auto"/>
        <w:ind w:left="0" w:leftChars="0" w:firstLine="672"/>
        <w:jc w:val="both"/>
        <w:outlineLvl w:val="2"/>
        <w:rPr>
          <w:rFonts w:hint="eastAsia" w:ascii="仿宋_GB2312" w:hAnsi="仿宋_GB2312" w:eastAsia="仿宋_GB2312" w:cs="仿宋_GB2312"/>
          <w:b/>
          <w:bCs/>
          <w:color w:val="000000"/>
          <w:kern w:val="0"/>
          <w:sz w:val="32"/>
          <w:szCs w:val="32"/>
          <w:lang w:val="en-US" w:eastAsia="zh-CN" w:bidi="ar"/>
        </w:rPr>
      </w:pPr>
      <w:bookmarkStart w:id="134" w:name="_Toc25831"/>
      <w:bookmarkStart w:id="135" w:name="_Toc10401"/>
      <w:bookmarkStart w:id="136" w:name="_Toc14249"/>
      <w:bookmarkStart w:id="137" w:name="_Toc32461"/>
      <w:bookmarkStart w:id="138" w:name="_Toc20386"/>
      <w:bookmarkStart w:id="139" w:name="_Toc28620"/>
      <w:bookmarkStart w:id="140" w:name="_Toc25209"/>
      <w:bookmarkStart w:id="141" w:name="_Toc12386"/>
      <w:bookmarkStart w:id="142" w:name="_Toc6808"/>
      <w:bookmarkStart w:id="143" w:name="_Toc21714"/>
      <w:bookmarkStart w:id="144" w:name="_Toc15442"/>
      <w:r>
        <w:rPr>
          <w:rFonts w:hint="eastAsia" w:ascii="仿宋_GB2312" w:hAnsi="仿宋_GB2312" w:eastAsia="仿宋_GB2312" w:cs="仿宋_GB2312"/>
          <w:b/>
          <w:bCs/>
          <w:color w:val="000000"/>
          <w:kern w:val="0"/>
          <w:sz w:val="32"/>
          <w:szCs w:val="32"/>
          <w:lang w:val="en-US" w:eastAsia="zh-CN" w:bidi="ar"/>
        </w:rPr>
        <w:t>4.着力推进应用示范</w:t>
      </w:r>
      <w:bookmarkEnd w:id="134"/>
      <w:bookmarkEnd w:id="135"/>
      <w:bookmarkEnd w:id="136"/>
      <w:bookmarkEnd w:id="137"/>
      <w:bookmarkEnd w:id="138"/>
      <w:bookmarkEnd w:id="139"/>
      <w:bookmarkEnd w:id="140"/>
      <w:bookmarkEnd w:id="141"/>
      <w:bookmarkEnd w:id="142"/>
      <w:bookmarkEnd w:id="143"/>
      <w:bookmarkEnd w:id="144"/>
    </w:p>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bookmarkStart w:id="145" w:name="_Toc1241"/>
      <w:bookmarkStart w:id="146" w:name="_Toc23788"/>
      <w:bookmarkStart w:id="147" w:name="_Toc8153"/>
      <w:bookmarkStart w:id="148" w:name="_Toc31005"/>
      <w:bookmarkStart w:id="149" w:name="_Toc31400"/>
      <w:bookmarkStart w:id="150" w:name="_Toc30439"/>
      <w:bookmarkStart w:id="151" w:name="_Toc21191"/>
      <w:bookmarkStart w:id="152" w:name="_Toc9477"/>
      <w:bookmarkStart w:id="153" w:name="_Toc12137"/>
      <w:bookmarkStart w:id="154" w:name="_Toc17822"/>
      <w:r>
        <w:rPr>
          <w:rFonts w:hint="eastAsia" w:ascii="仿宋_GB2312" w:hAnsi="仿宋_GB2312" w:eastAsia="仿宋_GB2312" w:cs="仿宋_GB2312"/>
          <w:b/>
          <w:bCs/>
          <w:color w:val="auto"/>
          <w:kern w:val="0"/>
          <w:sz w:val="32"/>
          <w:szCs w:val="32"/>
          <w:lang w:val="en-US" w:eastAsia="zh-CN" w:bidi="ar"/>
        </w:rPr>
        <w:t>建立产业发展标准化体系。</w:t>
      </w:r>
      <w:r>
        <w:rPr>
          <w:rFonts w:hint="eastAsia" w:ascii="仿宋_GB2312" w:hAnsi="仿宋_GB2312" w:eastAsia="仿宋_GB2312" w:cs="仿宋_GB2312"/>
          <w:color w:val="000000"/>
          <w:kern w:val="0"/>
          <w:sz w:val="32"/>
          <w:szCs w:val="32"/>
          <w:lang w:val="en-US" w:eastAsia="zh-CN" w:bidi="ar"/>
        </w:rPr>
        <w:t>建立煤矸石综合利用台账，强化煤矸石源头减量、过程清洁生产、末端处置利用的全过程管理。科研院所、高等院校协同骨干企业要加快研究煤矸石综合利用的相关理论指导和应用标准规范，相关政府部门要加紧建设煤矸石综合利用产业发展标准化体系，提高产业发展生产运营规范化水平。</w:t>
      </w:r>
    </w:p>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开展产品应用示范推广</w:t>
      </w:r>
      <w:bookmarkEnd w:id="145"/>
      <w:bookmarkEnd w:id="146"/>
      <w:bookmarkEnd w:id="147"/>
      <w:bookmarkEnd w:id="148"/>
      <w:bookmarkEnd w:id="149"/>
      <w:bookmarkEnd w:id="150"/>
      <w:bookmarkEnd w:id="151"/>
      <w:bookmarkEnd w:id="152"/>
      <w:bookmarkEnd w:id="153"/>
      <w:bookmarkEnd w:id="154"/>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开展煤矸石制品首批次应用示范，推动下游应用发展。统筹煤矸石制品应用难度、下游企业可承受能力、潜在的应用规模等因素，从传统建筑材料改性入手，瞄准量大面广的绿色水泥、发泡陶瓷、岩棉等产品，向发展新型环保建筑材料方向迈进，探索产品多样性的生产研发和市场研究。从传统肥料升级入手，瞄准生物肥料、有机复合肥料等产品，</w:t>
      </w:r>
      <w:r>
        <w:rPr>
          <w:rFonts w:hint="default" w:ascii="仿宋_GB2312" w:hAnsi="仿宋_GB2312" w:eastAsia="仿宋_GB2312" w:cs="仿宋_GB2312"/>
          <w:color w:val="000000"/>
          <w:kern w:val="0"/>
          <w:sz w:val="32"/>
          <w:szCs w:val="32"/>
          <w:lang w:val="en-US" w:eastAsia="zh-CN" w:bidi="ar"/>
        </w:rPr>
        <w:t>逐步实现在农田里使用有机生物肥料和采用微生物方法防治病虫害</w:t>
      </w:r>
      <w:r>
        <w:rPr>
          <w:rFonts w:hint="eastAsia" w:ascii="仿宋_GB2312" w:hAnsi="仿宋_GB2312" w:eastAsia="仿宋_GB2312" w:cs="仿宋_GB2312"/>
          <w:color w:val="000000"/>
          <w:kern w:val="0"/>
          <w:sz w:val="32"/>
          <w:szCs w:val="32"/>
          <w:lang w:val="en-US" w:eastAsia="zh-CN" w:bidi="ar"/>
        </w:rPr>
        <w:t>。从提升改造污水处理行业入手，瞄准聚合氧化铝用于净化生活饮用水和工业废水及工业循环水处理产品，生产净水絮凝剂中的高端产品，开展产品应用示范推广。</w:t>
      </w:r>
    </w:p>
    <w:p>
      <w:pPr>
        <w:keepNext w:val="0"/>
        <w:keepLines w:val="0"/>
        <w:pageBreakBefore w:val="0"/>
        <w:kinsoku/>
        <w:wordWrap/>
        <w:overflowPunct/>
        <w:topLinePunct w:val="0"/>
        <w:autoSpaceDE/>
        <w:autoSpaceDN/>
        <w:bidi w:val="0"/>
        <w:spacing w:line="360" w:lineRule="auto"/>
        <w:ind w:left="0" w:leftChars="0" w:firstLine="672"/>
        <w:jc w:val="both"/>
        <w:textAlignment w:val="auto"/>
        <w:outlineLvl w:val="9"/>
        <w:rPr>
          <w:rFonts w:hint="eastAsia" w:ascii="仿宋_GB2312" w:hAnsi="仿宋_GB2312" w:eastAsia="仿宋_GB2312" w:cs="仿宋_GB2312"/>
          <w:color w:val="000000"/>
          <w:kern w:val="0"/>
          <w:sz w:val="32"/>
          <w:szCs w:val="32"/>
          <w:lang w:val="en-US" w:eastAsia="zh-CN" w:bidi="ar"/>
        </w:rPr>
      </w:pPr>
      <w:bookmarkStart w:id="155" w:name="_Toc14552"/>
      <w:bookmarkStart w:id="156" w:name="_Toc17771"/>
      <w:bookmarkStart w:id="157" w:name="_Toc926"/>
      <w:bookmarkStart w:id="158" w:name="_Toc25448"/>
      <w:bookmarkStart w:id="159" w:name="_Toc30044"/>
      <w:bookmarkStart w:id="160" w:name="_Toc28016"/>
      <w:bookmarkStart w:id="161" w:name="_Toc23041"/>
      <w:r>
        <w:rPr>
          <w:rFonts w:hint="eastAsia" w:ascii="仿宋_GB2312" w:hAnsi="仿宋_GB2312" w:eastAsia="仿宋_GB2312" w:cs="仿宋_GB2312"/>
          <w:b/>
          <w:bCs/>
          <w:color w:val="000000"/>
          <w:kern w:val="0"/>
          <w:sz w:val="32"/>
          <w:szCs w:val="32"/>
          <w:lang w:val="en-US" w:eastAsia="zh-CN" w:bidi="ar"/>
        </w:rPr>
        <w:t>扩大市场空间和影响力</w:t>
      </w:r>
      <w:bookmarkEnd w:id="155"/>
      <w:bookmarkEnd w:id="156"/>
      <w:bookmarkEnd w:id="157"/>
      <w:bookmarkEnd w:id="158"/>
      <w:bookmarkEnd w:id="159"/>
      <w:bookmarkEnd w:id="160"/>
      <w:bookmarkEnd w:id="161"/>
      <w:r>
        <w:rPr>
          <w:rFonts w:hint="eastAsia" w:ascii="仿宋_GB2312" w:hAnsi="仿宋_GB2312" w:eastAsia="仿宋_GB2312" w:cs="仿宋_GB2312"/>
          <w:b/>
          <w:bCs/>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鼓励企业申报国家及辽宁省重点项目、工程，争取纳入到省里甚至国家煤矸石综合利用产业重点支持行列，积极承担或参与煤矸石综合利用产业技术标准制定，在国内外市场推广具有自主知识产权的技术标准产品。创新商业模式和服务模式，支持企业发展有利于扩大市场需求的专业服务、增值服务等新业态。积极推动产品运营各环节的有效整合，以政策合力培育市场，引导产业聚集，延长配套产业链，创建国家级煤矸石综合利用产业示范基地。</w:t>
      </w:r>
    </w:p>
    <w:p>
      <w:pPr>
        <w:keepNext w:val="0"/>
        <w:keepLines w:val="0"/>
        <w:pageBreakBefore w:val="0"/>
        <w:widowControl/>
        <w:kinsoku/>
        <w:wordWrap/>
        <w:overflowPunct/>
        <w:topLinePunct w:val="0"/>
        <w:autoSpaceDE/>
        <w:autoSpaceDN/>
        <w:bidi w:val="0"/>
        <w:adjustRightInd w:val="0"/>
        <w:spacing w:line="360" w:lineRule="auto"/>
        <w:ind w:left="0" w:leftChars="0" w:firstLine="672"/>
        <w:jc w:val="both"/>
        <w:textAlignment w:val="auto"/>
        <w:outlineLvl w:val="2"/>
        <w:rPr>
          <w:rFonts w:hint="default"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5.全面加强招才引智</w:t>
      </w:r>
    </w:p>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加大投入扶持力度。</w:t>
      </w:r>
      <w:r>
        <w:rPr>
          <w:rFonts w:hint="eastAsia" w:ascii="仿宋_GB2312" w:hAnsi="仿宋_GB2312" w:eastAsia="仿宋_GB2312" w:cs="仿宋_GB2312"/>
          <w:color w:val="000000"/>
          <w:kern w:val="0"/>
          <w:sz w:val="32"/>
          <w:szCs w:val="32"/>
          <w:lang w:val="en-US" w:eastAsia="zh-CN" w:bidi="ar"/>
        </w:rPr>
        <w:t>加大煤矸石综合利用产业人才发展资金投入力度，加快形成人才优先发展的战略布局，设立政府专项基金，专门用于育才引智、创新奖励等，并逐年增加投入。突破常规提升人才待遇，鼓励企业探索完善薪酬制度，实行收入与工作实绩和科技成果转化效益挂钩，对有特殊贡献的人才试行协议工资和年薪制。加大对创新项目孵化的支持力度，对携带发明专利人才给予财政贴息贷款支持等。</w:t>
      </w:r>
    </w:p>
    <w:p>
      <w:pPr>
        <w:keepNext w:val="0"/>
        <w:keepLines w:val="0"/>
        <w:kinsoku/>
        <w:wordWrap/>
        <w:overflowPunct/>
        <w:topLinePunct w:val="0"/>
        <w:autoSpaceDE/>
        <w:autoSpaceDN/>
        <w:bidi w:val="0"/>
        <w:spacing w:line="360" w:lineRule="auto"/>
        <w:ind w:left="0" w:leftChars="0" w:firstLine="672"/>
        <w:jc w:val="both"/>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完善培育保障体系。</w:t>
      </w:r>
      <w:r>
        <w:rPr>
          <w:rFonts w:hint="eastAsia" w:ascii="仿宋_GB2312" w:hAnsi="仿宋_GB2312" w:eastAsia="仿宋_GB2312" w:cs="仿宋_GB2312"/>
          <w:color w:val="000000"/>
          <w:kern w:val="0"/>
          <w:sz w:val="32"/>
          <w:szCs w:val="32"/>
          <w:lang w:val="en-US" w:eastAsia="zh-CN" w:bidi="ar"/>
        </w:rPr>
        <w:t>制定人才引进计划，整合全市各类人才政策，重点培养一批具有开拓创新精神、市场拓展引领能力的优秀企业家和具备专业知识的工程技术专家。制定完善人才柔性流动政策，鼓励国内外煤矸石综合利用领域高层次人才采取柔性流动的方式来抚顺市从事兼职、咨询、讲座、科研和技术合作或从事其他煤矸石综合利用领域专业服务，为本地人才提供技术交流、科研合作的机会。进一步健全人才联系制度，通过定期走访人才、召开人才座谈会、建立人才微信群等多种渠道，汲取高端人才对抚顺市煤矸石综合利用产业发展的意见和建议，进一步制定人才生活保障措施，解决好其住房、医疗、就业、子女教育、社保等方面的实际问题。鼓励煤矸石综合利用相关企业采取内部培训、派出进修等多种方式加强人才培养，形成内部独立的培训机制，制定吸纳、留住紧缺人才的优惠政策和配套措施。</w:t>
      </w:r>
    </w:p>
    <w:p>
      <w:pPr>
        <w:pStyle w:val="2"/>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2"/>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6.节能减排绿色发展</w:t>
      </w:r>
    </w:p>
    <w:p>
      <w:pPr>
        <w:pStyle w:val="2"/>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推进煤矿行业绿色转型。</w:t>
      </w:r>
      <w:r>
        <w:rPr>
          <w:rFonts w:hint="eastAsia" w:ascii="仿宋_GB2312" w:hAnsi="仿宋_GB2312" w:eastAsia="仿宋_GB2312" w:cs="仿宋_GB2312"/>
          <w:color w:val="000000"/>
          <w:kern w:val="0"/>
          <w:sz w:val="32"/>
          <w:szCs w:val="32"/>
          <w:lang w:val="en-US" w:eastAsia="zh-CN" w:bidi="ar"/>
        </w:rPr>
        <w:t>开展煤矿行业绿色化改造升级，推动煤矸石等大宗固废产生过程自消纳。鼓励采矿企业利用煤矸石制备</w:t>
      </w:r>
      <w:r>
        <w:rPr>
          <w:rFonts w:hint="eastAsia" w:ascii="仿宋_GB2312" w:hAnsi="仿宋_GB2312" w:eastAsia="仿宋_GB2312" w:cs="仿宋_GB2312"/>
          <w:kern w:val="2"/>
          <w:sz w:val="32"/>
          <w:szCs w:val="32"/>
          <w:lang w:val="en-US" w:eastAsia="zh-CN" w:bidi="ar"/>
        </w:rPr>
        <w:t>砂源替代材料，推广胶凝回填利用技术，</w:t>
      </w:r>
      <w:r>
        <w:rPr>
          <w:rFonts w:hint="eastAsia" w:ascii="仿宋_GB2312" w:hAnsi="仿宋_GB2312" w:eastAsia="仿宋_GB2312" w:cs="仿宋_GB2312"/>
          <w:color w:val="000000"/>
          <w:kern w:val="0"/>
          <w:sz w:val="32"/>
          <w:szCs w:val="32"/>
          <w:lang w:val="en-US" w:eastAsia="zh-CN" w:bidi="ar"/>
        </w:rPr>
        <w:t>填充采空区、治理塌陷区，推广应用煤矸石不出井模式，实现源头减量。</w:t>
      </w:r>
      <w:r>
        <w:rPr>
          <w:rFonts w:hint="eastAsia" w:ascii="仿宋_GB2312" w:hAnsi="仿宋_GB2312" w:eastAsia="仿宋_GB2312" w:cs="仿宋_GB2312"/>
          <w:kern w:val="2"/>
          <w:sz w:val="32"/>
          <w:szCs w:val="32"/>
          <w:lang w:val="en-US" w:eastAsia="zh-CN" w:bidi="ar"/>
        </w:rPr>
        <w:t>引导传统建材企业</w:t>
      </w:r>
      <w:r>
        <w:rPr>
          <w:rFonts w:hint="eastAsia" w:ascii="仿宋_GB2312" w:hAnsi="仿宋_GB2312" w:eastAsia="仿宋_GB2312" w:cs="仿宋_GB2312"/>
          <w:color w:val="000000"/>
          <w:kern w:val="0"/>
          <w:sz w:val="32"/>
          <w:szCs w:val="32"/>
          <w:lang w:val="en-US" w:eastAsia="zh-CN" w:bidi="ar"/>
        </w:rPr>
        <w:t>要贯彻落实新发展理念，强化科技支撑，优化生产工艺流程，选用高效节能设备，减少资源能源投入，发挥煤矸石综合利用对天然矿产资源的替代和对降碳的协同增效作用。</w:t>
      </w:r>
    </w:p>
    <w:p>
      <w:pPr>
        <w:pStyle w:val="2"/>
        <w:keepNext w:val="0"/>
        <w:keepLines w:val="0"/>
        <w:numPr>
          <w:ilvl w:val="0"/>
          <w:numId w:val="0"/>
        </w:numPr>
        <w:kinsoku/>
        <w:wordWrap/>
        <w:overflowPunct/>
        <w:topLinePunct w:val="0"/>
        <w:autoSpaceDE/>
        <w:autoSpaceDN/>
        <w:bidi w:val="0"/>
        <w:spacing w:line="360" w:lineRule="auto"/>
        <w:ind w:left="0" w:leftChars="0" w:firstLine="643" w:firstLineChars="200"/>
        <w:jc w:val="both"/>
        <w:outlineLvl w:val="9"/>
        <w:rPr>
          <w:rFonts w:hint="default"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加强固废综合利用污染防治。</w:t>
      </w:r>
      <w:r>
        <w:rPr>
          <w:rFonts w:hint="eastAsia" w:ascii="仿宋_GB2312" w:hAnsi="仿宋_GB2312" w:eastAsia="仿宋_GB2312" w:cs="仿宋_GB2312"/>
          <w:b w:val="0"/>
          <w:bCs w:val="0"/>
          <w:color w:val="000000"/>
          <w:kern w:val="0"/>
          <w:sz w:val="32"/>
          <w:szCs w:val="32"/>
          <w:lang w:val="en-US" w:eastAsia="zh-CN" w:bidi="ar"/>
        </w:rPr>
        <w:t>完善煤矸石综合利用污染防治制度，制定煤矸石污染防治工作计划，推动煤矸石综合利用二次污染环境防治工作。强化煤矸石产出企业全过程污染环境防治责任，建立煤矸石管理台账，记录产生煤矸石的种类、数量、流向、贮存、利用、处置等信息，实施煤矸石综合利用可追溯、可查询。加快建立行业规范条件和管理办法，对建设项目的规模、工艺技术装备、环境保护措施、能源资源利用等进行规范化管理，依规约束企业在生产经营活动中不符合环境保护标准的各类行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643" w:firstLineChars="200"/>
        <w:jc w:val="both"/>
        <w:textAlignment w:val="auto"/>
        <w:outlineLvl w:val="0"/>
        <w:rPr>
          <w:rFonts w:hint="default" w:ascii="楷体_GB2312" w:hAnsi="楷体_GB2312" w:eastAsia="楷体_GB2312" w:cs="楷体_GB2312"/>
          <w:b/>
          <w:bCs/>
          <w:color w:val="000000"/>
          <w:kern w:val="0"/>
          <w:sz w:val="32"/>
          <w:szCs w:val="32"/>
          <w:lang w:val="en-US" w:eastAsia="zh-CN" w:bidi="ar"/>
        </w:rPr>
      </w:pPr>
      <w:bookmarkStart w:id="162" w:name="_Toc15617"/>
      <w:r>
        <w:rPr>
          <w:rFonts w:hint="eastAsia" w:ascii="楷体_GB2312" w:hAnsi="楷体_GB2312" w:eastAsia="楷体_GB2312" w:cs="楷体_GB2312"/>
          <w:b/>
          <w:bCs/>
          <w:color w:val="000000"/>
          <w:kern w:val="0"/>
          <w:sz w:val="32"/>
          <w:szCs w:val="32"/>
          <w:lang w:val="en-US" w:eastAsia="zh-CN" w:bidi="ar"/>
        </w:rPr>
        <w:t>六、精准招商</w:t>
      </w:r>
      <w:bookmarkEnd w:id="162"/>
    </w:p>
    <w:p>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持续用力做好抚顺市精准招商引资工作是确保煤矸石综合利用产业蓬勃发展、取得实效的重要抓手。抢抓我国建设50个大宗固体废弃物综合利用示范基地的重大战略机遇，进一步统一思想、提高站位，积极走出去、大力引进来，全面撒网、重点培育，加强对接、务实洽谈，力争更多的对接洽谈项目签约落地。以煤矸石新型建材、煤矸石制备工业原料、煤矸石土壤改良、煤矸石洗选综合利用、煤矸石砂源替代利用为重点发展方向，持续推动精准招商引资不断取得新突破。</w:t>
      </w:r>
      <w:bookmarkStart w:id="163" w:name="_Toc7883"/>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（一）科技创新招商</w:t>
      </w:r>
      <w:bookmarkEnd w:id="163"/>
    </w:p>
    <w:p>
      <w:pPr>
        <w:keepNext w:val="0"/>
        <w:keepLines w:val="0"/>
        <w:numPr>
          <w:ilvl w:val="0"/>
          <w:numId w:val="0"/>
        </w:numPr>
        <w:kinsoku/>
        <w:wordWrap/>
        <w:overflowPunct/>
        <w:topLinePunct w:val="0"/>
        <w:autoSpaceDE/>
        <w:autoSpaceDN/>
        <w:bidi w:val="0"/>
        <w:spacing w:line="360" w:lineRule="auto"/>
        <w:ind w:left="0" w:leftChars="0" w:firstLine="640" w:firstLineChars="200"/>
        <w:jc w:val="both"/>
        <w:rPr>
          <w:rFonts w:hint="eastAsia" w:ascii="仿宋" w:hAnsi="仿宋" w:eastAsia="仿宋" w:cs="仿宋"/>
          <w:b/>
          <w:bCs/>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000000"/>
          <w:kern w:val="0"/>
          <w:sz w:val="32"/>
          <w:szCs w:val="32"/>
          <w:lang w:val="en-US" w:eastAsia="zh-CN" w:bidi="ar"/>
        </w:rPr>
        <w:t>依托工业固废网-科技成果转化平台、中华环保联合会等，以“创建抚顺煤矸石综合利用示范基地”为抓手，组织全国的煤矸石综合利用研究单位、高等院校，集聚国内创新资源，以大赛搭建科技交流互通平台，来推动科技招商。通过“线上+线下”相结合的形式，开展“云赛事发布”、巡回宣讲会、招商对接会、创业训练营、金融对接沙龙等配套服务活动，深入挖掘国内外人才资源和高新技术项目，吸引一批创新创业人才到抚顺创业发展，推动一批科技创新项目落户抚顺。</w:t>
      </w:r>
    </w:p>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表3：国内煤矸石综合利用领域高等院校、科研机构名单</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2"/>
        <w:gridCol w:w="6465"/>
        <w:gridCol w:w="6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机构名称</w:t>
            </w:r>
          </w:p>
        </w:tc>
        <w:tc>
          <w:tcPr>
            <w:tcW w:w="2282"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基本概况</w:t>
            </w:r>
          </w:p>
        </w:tc>
        <w:tc>
          <w:tcPr>
            <w:tcW w:w="2247"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主要成果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3" w:hRule="atLeast"/>
        </w:trPr>
        <w:tc>
          <w:tcPr>
            <w:tcW w:w="470" w:type="pct"/>
            <w:vAlign w:val="center"/>
          </w:tcPr>
          <w:p>
            <w:pPr>
              <w:keepNext w:val="0"/>
              <w:keepLines w:val="0"/>
              <w:numPr>
                <w:ilvl w:val="0"/>
                <w:numId w:val="0"/>
              </w:numPr>
              <w:kinsoku/>
              <w:wordWrap/>
              <w:overflowPunct/>
              <w:topLinePunct w:val="0"/>
              <w:autoSpaceDE/>
              <w:autoSpaceDN/>
              <w:bidi w:val="0"/>
              <w:spacing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sz w:val="21"/>
                <w:szCs w:val="21"/>
              </w:rPr>
              <w:t>抚矿集团研发中心</w:t>
            </w:r>
          </w:p>
        </w:tc>
        <w:tc>
          <w:tcPr>
            <w:tcW w:w="2282"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建有国家级页岩油研发中心和国家级油页岩开采分中心。设置分析化验室、工艺技术室、环境工程室、试验工厂等9个部门。专业技术人员配置齐全，技术力量雄厚，其中博士学历3人，硕士学历26人，本科学历56人，专科学历15人；教授级高工4人，高级工程师26人，工程师41人。</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lang w:val="en-US" w:eastAsia="zh-CN"/>
              </w:rPr>
              <w:t>拥有油页岩理化分析、环保、综合利用实验室以及中试试验平台，具备油页岩干馏、环保、综合利用等研发能力，拥有国家授权专利46项，获得行业级成果4项，省部级科技成果奖4项，市级科技成果奖7项。其中50余项研发成果实现了产业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kern w:val="2"/>
                <w:sz w:val="21"/>
                <w:szCs w:val="21"/>
                <w:lang w:val="en-US" w:eastAsia="zh-CN" w:bidi="ar-SA"/>
              </w:rPr>
              <w:t>东北大学</w:t>
            </w:r>
          </w:p>
        </w:tc>
        <w:tc>
          <w:tcPr>
            <w:tcW w:w="2282"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学校现有中国科学院和中国工程院院士4人，海外院士4人。国家“高层次人才特殊支持计划”入选者10人，教育部“长江学者奖励计划”特聘教授、讲座教授28人，青年学者1人，国家杰出青年基金获得者24人，海外及港澳学者合作研究基金获得者16人，教育部新世纪优秀人才102人，国家“百千万人才工程”入选者14人。国家自然科学基金创新群体4个，教育部创新团队3个。学校设有100多个研究机构，其中国家重点实验室2个，国家工程（技术）研究中心4个，国家工程实验室3个。</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lang w:val="en-US" w:eastAsia="zh-CN"/>
              </w:rPr>
              <w:t>在冶金、选矿等领域有着丰富的技术积累、科研经验及成果，尤其是在有色固废技术研究领域，东北大学专门成立了有色固废技术研究院负责成果转化。设有国家级协同创新中心2个，辽宁省协同创新中心3个。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8" w:hRule="atLeast"/>
        </w:trPr>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kern w:val="2"/>
                <w:sz w:val="21"/>
                <w:szCs w:val="21"/>
                <w:lang w:val="en-US" w:eastAsia="zh-CN" w:bidi="ar-SA"/>
              </w:rPr>
            </w:pPr>
            <w:r>
              <w:rPr>
                <w:rFonts w:hint="eastAsia" w:ascii="仿宋" w:hAnsi="仿宋" w:eastAsia="仿宋" w:cs="仿宋"/>
                <w:b/>
                <w:bCs/>
                <w:kern w:val="2"/>
                <w:sz w:val="21"/>
                <w:szCs w:val="21"/>
                <w:lang w:val="en-US" w:eastAsia="zh-CN" w:bidi="ar-SA"/>
              </w:rPr>
              <w:t>北京科技</w:t>
            </w:r>
          </w:p>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kern w:val="2"/>
                <w:sz w:val="21"/>
                <w:szCs w:val="21"/>
                <w:lang w:val="en-US" w:eastAsia="zh-CN" w:bidi="ar-SA"/>
              </w:rPr>
              <w:t>大学</w:t>
            </w:r>
          </w:p>
        </w:tc>
        <w:tc>
          <w:tcPr>
            <w:tcW w:w="2282"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学校现有中国科学院院士5人（双聘2人），中国工程院院士6人（双聘3人），国务院学位委员会委员1人，国务院学位委员会学科评议组成员5人，国家973项目首席科学家3人，国家级有突出贡献专家15人，省部级有突出贡献专家10人，“长江学者奖励计划”特聘教授15人、青年学者5人，“国家杰出青年科学基金”获得者21人，“万人计划”领军人才14人、青年拔尖人才3人，国家级教学名师2人，国家百千万人才工程人选17人，国家优秀青年科学基金获得者15人.拥有1个国家科学中心，1个“2011计划”协同创新中心，2个国家重点实验室，2个国家工程（技术）研究中心，2个国家科技基础条件平台，2个国家级国际科技合作基地，50个省、部级重点实验室、工程研究中心、国际合作基地、创新引智基地。</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lang w:val="en-US" w:eastAsia="zh-CN"/>
              </w:rPr>
              <w:t>国内固废资源化综合利用的领军科研院所。学校设立了国家环境与能源国际合作基地、“城市和生活污染物处理与资源化”北京市国际科技合作基地、工业典型污染物资源化处理北京市重点实验室等教学科研基地，为各行业的固废资源化利用提供了先进的支撑平台。学校与抚矿集团已经合作十多年，共同在油页岩渣资源化利用方面已经取得了瞩目的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trPr>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sz w:val="21"/>
                <w:szCs w:val="21"/>
              </w:rPr>
              <w:t>辽宁省沙地治理与利用研究所</w:t>
            </w:r>
          </w:p>
        </w:tc>
        <w:tc>
          <w:tcPr>
            <w:tcW w:w="2282"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隶属于辽宁省农业科学院，是一所综合性农林科研单位。主要从事生态经济型防护林研究、沙地生态农业研究、花生育种与栽培研究3个主导学科的科技创新工作，学科研究具有长期的科研积累和深厚的研究基础，处于省内领先或国内先进水平。</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lang w:val="en-US" w:eastAsia="zh-CN"/>
              </w:rPr>
              <w:t>拥有国家农业园区旱作农业研发基地、章古台实验林场、章古台现代生态农业研发基地等三处研发基地，总面积近4.5万亩。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sz w:val="21"/>
                <w:szCs w:val="21"/>
              </w:rPr>
              <w:t>沈阳环境科学研究院</w:t>
            </w:r>
          </w:p>
        </w:tc>
        <w:tc>
          <w:tcPr>
            <w:tcW w:w="2282"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kern w:val="2"/>
                <w:sz w:val="21"/>
                <w:szCs w:val="24"/>
                <w:lang w:val="en-US" w:eastAsia="zh-CN" w:bidi="ar-SA"/>
              </w:rPr>
              <w:t>沈阳环境科学研究院隶属于国家环保总局和沈阳市人民政府双重领导，是我国环境科研领域最早开展危险废物处理处置科学研究工作的单位，该院建有国家、省、市工程技术中心4个、重点实验室2个、科普与培训基地3个、高新技术示范基地1个。现有技术人员140人，其中副高级以上工程师60名，博士20名。</w:t>
            </w:r>
          </w:p>
        </w:tc>
        <w:tc>
          <w:tcPr>
            <w:tcW w:w="2247"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kern w:val="2"/>
                <w:sz w:val="21"/>
                <w:szCs w:val="24"/>
                <w:lang w:val="en-US" w:eastAsia="zh-CN" w:bidi="ar-SA"/>
              </w:rPr>
              <w:t>在全国率先实现了多氯联苯工业化处置，拥有国家环境保护危险废物工程技术中心，承担国家危险废物领域多项标准规范的编制，在环境规划、流域水环境保护、大气污染防治、固体废物处理处置、城市生态研究和环境风险防控等研究领域有着丰富的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sz w:val="21"/>
                <w:szCs w:val="21"/>
              </w:rPr>
            </w:pPr>
            <w:r>
              <w:rPr>
                <w:rFonts w:hint="eastAsia" w:ascii="仿宋" w:hAnsi="仿宋" w:eastAsia="仿宋" w:cs="仿宋"/>
                <w:b/>
                <w:bCs/>
                <w:sz w:val="21"/>
                <w:szCs w:val="21"/>
              </w:rPr>
              <w:t>中国矿业</w:t>
            </w:r>
          </w:p>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sz w:val="21"/>
                <w:szCs w:val="21"/>
              </w:rPr>
              <w:t>大学</w:t>
            </w:r>
          </w:p>
        </w:tc>
        <w:tc>
          <w:tcPr>
            <w:tcW w:w="2282"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kern w:val="2"/>
                <w:sz w:val="21"/>
                <w:szCs w:val="24"/>
                <w:lang w:val="en-US" w:eastAsia="zh-CN" w:bidi="ar-SA"/>
              </w:rPr>
              <w:t>中国矿业大学是当今全国唯一以矿业命名的特色鲜明的教育部直属全国重点高校，该校在煤炭能源的勘探、开发、利用，资源、环境和生产相关的矿建、安全、测绘、机械、信息技术、生态恢复、管理工程等领域形成了优势品牌和鲜明特色。</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lang w:val="en-US" w:eastAsia="zh-CN"/>
              </w:rPr>
              <w:t>以胡振琪教授为代表的中国矿业大学土地复垦与生态重建研究所，长期从事土地复垦与生态重建研究工作，曾获得国家和省部级科技进步奖20余项，是“美国采矿与复垦学会2009年度科技贡献奖”，“新世纪百千万人才工程”国家级人选所在单位，其矸石山生态修复项目的创新点和关键技术处于国内领先地位。中国矿业大学混凝土与环境材料研究所与山西平朔煤矸石发电厂合作将煤矸石燃烧产生的粉煤灰和炉渣粉磨活化用于建筑材料已取得了很好的经济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sz w:val="21"/>
                <w:szCs w:val="21"/>
                <w:vertAlign w:val="baseline"/>
                <w:lang w:val="en-US" w:eastAsia="zh-CN"/>
              </w:rPr>
            </w:pPr>
            <w:r>
              <w:rPr>
                <w:rFonts w:hint="eastAsia" w:ascii="仿宋" w:hAnsi="仿宋" w:eastAsia="仿宋" w:cs="仿宋"/>
                <w:b/>
                <w:bCs/>
                <w:kern w:val="2"/>
                <w:sz w:val="21"/>
                <w:szCs w:val="24"/>
                <w:lang w:val="en-US" w:eastAsia="zh-CN" w:bidi="ar-SA"/>
              </w:rPr>
              <w:t>山西大学</w:t>
            </w:r>
          </w:p>
        </w:tc>
        <w:tc>
          <w:tcPr>
            <w:tcW w:w="2282"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lang w:val="en-US" w:eastAsia="zh-CN"/>
              </w:rPr>
              <w:t>学校拥有一批以国家重点学科、国家重点实验室、教育部重点实验室、教育部人文社会科学重点研究基地、教育部工程研究中心、国家地方联合实验室为代表的重要学科平台。化学和工程2个学科入选ESI全球排名前1%。</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rPr>
              <w:t>承担的国家863计划重大项目“大宗工业固废综合处理与资源化关键技术”课题“煤矸石硅铝碳资源化高值利用技术”开发了煤矸石燃烧-煅烧耦合、活化粉煤灰低温酸溶制备聚合氯化铝、酸浸渣低温共熔生产水玻璃等技术</w:t>
            </w:r>
            <w:r>
              <w:rPr>
                <w:rFonts w:hint="eastAsia" w:ascii="仿宋" w:hAnsi="仿宋" w:eastAsia="仿宋" w:cs="仿宋"/>
                <w:lang w:eastAsia="zh-CN"/>
              </w:rPr>
              <w:t>，</w:t>
            </w:r>
            <w:r>
              <w:rPr>
                <w:rFonts w:hint="eastAsia" w:ascii="仿宋" w:hAnsi="仿宋" w:eastAsia="仿宋" w:cs="仿宋"/>
              </w:rPr>
              <w:t>产品处于国内领先地位。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kern w:val="2"/>
                <w:sz w:val="21"/>
                <w:szCs w:val="24"/>
                <w:lang w:val="en-US" w:eastAsia="zh-CN" w:bidi="ar-SA"/>
              </w:rPr>
            </w:pPr>
            <w:r>
              <w:rPr>
                <w:rFonts w:hint="eastAsia" w:ascii="仿宋" w:hAnsi="仿宋" w:eastAsia="仿宋" w:cs="仿宋"/>
                <w:b/>
                <w:bCs/>
                <w:kern w:val="2"/>
                <w:sz w:val="21"/>
                <w:szCs w:val="24"/>
                <w:lang w:val="en-US" w:eastAsia="zh-CN" w:bidi="ar-SA"/>
              </w:rPr>
              <w:t>中国科学院过程工程研究所</w:t>
            </w:r>
          </w:p>
        </w:tc>
        <w:tc>
          <w:tcPr>
            <w:tcW w:w="2282"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lang w:val="en-US" w:eastAsia="zh-CN"/>
              </w:rPr>
            </w:pPr>
            <w:r>
              <w:rPr>
                <w:rFonts w:hint="eastAsia" w:ascii="仿宋" w:hAnsi="仿宋" w:eastAsia="仿宋" w:cs="仿宋"/>
              </w:rPr>
              <w:t>先后主持或参与国家科技支撑课题2项、973项目1项、负责863计划1项、环保部环保公益2项、中国工程院咨询项目1项；企业或地方联合研发科研项目9项，建成并投产多条中试生产线，部分成果实现了技术转让，在国内循环经济领域具有很高的影响力。研究所现有四个国家级研发平台和六个省部级研发平台。</w:t>
            </w:r>
          </w:p>
        </w:tc>
        <w:tc>
          <w:tcPr>
            <w:tcW w:w="2247"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sz w:val="21"/>
                <w:szCs w:val="21"/>
                <w:vertAlign w:val="baseline"/>
                <w:lang w:val="en-US" w:eastAsia="zh-CN"/>
              </w:rPr>
            </w:pPr>
            <w:r>
              <w:rPr>
                <w:rFonts w:hint="eastAsia" w:ascii="仿宋" w:hAnsi="仿宋" w:eastAsia="仿宋" w:cs="仿宋"/>
              </w:rPr>
              <w:t>研究所主攻工业产业循环经济发展战略、工业固废资源化利用和土壤改良应用基础研究。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kern w:val="2"/>
                <w:sz w:val="21"/>
                <w:szCs w:val="24"/>
                <w:lang w:val="en-US" w:eastAsia="zh-CN" w:bidi="ar-SA"/>
              </w:rPr>
            </w:pPr>
            <w:r>
              <w:rPr>
                <w:rFonts w:hint="eastAsia" w:ascii="仿宋" w:hAnsi="仿宋" w:eastAsia="仿宋" w:cs="仿宋"/>
                <w:b/>
                <w:bCs/>
                <w:kern w:val="2"/>
                <w:sz w:val="21"/>
                <w:szCs w:val="24"/>
                <w:lang w:val="en-US" w:eastAsia="zh-CN" w:bidi="ar-SA"/>
              </w:rPr>
              <w:t>河南南阳东方应用化工研究所</w:t>
            </w:r>
          </w:p>
        </w:tc>
        <w:tc>
          <w:tcPr>
            <w:tcW w:w="2282"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rPr>
            </w:pPr>
            <w:r>
              <w:rPr>
                <w:rFonts w:hint="eastAsia" w:ascii="仿宋" w:hAnsi="仿宋" w:eastAsia="仿宋" w:cs="仿宋"/>
              </w:rPr>
              <w:t>现有各类技术人员46名，其中教授3名，高级工程师18名，工程师13名。</w:t>
            </w:r>
          </w:p>
        </w:tc>
        <w:tc>
          <w:tcPr>
            <w:tcW w:w="2247" w:type="pct"/>
            <w:vAlign w:val="center"/>
          </w:tcPr>
          <w:p>
            <w:pPr>
              <w:pStyle w:val="9"/>
              <w:keepNext w:val="0"/>
              <w:keepLines w:val="0"/>
              <w:kinsoku/>
              <w:wordWrap/>
              <w:overflowPunct/>
              <w:topLinePunct w:val="0"/>
              <w:autoSpaceDE/>
              <w:autoSpaceDN/>
              <w:bidi w:val="0"/>
              <w:spacing w:after="0" w:line="360" w:lineRule="auto"/>
              <w:ind w:left="0" w:leftChars="0" w:firstLine="420" w:firstLineChars="200"/>
              <w:jc w:val="both"/>
              <w:rPr>
                <w:rFonts w:hint="eastAsia" w:ascii="仿宋" w:hAnsi="仿宋" w:eastAsia="仿宋" w:cs="仿宋"/>
              </w:rPr>
            </w:pPr>
            <w:r>
              <w:rPr>
                <w:rFonts w:hint="eastAsia" w:ascii="仿宋" w:hAnsi="仿宋" w:eastAsia="仿宋" w:cs="仿宋"/>
                <w:kern w:val="2"/>
                <w:sz w:val="21"/>
                <w:szCs w:val="24"/>
                <w:lang w:val="en-US" w:eastAsia="zh-CN" w:bidi="ar-SA"/>
              </w:rPr>
              <w:t>国内著名民营应用化工科研机构，是南阳市非金属矿物综合利用工程技术研究中心。研究所主要研究方向为煤矸石综合利用，水、土污染防控，水体与土壤修复，金属矿、非金属矿综合利用，湿法冶金，无机化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1" w:hRule="atLeast"/>
        </w:trPr>
        <w:tc>
          <w:tcPr>
            <w:tcW w:w="470" w:type="pct"/>
            <w:vAlign w:val="center"/>
          </w:tcPr>
          <w:p>
            <w:pPr>
              <w:pStyle w:val="9"/>
              <w:keepNext w:val="0"/>
              <w:keepLines w:val="0"/>
              <w:kinsoku/>
              <w:wordWrap/>
              <w:overflowPunct/>
              <w:topLinePunct w:val="0"/>
              <w:autoSpaceDE/>
              <w:autoSpaceDN/>
              <w:bidi w:val="0"/>
              <w:spacing w:after="0" w:line="360" w:lineRule="auto"/>
              <w:ind w:left="0" w:leftChars="0"/>
              <w:jc w:val="center"/>
              <w:rPr>
                <w:rFonts w:hint="eastAsia" w:ascii="仿宋" w:hAnsi="仿宋" w:eastAsia="仿宋" w:cs="仿宋"/>
                <w:b/>
                <w:bCs/>
                <w:kern w:val="2"/>
                <w:sz w:val="21"/>
                <w:szCs w:val="24"/>
                <w:lang w:val="en-US" w:eastAsia="zh-CN" w:bidi="ar-SA"/>
              </w:rPr>
            </w:pPr>
            <w:r>
              <w:rPr>
                <w:rFonts w:hint="eastAsia" w:ascii="仿宋" w:hAnsi="仿宋" w:eastAsia="仿宋" w:cs="仿宋"/>
                <w:b/>
                <w:bCs/>
                <w:kern w:val="2"/>
                <w:sz w:val="21"/>
                <w:szCs w:val="24"/>
                <w:lang w:val="en-US" w:eastAsia="zh-CN" w:bidi="ar-SA"/>
              </w:rPr>
              <w:t>辽宁工程技术大学</w:t>
            </w:r>
          </w:p>
        </w:tc>
        <w:tc>
          <w:tcPr>
            <w:tcW w:w="2282"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rPr>
            </w:pPr>
            <w:r>
              <w:rPr>
                <w:rFonts w:hint="eastAsia" w:ascii="仿宋" w:hAnsi="仿宋" w:eastAsia="仿宋" w:cs="仿宋"/>
                <w:i w:val="0"/>
                <w:caps w:val="0"/>
                <w:color w:val="000000"/>
                <w:spacing w:val="0"/>
                <w:sz w:val="21"/>
                <w:szCs w:val="21"/>
                <w:shd w:val="clear" w:fill="FFFFFF"/>
              </w:rPr>
              <w:t>始建于1949年，原名阜新矿业学院，是原煤炭工业部隶属的两所全国重点大学之一、辽宁省国内一流大学建设高校。</w:t>
            </w:r>
          </w:p>
        </w:tc>
        <w:tc>
          <w:tcPr>
            <w:tcW w:w="2247" w:type="pct"/>
            <w:vAlign w:val="center"/>
          </w:tcPr>
          <w:p>
            <w:pPr>
              <w:keepNext w:val="0"/>
              <w:keepLines w:val="0"/>
              <w:kinsoku/>
              <w:wordWrap/>
              <w:overflowPunct/>
              <w:topLinePunct w:val="0"/>
              <w:autoSpaceDE/>
              <w:autoSpaceDN/>
              <w:bidi w:val="0"/>
              <w:spacing w:line="360" w:lineRule="auto"/>
              <w:ind w:left="0" w:leftChars="0" w:firstLine="420" w:firstLineChars="200"/>
              <w:jc w:val="both"/>
              <w:rPr>
                <w:rFonts w:hint="eastAsia" w:ascii="仿宋" w:hAnsi="仿宋" w:eastAsia="仿宋" w:cs="仿宋"/>
                <w:lang w:val="en-US" w:eastAsia="zh-CN"/>
              </w:rPr>
            </w:pPr>
            <w:r>
              <w:rPr>
                <w:rFonts w:hint="eastAsia" w:ascii="仿宋" w:hAnsi="仿宋" w:eastAsia="仿宋" w:cs="仿宋"/>
                <w:i w:val="0"/>
                <w:caps w:val="0"/>
                <w:color w:val="333333"/>
                <w:spacing w:val="0"/>
                <w:sz w:val="21"/>
                <w:szCs w:val="21"/>
                <w:shd w:val="clear" w:fill="FFFFFF"/>
              </w:rPr>
              <w:t>学校在</w:t>
            </w:r>
            <w:r>
              <w:rPr>
                <w:rFonts w:hint="eastAsia" w:ascii="仿宋" w:hAnsi="仿宋" w:eastAsia="仿宋" w:cs="仿宋"/>
                <w:i w:val="0"/>
                <w:caps w:val="0"/>
                <w:color w:val="auto"/>
                <w:spacing w:val="0"/>
                <w:sz w:val="21"/>
                <w:szCs w:val="21"/>
                <w:shd w:val="clear" w:fill="FFFFFF"/>
              </w:rPr>
              <w:t>矿山灾害治理、安全工程、测绘科学与工程、</w:t>
            </w:r>
            <w:r>
              <w:rPr>
                <w:rFonts w:hint="eastAsia" w:ascii="仿宋" w:hAnsi="仿宋" w:eastAsia="仿宋" w:cs="仿宋"/>
                <w:i w:val="0"/>
                <w:caps w:val="0"/>
                <w:color w:val="auto"/>
                <w:spacing w:val="0"/>
                <w:sz w:val="21"/>
                <w:szCs w:val="21"/>
                <w:u w:val="none"/>
                <w:shd w:val="clear" w:fill="FFFFFF"/>
              </w:rPr>
              <w:fldChar w:fldCharType="begin"/>
            </w:r>
            <w:r>
              <w:rPr>
                <w:rFonts w:hint="eastAsia" w:ascii="仿宋" w:hAnsi="仿宋" w:eastAsia="仿宋" w:cs="仿宋"/>
                <w:i w:val="0"/>
                <w:caps w:val="0"/>
                <w:color w:val="auto"/>
                <w:spacing w:val="0"/>
                <w:sz w:val="21"/>
                <w:szCs w:val="21"/>
                <w:u w:val="none"/>
                <w:shd w:val="clear" w:fill="FFFFFF"/>
              </w:rPr>
              <w:instrText xml:space="preserve"> HYPERLINK "https://baike.so.com/doc/5403181-5640869.html" \t "https://baike.so.com/doc/_blank" </w:instrText>
            </w:r>
            <w:r>
              <w:rPr>
                <w:rFonts w:hint="eastAsia" w:ascii="仿宋" w:hAnsi="仿宋" w:eastAsia="仿宋" w:cs="仿宋"/>
                <w:i w:val="0"/>
                <w:caps w:val="0"/>
                <w:color w:val="auto"/>
                <w:spacing w:val="0"/>
                <w:sz w:val="21"/>
                <w:szCs w:val="21"/>
                <w:u w:val="none"/>
                <w:shd w:val="clear" w:fill="FFFFFF"/>
              </w:rPr>
              <w:fldChar w:fldCharType="separate"/>
            </w:r>
            <w:r>
              <w:rPr>
                <w:rStyle w:val="20"/>
                <w:rFonts w:hint="eastAsia" w:ascii="仿宋" w:hAnsi="仿宋" w:eastAsia="仿宋" w:cs="仿宋"/>
                <w:i w:val="0"/>
                <w:caps w:val="0"/>
                <w:color w:val="auto"/>
                <w:spacing w:val="0"/>
                <w:sz w:val="21"/>
                <w:szCs w:val="21"/>
                <w:u w:val="none"/>
                <w:shd w:val="clear" w:fill="FFFFFF"/>
              </w:rPr>
              <w:t>管理科学与工程</w:t>
            </w:r>
            <w:r>
              <w:rPr>
                <w:rFonts w:hint="eastAsia" w:ascii="仿宋" w:hAnsi="仿宋" w:eastAsia="仿宋" w:cs="仿宋"/>
                <w:i w:val="0"/>
                <w:caps w:val="0"/>
                <w:color w:val="auto"/>
                <w:spacing w:val="0"/>
                <w:sz w:val="21"/>
                <w:szCs w:val="21"/>
                <w:u w:val="none"/>
                <w:shd w:val="clear" w:fill="FFFFFF"/>
              </w:rPr>
              <w:fldChar w:fldCharType="end"/>
            </w:r>
            <w:r>
              <w:rPr>
                <w:rFonts w:hint="eastAsia" w:ascii="仿宋" w:hAnsi="仿宋" w:eastAsia="仿宋" w:cs="仿宋"/>
                <w:i w:val="0"/>
                <w:caps w:val="0"/>
                <w:color w:val="auto"/>
                <w:spacing w:val="0"/>
                <w:sz w:val="21"/>
                <w:szCs w:val="21"/>
                <w:shd w:val="clear" w:fill="FFFFFF"/>
              </w:rPr>
              <w:t>、</w:t>
            </w:r>
            <w:r>
              <w:rPr>
                <w:rFonts w:hint="eastAsia" w:ascii="仿宋" w:hAnsi="仿宋" w:eastAsia="仿宋" w:cs="仿宋"/>
                <w:i w:val="0"/>
                <w:caps w:val="0"/>
                <w:color w:val="auto"/>
                <w:spacing w:val="0"/>
                <w:sz w:val="21"/>
                <w:szCs w:val="21"/>
                <w:u w:val="none"/>
                <w:shd w:val="clear" w:fill="FFFFFF"/>
              </w:rPr>
              <w:fldChar w:fldCharType="begin"/>
            </w:r>
            <w:r>
              <w:rPr>
                <w:rFonts w:hint="eastAsia" w:ascii="仿宋" w:hAnsi="仿宋" w:eastAsia="仿宋" w:cs="仿宋"/>
                <w:i w:val="0"/>
                <w:caps w:val="0"/>
                <w:color w:val="auto"/>
                <w:spacing w:val="0"/>
                <w:sz w:val="21"/>
                <w:szCs w:val="21"/>
                <w:u w:val="none"/>
                <w:shd w:val="clear" w:fill="FFFFFF"/>
              </w:rPr>
              <w:instrText xml:space="preserve"> HYPERLINK "https://baike.so.com/doc/3423923-3603564.html" \t "https://baike.so.com/doc/_blank" </w:instrText>
            </w:r>
            <w:r>
              <w:rPr>
                <w:rFonts w:hint="eastAsia" w:ascii="仿宋" w:hAnsi="仿宋" w:eastAsia="仿宋" w:cs="仿宋"/>
                <w:i w:val="0"/>
                <w:caps w:val="0"/>
                <w:color w:val="auto"/>
                <w:spacing w:val="0"/>
                <w:sz w:val="21"/>
                <w:szCs w:val="21"/>
                <w:u w:val="none"/>
                <w:shd w:val="clear" w:fill="FFFFFF"/>
              </w:rPr>
              <w:fldChar w:fldCharType="separate"/>
            </w:r>
            <w:r>
              <w:rPr>
                <w:rStyle w:val="20"/>
                <w:rFonts w:hint="eastAsia" w:ascii="仿宋" w:hAnsi="仿宋" w:eastAsia="仿宋" w:cs="仿宋"/>
                <w:i w:val="0"/>
                <w:caps w:val="0"/>
                <w:color w:val="auto"/>
                <w:spacing w:val="0"/>
                <w:sz w:val="21"/>
                <w:szCs w:val="21"/>
                <w:u w:val="none"/>
                <w:shd w:val="clear" w:fill="FFFFFF"/>
              </w:rPr>
              <w:t>计算机集成制造系统</w:t>
            </w:r>
            <w:r>
              <w:rPr>
                <w:rFonts w:hint="eastAsia" w:ascii="仿宋" w:hAnsi="仿宋" w:eastAsia="仿宋" w:cs="仿宋"/>
                <w:i w:val="0"/>
                <w:caps w:val="0"/>
                <w:color w:val="auto"/>
                <w:spacing w:val="0"/>
                <w:sz w:val="21"/>
                <w:szCs w:val="21"/>
                <w:u w:val="none"/>
                <w:shd w:val="clear" w:fill="FFFFFF"/>
              </w:rPr>
              <w:fldChar w:fldCharType="end"/>
            </w:r>
            <w:r>
              <w:rPr>
                <w:rFonts w:hint="eastAsia" w:ascii="仿宋" w:hAnsi="仿宋" w:eastAsia="仿宋" w:cs="仿宋"/>
                <w:i w:val="0"/>
                <w:caps w:val="0"/>
                <w:color w:val="auto"/>
                <w:spacing w:val="0"/>
                <w:sz w:val="21"/>
                <w:szCs w:val="21"/>
                <w:shd w:val="clear" w:fill="FFFFFF"/>
              </w:rPr>
              <w:t>、机械制造等研究领域形成明显的优势</w:t>
            </w:r>
            <w:r>
              <w:rPr>
                <w:rFonts w:hint="eastAsia" w:ascii="仿宋" w:hAnsi="仿宋" w:eastAsia="仿宋" w:cs="仿宋"/>
                <w:i w:val="0"/>
                <w:caps w:val="0"/>
                <w:color w:val="333333"/>
                <w:spacing w:val="0"/>
                <w:sz w:val="21"/>
                <w:szCs w:val="21"/>
                <w:shd w:val="clear" w:fill="FFFFFF"/>
              </w:rPr>
              <w:t>和突出的特色，在矿区开采沉陷治理、煤炭自燃火灾防治、“三下”采煤、冲击地压的预测与防治、地质动力区划等许多研究领域已达到国际先进水平。</w:t>
            </w:r>
          </w:p>
        </w:tc>
      </w:tr>
    </w:tbl>
    <w:p>
      <w:pPr>
        <w:keepNext w:val="0"/>
        <w:keepLines w:val="0"/>
        <w:numPr>
          <w:ilvl w:val="0"/>
          <w:numId w:val="0"/>
        </w:numPr>
        <w:kinsoku/>
        <w:wordWrap/>
        <w:overflowPunct/>
        <w:topLinePunct w:val="0"/>
        <w:autoSpaceDE/>
        <w:autoSpaceDN/>
        <w:bidi w:val="0"/>
        <w:spacing w:line="360" w:lineRule="auto"/>
        <w:ind w:leftChars="200"/>
        <w:jc w:val="both"/>
        <w:outlineLvl w:val="1"/>
        <w:rPr>
          <w:rFonts w:hint="default" w:ascii="仿宋_GB2312" w:hAnsi="仿宋_GB2312" w:eastAsia="仿宋_GB2312" w:cs="仿宋_GB2312"/>
          <w:b/>
          <w:bCs/>
          <w:color w:val="000000"/>
          <w:kern w:val="0"/>
          <w:sz w:val="32"/>
          <w:szCs w:val="32"/>
          <w:lang w:val="en-US" w:eastAsia="zh-CN" w:bidi="ar"/>
        </w:rPr>
        <w:sectPr>
          <w:type w:val="continuous"/>
          <w:pgSz w:w="16838" w:h="11906" w:orient="landscape"/>
          <w:pgMar w:top="1800" w:right="1440" w:bottom="1800" w:left="1440" w:header="851" w:footer="992" w:gutter="0"/>
          <w:cols w:space="425" w:num="1"/>
          <w:docGrid w:type="lines" w:linePitch="312" w:charSpace="0"/>
        </w:sectPr>
      </w:pPr>
    </w:p>
    <w:p>
      <w:pPr>
        <w:keepNext w:val="0"/>
        <w:keepLines w:val="0"/>
        <w:numPr>
          <w:ilvl w:val="0"/>
          <w:numId w:val="0"/>
        </w:numPr>
        <w:kinsoku/>
        <w:wordWrap/>
        <w:overflowPunct/>
        <w:topLinePunct w:val="0"/>
        <w:autoSpaceDE/>
        <w:autoSpaceDN/>
        <w:bidi w:val="0"/>
        <w:spacing w:line="360" w:lineRule="auto"/>
        <w:ind w:firstLine="643" w:firstLineChars="200"/>
        <w:jc w:val="both"/>
        <w:outlineLvl w:val="1"/>
        <w:rPr>
          <w:rFonts w:hint="eastAsia" w:ascii="仿宋_GB2312" w:hAnsi="仿宋_GB2312" w:eastAsia="仿宋_GB2312" w:cs="仿宋_GB2312"/>
          <w:b/>
          <w:bCs/>
          <w:color w:val="000000"/>
          <w:kern w:val="0"/>
          <w:sz w:val="32"/>
          <w:szCs w:val="32"/>
          <w:lang w:val="en-US" w:eastAsia="zh-CN" w:bidi="ar"/>
        </w:rPr>
      </w:pPr>
      <w:bookmarkStart w:id="164" w:name="_Toc10178"/>
      <w:r>
        <w:rPr>
          <w:rFonts w:hint="eastAsia" w:ascii="仿宋_GB2312" w:hAnsi="仿宋_GB2312" w:eastAsia="仿宋_GB2312" w:cs="仿宋_GB2312"/>
          <w:b/>
          <w:bCs/>
          <w:color w:val="000000"/>
          <w:kern w:val="0"/>
          <w:sz w:val="32"/>
          <w:szCs w:val="32"/>
          <w:lang w:val="en-US" w:eastAsia="zh-CN" w:bidi="ar"/>
        </w:rPr>
        <w:t>（二）重点项目招商</w:t>
      </w:r>
      <w:bookmarkEnd w:id="164"/>
    </w:p>
    <w:p>
      <w:pPr>
        <w:pStyle w:val="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firstLine="640" w:firstLineChars="200"/>
        <w:jc w:val="both"/>
        <w:textAlignment w:val="auto"/>
        <w:outlineLvl w:val="9"/>
        <w:rPr>
          <w:rFonts w:hint="eastAsia" w:ascii="仿宋_GB2312" w:hAnsi="仿宋_GB2312" w:eastAsia="仿宋_GB2312" w:cs="仿宋_GB2312"/>
          <w:b w:val="0"/>
          <w:bCs w:val="0"/>
          <w:color w:val="auto"/>
          <w:kern w:val="2"/>
          <w:sz w:val="32"/>
          <w:szCs w:val="32"/>
          <w:lang w:val="en-US" w:eastAsia="zh-CN" w:bidi="ar-SA"/>
        </w:rPr>
        <w:sectPr>
          <w:type w:val="continuous"/>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color w:val="000000"/>
          <w:kern w:val="0"/>
          <w:sz w:val="32"/>
          <w:szCs w:val="32"/>
          <w:lang w:val="en-US" w:eastAsia="zh-CN" w:bidi="ar"/>
        </w:rPr>
        <w:t>办好主场推介和专场招商活动，更好展示新时代抚顺市高质量发展新形象。引进全国先进适用技术实施产学研资协同发展，推动煤矸石大规模低成本利用的多项全国先进适用技术项目落地，实现抚顺市资源综合利用产业聚集式发展。重点引进煤矸石新型建材、煤矸石化工原料、煤矸石土壤改良、煤矸石砂源替代等方面优势龙头企业，推动产业快速发展。</w:t>
      </w:r>
      <w:r>
        <w:rPr>
          <w:rFonts w:hint="eastAsia" w:ascii="仿宋_GB2312" w:hAnsi="Times New Roman" w:eastAsia="仿宋_GB2312" w:cs="仿宋_GB2312"/>
          <w:i w:val="0"/>
          <w:caps w:val="0"/>
          <w:color w:val="auto"/>
          <w:spacing w:val="0"/>
          <w:kern w:val="0"/>
          <w:sz w:val="32"/>
          <w:szCs w:val="32"/>
          <w:shd w:val="clear" w:fill="FFFFFF"/>
          <w:lang w:val="en-US" w:eastAsia="zh-CN" w:bidi="ar"/>
        </w:rPr>
        <w:t>“十四五”期间，各类投资项目</w:t>
      </w:r>
      <w:r>
        <w:rPr>
          <w:rFonts w:hint="eastAsia" w:ascii="仿宋_GB2312" w:eastAsia="仿宋_GB2312" w:cs="仿宋_GB2312"/>
          <w:i w:val="0"/>
          <w:caps w:val="0"/>
          <w:color w:val="auto"/>
          <w:spacing w:val="0"/>
          <w:kern w:val="0"/>
          <w:sz w:val="32"/>
          <w:szCs w:val="32"/>
          <w:shd w:val="clear" w:fill="FFFFFF"/>
          <w:lang w:val="en-US" w:eastAsia="zh-CN" w:bidi="ar"/>
        </w:rPr>
        <w:t>19</w:t>
      </w:r>
      <w:r>
        <w:rPr>
          <w:rFonts w:hint="eastAsia" w:ascii="仿宋_GB2312" w:hAnsi="Times New Roman" w:eastAsia="仿宋_GB2312" w:cs="仿宋_GB2312"/>
          <w:i w:val="0"/>
          <w:caps w:val="0"/>
          <w:color w:val="auto"/>
          <w:spacing w:val="0"/>
          <w:kern w:val="0"/>
          <w:sz w:val="32"/>
          <w:szCs w:val="32"/>
          <w:shd w:val="clear" w:fill="FFFFFF"/>
          <w:lang w:val="en-US" w:eastAsia="zh-CN" w:bidi="ar"/>
        </w:rPr>
        <w:t>个，总投资约</w:t>
      </w:r>
      <w:r>
        <w:rPr>
          <w:rFonts w:hint="eastAsia" w:ascii="仿宋_GB2312" w:eastAsia="仿宋_GB2312" w:cs="仿宋_GB2312"/>
          <w:i w:val="0"/>
          <w:caps w:val="0"/>
          <w:color w:val="auto"/>
          <w:spacing w:val="0"/>
          <w:kern w:val="0"/>
          <w:sz w:val="32"/>
          <w:szCs w:val="32"/>
          <w:shd w:val="clear" w:fill="FFFFFF"/>
          <w:lang w:val="en-US" w:eastAsia="zh-CN" w:bidi="ar"/>
        </w:rPr>
        <w:t>51.6</w:t>
      </w:r>
      <w:r>
        <w:rPr>
          <w:rFonts w:hint="eastAsia" w:ascii="仿宋_GB2312" w:hAnsi="Times New Roman" w:eastAsia="仿宋_GB2312" w:cs="仿宋_GB2312"/>
          <w:i w:val="0"/>
          <w:caps w:val="0"/>
          <w:color w:val="auto"/>
          <w:spacing w:val="0"/>
          <w:kern w:val="0"/>
          <w:sz w:val="32"/>
          <w:szCs w:val="32"/>
          <w:shd w:val="clear" w:fill="FFFFFF"/>
          <w:lang w:val="en-US" w:eastAsia="zh-CN" w:bidi="ar"/>
        </w:rPr>
        <w:t>亿元</w:t>
      </w:r>
      <w:r>
        <w:rPr>
          <w:rFonts w:hint="eastAsia" w:ascii="仿宋_GB2312" w:eastAsia="仿宋_GB2312" w:cs="仿宋_GB2312"/>
          <w:i w:val="0"/>
          <w:caps w:val="0"/>
          <w:color w:val="auto"/>
          <w:spacing w:val="0"/>
          <w:kern w:val="0"/>
          <w:sz w:val="32"/>
          <w:szCs w:val="32"/>
          <w:shd w:val="clear" w:fill="FFFFFF"/>
          <w:lang w:val="en-US" w:eastAsia="zh-CN" w:bidi="ar"/>
        </w:rPr>
        <w:t>，总占地面积约1929亩，亩均投资强度227万元/亩。</w:t>
      </w:r>
      <w:r>
        <w:rPr>
          <w:rFonts w:hint="eastAsia" w:ascii="仿宋_GB2312" w:hAnsi="仿宋_GB2312" w:eastAsia="仿宋_GB2312" w:cs="仿宋_GB2312"/>
          <w:b w:val="0"/>
          <w:bCs w:val="0"/>
          <w:color w:val="auto"/>
          <w:kern w:val="2"/>
          <w:sz w:val="32"/>
          <w:szCs w:val="32"/>
          <w:lang w:val="en-US" w:eastAsia="zh-CN" w:bidi="ar-SA"/>
        </w:rPr>
        <w:t>预计达产年新增工业产值144.1亿元/年，新增税收约9.2亿元/年。其中：望花经济开发区（A区）布置10个项目，总投资29.8亿元，用地面积1325亩，占A区规划用地面积19.94%；胜利经济开发区（B区）布置7个项目，总投资5.4亿元，用地面积243亩，占B区规划用地面积18.3%；剩余2个项目为企业升级改造项目，布设在企业所在地。</w:t>
      </w:r>
    </w:p>
    <w:tbl>
      <w:tblPr>
        <w:tblStyle w:val="15"/>
        <w:tblW w:w="4951" w:type="pct"/>
        <w:tblInd w:w="0" w:type="dxa"/>
        <w:shd w:val="clear" w:color="auto" w:fill="auto"/>
        <w:tblLayout w:type="fixed"/>
        <w:tblCellMar>
          <w:top w:w="0" w:type="dxa"/>
          <w:left w:w="108" w:type="dxa"/>
          <w:bottom w:w="0" w:type="dxa"/>
          <w:right w:w="108" w:type="dxa"/>
        </w:tblCellMar>
      </w:tblPr>
      <w:tblGrid>
        <w:gridCol w:w="441"/>
        <w:gridCol w:w="1256"/>
        <w:gridCol w:w="1084"/>
        <w:gridCol w:w="894"/>
        <w:gridCol w:w="644"/>
        <w:gridCol w:w="4425"/>
        <w:gridCol w:w="1021"/>
        <w:gridCol w:w="896"/>
        <w:gridCol w:w="1000"/>
        <w:gridCol w:w="1063"/>
        <w:gridCol w:w="1312"/>
      </w:tblGrid>
      <w:tr>
        <w:tblPrEx>
          <w:shd w:val="clear" w:color="auto" w:fill="auto"/>
          <w:tblCellMar>
            <w:top w:w="0" w:type="dxa"/>
            <w:left w:w="108" w:type="dxa"/>
            <w:bottom w:w="0" w:type="dxa"/>
            <w:right w:w="108" w:type="dxa"/>
          </w:tblCellMar>
        </w:tblPrEx>
        <w:trPr>
          <w:trHeight w:val="560" w:hRule="atLeast"/>
        </w:trPr>
        <w:tc>
          <w:tcPr>
            <w:tcW w:w="5000" w:type="pct"/>
            <w:gridSpan w:val="11"/>
            <w:tcBorders>
              <w:top w:val="nil"/>
              <w:left w:val="nil"/>
              <w:bottom w:val="nil"/>
              <w:right w:val="nil"/>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宋体" w:hAnsi="宋体" w:eastAsia="宋体" w:cs="宋体"/>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表4：抚顺市煤矸石综合利用产业发展重点项目</w:t>
            </w:r>
          </w:p>
        </w:tc>
      </w:tr>
      <w:tr>
        <w:tblPrEx>
          <w:shd w:val="clear" w:color="auto" w:fill="auto"/>
          <w:tblCellMar>
            <w:top w:w="0" w:type="dxa"/>
            <w:left w:w="108" w:type="dxa"/>
            <w:bottom w:w="0" w:type="dxa"/>
            <w:right w:w="108" w:type="dxa"/>
          </w:tblCellMar>
        </w:tblPrEx>
        <w:trPr>
          <w:trHeight w:val="1319"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项目名称</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建设地点</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行业</w:t>
            </w:r>
          </w:p>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项目性质</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default"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项目概况</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总投资（万元）</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占地面积（亩）</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年产值（万元）</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税收</w:t>
            </w:r>
          </w:p>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（万元）</w:t>
            </w:r>
          </w:p>
        </w:tc>
        <w:tc>
          <w:tcPr>
            <w:tcW w:w="4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投资强度（万元/亩）</w:t>
            </w:r>
          </w:p>
        </w:tc>
      </w:tr>
      <w:tr>
        <w:tblPrEx>
          <w:shd w:val="clear" w:color="auto" w:fill="auto"/>
          <w:tblCellMar>
            <w:top w:w="0" w:type="dxa"/>
            <w:left w:w="108" w:type="dxa"/>
            <w:bottom w:w="0" w:type="dxa"/>
            <w:right w:w="108" w:type="dxa"/>
          </w:tblCellMar>
        </w:tblPrEx>
        <w:trPr>
          <w:trHeight w:val="164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煤矸石制备绿色水泥项目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抚顺市东洲区阜宁北四街5号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续建项目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煤矸石、粉煤灰、脱硫石膏和冶金渣等固体废弃物为主要原料生产水泥。煤矸石中SiO2、A12O3及Fe2O3含量较高，可作为水泥生料中硅、铝及铁组分的主要来源以代替黏土生产水泥。用煤矸石代替黏土和部分燃料生产普通水泥能提高熟料质量。</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28800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1872</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196</w:t>
            </w:r>
          </w:p>
        </w:tc>
      </w:tr>
      <w:tr>
        <w:tblPrEx>
          <w:shd w:val="clear" w:color="auto" w:fill="auto"/>
          <w:tblCellMar>
            <w:top w:w="0" w:type="dxa"/>
            <w:left w:w="108" w:type="dxa"/>
            <w:bottom w:w="0" w:type="dxa"/>
            <w:right w:w="108" w:type="dxa"/>
          </w:tblCellMar>
        </w:tblPrEx>
        <w:trPr>
          <w:trHeight w:val="3401"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煤矸石制备10万吨高性能偏高岭土基混凝土增强材料示范项目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望花大宗固废综合利用产业园A园</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要围绕以煤矸石（含煤系高岭土）为原料制备偏高岭土基混凝土增强材料。通过开展精密控制煅烧技术及关键装备煅烧纯化窑研究、改性复合工艺研究、应用研究，形成高性能偏高岭土基混凝土增强材料制备技术和关键装备集成。</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85</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3900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235</w:t>
            </w:r>
          </w:p>
        </w:tc>
      </w:tr>
      <w:tr>
        <w:tblPrEx>
          <w:shd w:val="clear" w:color="auto" w:fill="auto"/>
          <w:tblCellMar>
            <w:top w:w="0" w:type="dxa"/>
            <w:left w:w="108" w:type="dxa"/>
            <w:bottom w:w="0" w:type="dxa"/>
            <w:right w:w="108" w:type="dxa"/>
          </w:tblCellMar>
        </w:tblPrEx>
        <w:trPr>
          <w:trHeight w:val="192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年产10万吨煤系煅烧高岭料生产线项目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望花大宗固废综合利用产业园A园</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过对煤矸石提纯、超细粉碎、煅烧和表面改性等精细加工技术，可生产超细煅烧高岭土，既可在造纸中用作涂布颜料和填料，又可在塑料、橡胶、航天、电线电缆、涂料、油墨、食品添加剂、化妆品、杀虫剂等领域中作为填充剂和延展剂，同时也可作为陶瓷工业及耐热高温陶器的一种生产原料。</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3510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w:t>
            </w:r>
          </w:p>
        </w:tc>
      </w:tr>
      <w:tr>
        <w:tblPrEx>
          <w:shd w:val="clear" w:color="auto" w:fill="auto"/>
          <w:tblCellMar>
            <w:top w:w="0" w:type="dxa"/>
            <w:left w:w="108" w:type="dxa"/>
            <w:bottom w:w="0" w:type="dxa"/>
            <w:right w:w="108" w:type="dxa"/>
          </w:tblCellMar>
        </w:tblPrEx>
        <w:trPr>
          <w:trHeight w:val="1276"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年产150万m3混凝土制品项目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望花大宗固废综合利用产业园A园</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新建办公楼、综合楼、科研楼，煤矸石混凝土生产线、煤矸石混凝土制品生产线购置安装。</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13000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2340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w:t>
            </w:r>
          </w:p>
        </w:tc>
      </w:tr>
      <w:tr>
        <w:tblPrEx>
          <w:shd w:val="clear" w:color="auto" w:fill="auto"/>
          <w:tblCellMar>
            <w:top w:w="0" w:type="dxa"/>
            <w:left w:w="108" w:type="dxa"/>
            <w:bottom w:w="0" w:type="dxa"/>
            <w:right w:w="108" w:type="dxa"/>
          </w:tblCellMar>
        </w:tblPrEx>
        <w:trPr>
          <w:trHeight w:val="9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固体废弃物综合利用项目（1）</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望花大宗固废综合利用产业园A园</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主要产品为煤矸石煅烧加工高岭土，煤矸石加工硅酸铝陶瓷纤维，煤矸石加工陶粒，陶粒制作耐火材料等。</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1950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222</w:t>
            </w:r>
          </w:p>
        </w:tc>
      </w:tr>
      <w:tr>
        <w:tblPrEx>
          <w:shd w:val="clear" w:color="auto" w:fill="auto"/>
          <w:tblCellMar>
            <w:top w:w="0" w:type="dxa"/>
            <w:left w:w="108" w:type="dxa"/>
            <w:bottom w:w="0" w:type="dxa"/>
            <w:right w:w="108" w:type="dxa"/>
          </w:tblCellMar>
        </w:tblPrEx>
        <w:trPr>
          <w:trHeight w:val="254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日产1万立方米ALC蒸压加气混凝土板材项目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胜利大宗固废综合利用产业园区B区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利用煤矸石生产新型轻质节能板材，不仅解决了煤矸石固废利用问题，也为加气板材解决了原材料来源不足问题，利用煤矸石生产加气板材，降低了板材生产成本，增加了产品的市场竞争力。</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19500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1268</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232</w:t>
            </w:r>
          </w:p>
        </w:tc>
      </w:tr>
      <w:tr>
        <w:tblPrEx>
          <w:shd w:val="clear" w:color="auto" w:fill="auto"/>
          <w:tblCellMar>
            <w:top w:w="0" w:type="dxa"/>
            <w:left w:w="108" w:type="dxa"/>
            <w:bottom w:w="0" w:type="dxa"/>
            <w:right w:w="108" w:type="dxa"/>
          </w:tblCellMar>
        </w:tblPrEx>
        <w:trPr>
          <w:trHeight w:val="182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日处理5000吨煤矸石项目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抚顺市东洲区南花园街人工河路17号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项目地点初步考虑利用抚矿集团现有废弃水泥厂。通过对煤矸石活化处理，将其全部作为生产ALC 蒸压加气混凝土板材第一大主材料，无废渣排放。项目生产的板材全部销往长三角等地区，市场已经铺设完成。</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7500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488</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192</w:t>
            </w:r>
          </w:p>
        </w:tc>
      </w:tr>
      <w:tr>
        <w:tblPrEx>
          <w:shd w:val="clear" w:color="auto" w:fill="auto"/>
          <w:tblCellMar>
            <w:top w:w="0" w:type="dxa"/>
            <w:left w:w="108" w:type="dxa"/>
            <w:bottom w:w="0" w:type="dxa"/>
            <w:right w:w="108" w:type="dxa"/>
          </w:tblCellMar>
        </w:tblPrEx>
        <w:trPr>
          <w:trHeight w:val="90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年产80万m³蒸压加气混凝土制品生产线项目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望花大宗固废综合利用产业园区A区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分两期进行建设主要建设内容有：一期建设建筑面17,020㎡，二期建设建筑面积18,648㎡</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3510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w:t>
            </w:r>
          </w:p>
        </w:tc>
      </w:tr>
      <w:tr>
        <w:tblPrEx>
          <w:shd w:val="clear" w:color="auto" w:fill="auto"/>
          <w:tblCellMar>
            <w:top w:w="0" w:type="dxa"/>
            <w:left w:w="108" w:type="dxa"/>
            <w:bottom w:w="0" w:type="dxa"/>
            <w:right w:w="108" w:type="dxa"/>
          </w:tblCellMar>
        </w:tblPrEx>
        <w:trPr>
          <w:trHeight w:val="116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煤矸石制备年产100万平方米混凝土路面砖示范生产线项目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望花大宗固废综合利用产业园区A区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建设1条年产100万平方米混凝土路面砖示范生产线，主要原材料消耗为水泥、色料、煤矸石、粉煤灰、脱硫石膏等，年可利用煤矸石、粉煤灰、脱硫石膏约8万吨。</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11250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731</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113</w:t>
            </w:r>
          </w:p>
        </w:tc>
      </w:tr>
      <w:tr>
        <w:tblPrEx>
          <w:shd w:val="clear" w:color="auto" w:fill="auto"/>
          <w:tblCellMar>
            <w:top w:w="0" w:type="dxa"/>
            <w:left w:w="108" w:type="dxa"/>
            <w:bottom w:w="0" w:type="dxa"/>
            <w:right w:w="108" w:type="dxa"/>
          </w:tblCellMar>
        </w:tblPrEx>
        <w:trPr>
          <w:trHeight w:val="11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固体废弃物综合利用项目（2）</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望花大宗固废综合利用产业园区A区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利用煤矸石提炼合金，利用湿法生产工艺处理煤系高岭土（煤矸石）原料生产陶瓷纤维项目</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23400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250</w:t>
            </w:r>
          </w:p>
        </w:tc>
      </w:tr>
      <w:tr>
        <w:tblPrEx>
          <w:shd w:val="clear" w:color="auto" w:fill="auto"/>
          <w:tblCellMar>
            <w:top w:w="0" w:type="dxa"/>
            <w:left w:w="108" w:type="dxa"/>
            <w:bottom w:w="0" w:type="dxa"/>
            <w:right w:w="108" w:type="dxa"/>
          </w:tblCellMar>
        </w:tblPrEx>
        <w:trPr>
          <w:trHeight w:val="14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11</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煤矸石制备年产50000m3泡沫玻璃生产线项目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望花大宗固废综合利用产业园区A区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项目以工业废渣（如煤矸石或尾矿渣）和少量废弃玻璃为主要原料，添加发泡剂、改性剂、促进剂等经粉碎均匀混合成配合料，经过熔化、发泡、退火形成的一种内部充满无数均匀气泡的多孔玻璃材料。</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3500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7500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488</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175</w:t>
            </w:r>
          </w:p>
        </w:tc>
      </w:tr>
      <w:tr>
        <w:tblPrEx>
          <w:shd w:val="clear" w:color="auto" w:fill="auto"/>
          <w:tblCellMar>
            <w:top w:w="0" w:type="dxa"/>
            <w:left w:w="108" w:type="dxa"/>
            <w:bottom w:w="0" w:type="dxa"/>
            <w:right w:w="108" w:type="dxa"/>
          </w:tblCellMar>
        </w:tblPrEx>
        <w:trPr>
          <w:trHeight w:val="13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12</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50万吨/年固废治理及综合利用项目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望花大宗固废综合利用产业园区A区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新型建材方向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洽谈项目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利用煤矸石、炼钢废渣等工业固废，通过电溶压技术生产年产100万平微晶玻璃的新型建筑材料。</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120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39000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2535</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125</w:t>
            </w:r>
          </w:p>
        </w:tc>
      </w:tr>
      <w:tr>
        <w:tblPrEx>
          <w:shd w:val="clear" w:color="auto" w:fill="auto"/>
          <w:tblCellMar>
            <w:top w:w="0" w:type="dxa"/>
            <w:left w:w="108" w:type="dxa"/>
            <w:bottom w:w="0" w:type="dxa"/>
            <w:right w:w="108" w:type="dxa"/>
          </w:tblCellMar>
        </w:tblPrEx>
        <w:trPr>
          <w:trHeight w:val="156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13</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100万吨/年固废治理及综合利用项目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顺城区前甸镇关岭村</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化工原料方向</w:t>
            </w:r>
          </w:p>
        </w:tc>
        <w:tc>
          <w:tcPr>
            <w:tcW w:w="229"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auto" w:sz="4" w:space="0"/>
              <w:left w:val="single" w:color="auto" w:sz="4" w:space="0"/>
              <w:bottom w:val="single" w:color="auto" w:sz="4" w:space="0"/>
              <w:right w:val="nil"/>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利用煤矸石生产白炭黑、聚合氯化铝、聚合氯化铝铁、硫酸铝、氧化铝、枸溶性硅肥、水溶性硅肥等高附加值产品。</w:t>
            </w:r>
          </w:p>
        </w:tc>
        <w:tc>
          <w:tcPr>
            <w:tcW w:w="363"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156000</w:t>
            </w:r>
          </w:p>
        </w:tc>
        <w:tc>
          <w:tcPr>
            <w:tcW w:w="31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315</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468000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30420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495</w:t>
            </w:r>
          </w:p>
        </w:tc>
      </w:tr>
      <w:tr>
        <w:tblPrEx>
          <w:shd w:val="clear" w:color="auto" w:fill="auto"/>
          <w:tblCellMar>
            <w:top w:w="0" w:type="dxa"/>
            <w:left w:w="108" w:type="dxa"/>
            <w:bottom w:w="0" w:type="dxa"/>
            <w:right w:w="108" w:type="dxa"/>
          </w:tblCellMar>
        </w:tblPrEx>
        <w:trPr>
          <w:trHeight w:val="22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年处理400万吨煤矸石生产聚合氯化铝项目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望花大宗固废综合利用产业园区A区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化工原料方向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设年处理400万吨煤矸石生产线生产聚合氯化铝工业生产线。引进煤矸石超浓相输送系统、烧结窑系统、聚合氯化铝焙烧炉等设备，利用煤矸石储存及配料、盐酸储罐及输送、煤矸石活化焙烧、盐酸浸出、硅渣过滤及洗涤、氯化铝结晶系列工艺生产聚合氯化铝、发白炭黑、活性硅酸钙、硬硅 钙石、微硅粉、分子筛、硅肥等相关产品。</w:t>
            </w:r>
          </w:p>
        </w:tc>
        <w:tc>
          <w:tcPr>
            <w:tcW w:w="36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135000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8775</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237</w:t>
            </w:r>
          </w:p>
        </w:tc>
      </w:tr>
      <w:tr>
        <w:tblPrEx>
          <w:shd w:val="clear" w:color="auto" w:fill="auto"/>
          <w:tblCellMar>
            <w:top w:w="0" w:type="dxa"/>
            <w:left w:w="108" w:type="dxa"/>
            <w:bottom w:w="0" w:type="dxa"/>
            <w:right w:w="108" w:type="dxa"/>
          </w:tblCellMar>
        </w:tblPrEx>
        <w:trPr>
          <w:trHeight w:val="1593"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小颗粒油页岩干馏项目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抚顺市东洲区南花园街人工河路17号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化工原料方向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在建项目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以大型高效小颗粒油页岩干馏炉为核心，以提高页岩油的回收率，攻克小颗粒油页岩粒度配比技术难题，善小颗粒油页岩干馏技术、优化小颗粒干馏装置设计。</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81000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5265</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225</w:t>
            </w:r>
          </w:p>
        </w:tc>
      </w:tr>
      <w:tr>
        <w:tblPrEx>
          <w:shd w:val="clear" w:color="auto" w:fill="auto"/>
          <w:tblCellMar>
            <w:top w:w="0" w:type="dxa"/>
            <w:left w:w="108" w:type="dxa"/>
            <w:bottom w:w="0" w:type="dxa"/>
            <w:right w:w="108" w:type="dxa"/>
          </w:tblCellMar>
        </w:tblPrEx>
        <w:trPr>
          <w:trHeight w:val="19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16</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利用余热烧制5000吨氧化钙项目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胜利大宗固废综合利用产业园区B区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化工原料方向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储备项目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煤矸石活化后产生的余热，辅助部分页岩炼油尾气，烧制石灰石，所得原料全部利用消化，把煤矸石的热值充分利用，实现了余热全利用，不仅大幅度降低了项目总体能耗，还极大降低了板材制作的成本，提高了板材的市场竞争力。</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35</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1170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171</w:t>
            </w:r>
          </w:p>
        </w:tc>
      </w:tr>
      <w:tr>
        <w:tblPrEx>
          <w:shd w:val="clear" w:color="auto" w:fill="auto"/>
          <w:tblCellMar>
            <w:top w:w="0" w:type="dxa"/>
            <w:left w:w="108" w:type="dxa"/>
            <w:bottom w:w="0" w:type="dxa"/>
            <w:right w:w="108" w:type="dxa"/>
          </w:tblCellMar>
        </w:tblPrEx>
        <w:trPr>
          <w:trHeight w:val="128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17</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废旧轮胎与低品位油页岩耦合干馏项目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抚顺市东洲区南花园街人工河路17号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化工原料方向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在建项目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进行废旧轮胎与低品位油页岩耦合干馏技术的研发，攻克废旧轮胎与低品位油页岩配比等多项技术难题。</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3400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10000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700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227</w:t>
            </w:r>
          </w:p>
        </w:tc>
      </w:tr>
      <w:tr>
        <w:tblPrEx>
          <w:shd w:val="clear" w:color="auto" w:fill="auto"/>
          <w:tblCellMar>
            <w:top w:w="0" w:type="dxa"/>
            <w:left w:w="108" w:type="dxa"/>
            <w:bottom w:w="0" w:type="dxa"/>
            <w:right w:w="108" w:type="dxa"/>
          </w:tblCellMar>
        </w:tblPrEx>
        <w:trPr>
          <w:trHeight w:val="146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18</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废页岩灰渣改良土壤项目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抚顺市东洲区南花园街人工河路17号</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土壤改良方向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在建项目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以油页岩工业副产品为主要原料，通过添加特定的外原辅料，经特殊工艺加工得到具有供肥、保肥、保水、改土等功能的新材料产品，可广泛适用于防风蚀固沙、土壤改良、中低产田改造等农业领域。</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5035</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1100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252</w:t>
            </w:r>
          </w:p>
        </w:tc>
      </w:tr>
      <w:tr>
        <w:tblPrEx>
          <w:shd w:val="clear" w:color="auto" w:fill="auto"/>
          <w:tblCellMar>
            <w:top w:w="0" w:type="dxa"/>
            <w:left w:w="108" w:type="dxa"/>
            <w:bottom w:w="0" w:type="dxa"/>
            <w:right w:w="108" w:type="dxa"/>
          </w:tblCellMar>
        </w:tblPrEx>
        <w:trPr>
          <w:trHeight w:val="1440" w:hRule="atLeast"/>
        </w:trPr>
        <w:tc>
          <w:tcPr>
            <w:tcW w:w="1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19</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煤矸石洗选综合利用项目</w:t>
            </w:r>
          </w:p>
        </w:tc>
        <w:tc>
          <w:tcPr>
            <w:tcW w:w="3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胜利大宗固废综合利用产业园区B区</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综合利用方向</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在建项目</w:t>
            </w:r>
          </w:p>
        </w:tc>
        <w:tc>
          <w:tcPr>
            <w:tcW w:w="1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通过对老虎台矿煤矸石破碎、滚筒洗选试验，得到洗粒煤、琥珀、改土材料（煤泥）等有价值的产品，既解决了因排弃产生的环境污染问题，综合利用后又可实现较好的经济效益。</w:t>
            </w: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2900</w:t>
            </w:r>
          </w:p>
        </w:tc>
        <w:tc>
          <w:tcPr>
            <w:tcW w:w="31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w:t>
            </w:r>
          </w:p>
        </w:tc>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8000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450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242</w:t>
            </w:r>
          </w:p>
        </w:tc>
      </w:tr>
      <w:tr>
        <w:tblPrEx>
          <w:shd w:val="clear" w:color="auto" w:fill="auto"/>
          <w:tblCellMar>
            <w:top w:w="0" w:type="dxa"/>
            <w:left w:w="108" w:type="dxa"/>
            <w:bottom w:w="0" w:type="dxa"/>
            <w:right w:w="108" w:type="dxa"/>
          </w:tblCellMar>
        </w:tblPrEx>
        <w:trPr>
          <w:trHeight w:val="560" w:hRule="atLeast"/>
        </w:trPr>
        <w:tc>
          <w:tcPr>
            <w:tcW w:w="6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p>
        </w:tc>
        <w:tc>
          <w:tcPr>
            <w:tcW w:w="38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i w:val="0"/>
                <w:iCs w:val="0"/>
                <w:color w:val="000000"/>
                <w:sz w:val="21"/>
                <w:szCs w:val="21"/>
                <w:u w:val="none"/>
              </w:rPr>
            </w:pPr>
          </w:p>
        </w:tc>
        <w:tc>
          <w:tcPr>
            <w:tcW w:w="318"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both"/>
              <w:rPr>
                <w:rFonts w:hint="eastAsia" w:ascii="仿宋" w:hAnsi="仿宋" w:eastAsia="仿宋" w:cs="仿宋"/>
                <w:b/>
                <w:bCs/>
                <w:i w:val="0"/>
                <w:iCs w:val="0"/>
                <w:color w:val="000000"/>
                <w:sz w:val="21"/>
                <w:szCs w:val="21"/>
                <w:u w:val="none"/>
              </w:rPr>
            </w:pPr>
          </w:p>
        </w:tc>
        <w:tc>
          <w:tcPr>
            <w:tcW w:w="22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both"/>
              <w:rPr>
                <w:rFonts w:hint="eastAsia" w:ascii="仿宋" w:hAnsi="仿宋" w:eastAsia="仿宋" w:cs="仿宋"/>
                <w:b/>
                <w:bCs/>
                <w:i w:val="0"/>
                <w:iCs w:val="0"/>
                <w:color w:val="000000"/>
                <w:sz w:val="21"/>
                <w:szCs w:val="21"/>
                <w:u w:val="none"/>
              </w:rPr>
            </w:pPr>
          </w:p>
        </w:tc>
        <w:tc>
          <w:tcPr>
            <w:tcW w:w="1576"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both"/>
              <w:rPr>
                <w:rFonts w:hint="eastAsia" w:ascii="仿宋" w:hAnsi="仿宋" w:eastAsia="仿宋" w:cs="仿宋"/>
                <w:b/>
                <w:bCs/>
                <w:i w:val="0"/>
                <w:iCs w:val="0"/>
                <w:color w:val="000000"/>
                <w:sz w:val="21"/>
                <w:szCs w:val="21"/>
                <w:u w:val="none"/>
              </w:rPr>
            </w:pPr>
          </w:p>
        </w:tc>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516635</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1929</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1441000</w:t>
            </w:r>
          </w:p>
        </w:tc>
        <w:tc>
          <w:tcPr>
            <w:tcW w:w="3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92450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227</w:t>
            </w:r>
          </w:p>
        </w:tc>
      </w:tr>
    </w:tbl>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ascii="仿宋" w:hAnsi="仿宋" w:eastAsia="仿宋" w:cs="仿宋"/>
          <w:color w:val="000000"/>
          <w:kern w:val="0"/>
          <w:sz w:val="21"/>
          <w:szCs w:val="21"/>
          <w:lang w:val="en-US" w:eastAsia="zh-CN" w:bidi="ar"/>
        </w:rPr>
        <w:sectPr>
          <w:type w:val="continuous"/>
          <w:pgSz w:w="16838" w:h="11906" w:orient="landscape"/>
          <w:pgMar w:top="1800" w:right="1440" w:bottom="1800" w:left="1440" w:header="851" w:footer="992" w:gutter="0"/>
          <w:cols w:space="425" w:num="1"/>
          <w:docGrid w:type="lines" w:linePitch="312" w:charSpace="0"/>
        </w:sectPr>
      </w:pPr>
    </w:p>
    <w:tbl>
      <w:tblPr>
        <w:tblStyle w:val="15"/>
        <w:tblW w:w="4996" w:type="pct"/>
        <w:tblInd w:w="0" w:type="dxa"/>
        <w:shd w:val="clear" w:color="auto" w:fill="auto"/>
        <w:tblLayout w:type="autofit"/>
        <w:tblCellMar>
          <w:top w:w="0" w:type="dxa"/>
          <w:left w:w="108" w:type="dxa"/>
          <w:bottom w:w="0" w:type="dxa"/>
          <w:right w:w="108" w:type="dxa"/>
        </w:tblCellMar>
      </w:tblPr>
      <w:tblGrid>
        <w:gridCol w:w="1002"/>
        <w:gridCol w:w="7047"/>
        <w:gridCol w:w="1836"/>
        <w:gridCol w:w="1428"/>
        <w:gridCol w:w="1394"/>
        <w:gridCol w:w="1456"/>
      </w:tblGrid>
      <w:tr>
        <w:tblPrEx>
          <w:shd w:val="clear" w:color="auto" w:fill="auto"/>
          <w:tblCellMar>
            <w:top w:w="0" w:type="dxa"/>
            <w:left w:w="108" w:type="dxa"/>
            <w:bottom w:w="0" w:type="dxa"/>
            <w:right w:w="108" w:type="dxa"/>
          </w:tblCellMar>
        </w:tblPrEx>
        <w:trPr>
          <w:trHeight w:val="560" w:hRule="atLeast"/>
        </w:trPr>
        <w:tc>
          <w:tcPr>
            <w:tcW w:w="5000" w:type="pct"/>
            <w:gridSpan w:val="6"/>
            <w:tcBorders>
              <w:top w:val="nil"/>
              <w:left w:val="nil"/>
              <w:bottom w:val="nil"/>
              <w:right w:val="nil"/>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default" w:ascii="宋体" w:hAnsi="宋体" w:cs="宋体"/>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4"/>
                <w:szCs w:val="24"/>
                <w:highlight w:val="none"/>
                <w:u w:val="none"/>
                <w:lang w:val="en-US" w:eastAsia="zh-CN" w:bidi="ar"/>
              </w:rPr>
              <w:t>表5：抚顺市煤矸石综合利用产业发展重点项目三年投资计划</w:t>
            </w:r>
          </w:p>
        </w:tc>
      </w:tr>
      <w:tr>
        <w:tblPrEx>
          <w:shd w:val="clear" w:color="auto" w:fill="auto"/>
          <w:tblCellMar>
            <w:top w:w="0" w:type="dxa"/>
            <w:left w:w="108" w:type="dxa"/>
            <w:bottom w:w="0" w:type="dxa"/>
            <w:right w:w="108" w:type="dxa"/>
          </w:tblCellMar>
        </w:tblPrEx>
        <w:trPr>
          <w:trHeight w:val="360" w:hRule="atLeast"/>
        </w:trPr>
        <w:tc>
          <w:tcPr>
            <w:tcW w:w="5000" w:type="pct"/>
            <w:gridSpan w:val="6"/>
            <w:tcBorders>
              <w:top w:val="nil"/>
              <w:left w:val="nil"/>
              <w:bottom w:val="nil"/>
              <w:right w:val="nil"/>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right"/>
              <w:textAlignment w:val="center"/>
              <w:rPr>
                <w:rFonts w:hint="default" w:ascii="宋体" w:hAnsi="宋体" w:cs="宋体"/>
                <w:b/>
                <w:bCs/>
                <w:i w:val="0"/>
                <w:iCs w:val="0"/>
                <w:color w:val="000000"/>
                <w:kern w:val="0"/>
                <w:sz w:val="28"/>
                <w:szCs w:val="28"/>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单位：万元</w:t>
            </w:r>
          </w:p>
        </w:tc>
      </w:tr>
      <w:tr>
        <w:tblPrEx>
          <w:shd w:val="clear" w:color="auto" w:fill="auto"/>
          <w:tblCellMar>
            <w:top w:w="0" w:type="dxa"/>
            <w:left w:w="108" w:type="dxa"/>
            <w:bottom w:w="0" w:type="dxa"/>
            <w:right w:w="108" w:type="dxa"/>
          </w:tblCellMar>
        </w:tblPrEx>
        <w:trPr>
          <w:trHeight w:val="722"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序号</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项目名称</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总投资 （万元）</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2021年</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2022年</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2023年</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煤矸石制备绿色水泥项目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煤矸石制备10万吨高性能偏高岭土基混凝土增强材料示范项目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8000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年产10万吨煤系煅烧高岭料生产线项目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10800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年产150万m3混凝土制品项目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固体废弃物综合利用项目（1）</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日产1万立方米ALC蒸压加气混凝土板材项目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6500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1950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1950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日处理5000吨煤矸石项目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2800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840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年产80万m³蒸压加气混凝土制品生产线项目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7200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5400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煤矸石制备年产100万平方米混凝土路面砖示范生产线项目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2200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3300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94"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lang w:val="en-US"/>
              </w:rPr>
            </w:pPr>
            <w:r>
              <w:rPr>
                <w:rFonts w:hint="eastAsia" w:ascii="仿宋" w:hAnsi="仿宋" w:eastAsia="仿宋" w:cs="仿宋"/>
                <w:i w:val="0"/>
                <w:iCs w:val="0"/>
                <w:color w:val="auto"/>
                <w:kern w:val="0"/>
                <w:sz w:val="21"/>
                <w:szCs w:val="21"/>
                <w:u w:val="none"/>
                <w:lang w:val="en-US" w:eastAsia="zh-CN" w:bidi="ar"/>
              </w:rPr>
              <w:t>10</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sz w:val="21"/>
                <w:szCs w:val="21"/>
                <w:u w:val="none"/>
                <w:lang w:val="en-US"/>
              </w:rPr>
            </w:pPr>
            <w:r>
              <w:rPr>
                <w:rFonts w:hint="eastAsia" w:ascii="仿宋" w:hAnsi="仿宋" w:eastAsia="仿宋" w:cs="仿宋"/>
                <w:i w:val="0"/>
                <w:iCs w:val="0"/>
                <w:color w:val="auto"/>
                <w:kern w:val="0"/>
                <w:sz w:val="21"/>
                <w:szCs w:val="21"/>
                <w:u w:val="none"/>
                <w:lang w:val="en-US" w:eastAsia="zh-CN" w:bidi="ar"/>
              </w:rPr>
              <w:t>固体废弃物综合利用项目（2）</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150000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90000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default"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11</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煤矸石制备年产50000m3泡沫玻璃生产线项目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3500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1400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2100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kern w:val="2"/>
                <w:sz w:val="21"/>
                <w:szCs w:val="21"/>
                <w:u w:val="none"/>
                <w:lang w:val="en-US" w:eastAsia="zh-CN" w:bidi="ar-SA"/>
              </w:rPr>
            </w:pP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default"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12</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50万吨/年固废治理及综合利用项目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15000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6000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2"/>
                <w:sz w:val="21"/>
                <w:szCs w:val="21"/>
                <w:u w:val="none"/>
                <w:lang w:val="en-US" w:eastAsia="zh-CN" w:bidi="ar-SA"/>
              </w:rPr>
            </w:pPr>
            <w:r>
              <w:rPr>
                <w:rFonts w:hint="eastAsia" w:ascii="仿宋" w:hAnsi="仿宋" w:eastAsia="仿宋" w:cs="仿宋"/>
                <w:i w:val="0"/>
                <w:iCs w:val="0"/>
                <w:color w:val="000000"/>
                <w:kern w:val="0"/>
                <w:sz w:val="21"/>
                <w:szCs w:val="21"/>
                <w:u w:val="none"/>
                <w:lang w:val="en-US" w:eastAsia="zh-CN" w:bidi="ar"/>
              </w:rPr>
              <w:t>9000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kern w:val="2"/>
                <w:sz w:val="21"/>
                <w:szCs w:val="21"/>
                <w:u w:val="none"/>
                <w:lang w:val="en-US" w:eastAsia="zh-CN" w:bidi="ar-SA"/>
              </w:rPr>
            </w:pP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13</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100万吨/年固废治理及综合利用项目</w:t>
            </w:r>
          </w:p>
        </w:tc>
        <w:tc>
          <w:tcPr>
            <w:tcW w:w="648"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156000</w:t>
            </w:r>
          </w:p>
        </w:tc>
        <w:tc>
          <w:tcPr>
            <w:tcW w:w="504"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93600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62400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14</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年处理400万吨煤矸石生产聚合氯化铝项目</w:t>
            </w:r>
          </w:p>
        </w:tc>
        <w:tc>
          <w:tcPr>
            <w:tcW w:w="64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45000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18000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15</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小颗粒油页岩干馏项目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27000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13500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13500</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16</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利用余热烧制5000吨氧化钙项目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2400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i w:val="0"/>
                <w:iCs w:val="0"/>
                <w:color w:val="000000"/>
                <w:sz w:val="21"/>
                <w:szCs w:val="21"/>
                <w:u w:val="none"/>
              </w:rPr>
            </w:pP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17</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废旧轮胎与低品位油页岩耦合干馏项目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val="0"/>
                <w:bCs w:val="0"/>
                <w:i w:val="0"/>
                <w:iCs w:val="0"/>
                <w:color w:val="000000"/>
                <w:sz w:val="21"/>
                <w:szCs w:val="21"/>
                <w:highlight w:val="none"/>
                <w:u w:val="none"/>
                <w:lang w:val="en-US"/>
              </w:rPr>
            </w:pPr>
            <w:r>
              <w:rPr>
                <w:rFonts w:hint="eastAsia" w:ascii="仿宋" w:hAnsi="仿宋" w:eastAsia="仿宋" w:cs="仿宋"/>
                <w:b w:val="0"/>
                <w:bCs w:val="0"/>
                <w:i w:val="0"/>
                <w:iCs w:val="0"/>
                <w:color w:val="000000"/>
                <w:kern w:val="0"/>
                <w:sz w:val="21"/>
                <w:szCs w:val="21"/>
                <w:highlight w:val="none"/>
                <w:u w:val="none"/>
                <w:lang w:val="en-US" w:eastAsia="zh-CN" w:bidi="ar"/>
              </w:rPr>
              <w:t>3400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val="0"/>
                <w:bCs w:val="0"/>
                <w:i w:val="0"/>
                <w:iCs w:val="0"/>
                <w:color w:val="000000"/>
                <w:sz w:val="21"/>
                <w:szCs w:val="21"/>
                <w:highlight w:val="none"/>
                <w:u w:val="none"/>
                <w:lang w:val="en-US"/>
              </w:rPr>
            </w:pPr>
            <w:r>
              <w:rPr>
                <w:rFonts w:hint="eastAsia" w:ascii="仿宋" w:hAnsi="仿宋" w:eastAsia="仿宋" w:cs="仿宋"/>
                <w:b w:val="0"/>
                <w:bCs w:val="0"/>
                <w:i w:val="0"/>
                <w:iCs w:val="0"/>
                <w:color w:val="000000"/>
                <w:kern w:val="0"/>
                <w:sz w:val="21"/>
                <w:szCs w:val="21"/>
                <w:highlight w:val="none"/>
                <w:u w:val="none"/>
                <w:lang w:val="en-US" w:eastAsia="zh-CN" w:bidi="ar"/>
              </w:rPr>
              <w:t>400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val="0"/>
                <w:bCs w:val="0"/>
                <w:i w:val="0"/>
                <w:iCs w:val="0"/>
                <w:color w:val="000000"/>
                <w:sz w:val="21"/>
                <w:szCs w:val="21"/>
                <w:highlight w:val="none"/>
                <w:u w:val="none"/>
                <w:lang w:val="en-US"/>
              </w:rPr>
            </w:pPr>
            <w:r>
              <w:rPr>
                <w:rFonts w:hint="eastAsia" w:ascii="仿宋" w:hAnsi="仿宋" w:eastAsia="仿宋" w:cs="仿宋"/>
                <w:b w:val="0"/>
                <w:bCs w:val="0"/>
                <w:i w:val="0"/>
                <w:iCs w:val="0"/>
                <w:color w:val="000000"/>
                <w:kern w:val="0"/>
                <w:sz w:val="21"/>
                <w:szCs w:val="21"/>
                <w:highlight w:val="none"/>
                <w:u w:val="none"/>
                <w:lang w:val="en-US" w:eastAsia="zh-CN" w:bidi="ar"/>
              </w:rPr>
              <w:t>3000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rPr>
            </w:pP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18</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废页岩灰渣改良土壤项目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5035</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800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2100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2135</w:t>
            </w:r>
          </w:p>
        </w:tc>
      </w:tr>
      <w:tr>
        <w:tblPrEx>
          <w:shd w:val="clear" w:color="auto" w:fill="auto"/>
          <w:tblCellMar>
            <w:top w:w="0" w:type="dxa"/>
            <w:left w:w="108" w:type="dxa"/>
            <w:bottom w:w="0" w:type="dxa"/>
            <w:right w:w="108" w:type="dxa"/>
          </w:tblCellMar>
        </w:tblPrEx>
        <w:trPr>
          <w:trHeight w:val="567" w:hRule="atLeast"/>
        </w:trPr>
        <w:tc>
          <w:tcPr>
            <w:tcW w:w="3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lang w:val="en-US"/>
              </w:rPr>
            </w:pPr>
            <w:r>
              <w:rPr>
                <w:rFonts w:hint="eastAsia" w:ascii="仿宋" w:hAnsi="仿宋" w:eastAsia="仿宋" w:cs="仿宋"/>
                <w:i w:val="0"/>
                <w:iCs w:val="0"/>
                <w:color w:val="000000"/>
                <w:kern w:val="0"/>
                <w:sz w:val="21"/>
                <w:szCs w:val="21"/>
                <w:u w:val="none"/>
                <w:lang w:val="en-US" w:eastAsia="zh-CN" w:bidi="ar"/>
              </w:rPr>
              <w:t>19</w:t>
            </w:r>
          </w:p>
        </w:tc>
        <w:tc>
          <w:tcPr>
            <w:tcW w:w="24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煤矸石洗选综合利用项目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2900</w:t>
            </w:r>
          </w:p>
        </w:tc>
        <w:tc>
          <w:tcPr>
            <w:tcW w:w="50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lang w:val="en-US"/>
              </w:rPr>
            </w:pPr>
            <w:r>
              <w:rPr>
                <w:rFonts w:hint="eastAsia" w:ascii="仿宋" w:hAnsi="仿宋" w:eastAsia="仿宋" w:cs="仿宋"/>
                <w:i w:val="0"/>
                <w:iCs w:val="0"/>
                <w:color w:val="000000"/>
                <w:kern w:val="0"/>
                <w:sz w:val="21"/>
                <w:szCs w:val="21"/>
                <w:highlight w:val="none"/>
                <w:u w:val="none"/>
                <w:lang w:val="en-US" w:eastAsia="zh-CN" w:bidi="ar"/>
              </w:rPr>
              <w:t>600</w:t>
            </w:r>
          </w:p>
        </w:tc>
        <w:tc>
          <w:tcPr>
            <w:tcW w:w="4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rPr>
            </w:pPr>
            <w:r>
              <w:rPr>
                <w:rFonts w:hint="eastAsia" w:ascii="仿宋" w:hAnsi="仿宋" w:eastAsia="仿宋" w:cs="仿宋"/>
                <w:i w:val="0"/>
                <w:iCs w:val="0"/>
                <w:color w:val="000000"/>
                <w:kern w:val="0"/>
                <w:sz w:val="21"/>
                <w:szCs w:val="21"/>
                <w:highlight w:val="none"/>
                <w:u w:val="none"/>
                <w:lang w:val="en-US" w:eastAsia="zh-CN" w:bidi="ar"/>
              </w:rPr>
              <w:t>1500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highlight w:val="none"/>
                <w:u w:val="none"/>
                <w:lang w:val="en-US" w:eastAsia="zh-CN"/>
              </w:rPr>
            </w:pPr>
            <w:r>
              <w:rPr>
                <w:rFonts w:hint="eastAsia" w:ascii="仿宋" w:hAnsi="仿宋" w:eastAsia="仿宋" w:cs="仿宋"/>
                <w:i w:val="0"/>
                <w:iCs w:val="0"/>
                <w:color w:val="000000"/>
                <w:sz w:val="21"/>
                <w:szCs w:val="21"/>
                <w:highlight w:val="none"/>
                <w:u w:val="none"/>
                <w:lang w:val="en-US" w:eastAsia="zh-CN"/>
              </w:rPr>
              <w:t>800</w:t>
            </w:r>
          </w:p>
        </w:tc>
      </w:tr>
      <w:tr>
        <w:tblPrEx>
          <w:shd w:val="clear" w:color="auto" w:fill="auto"/>
          <w:tblCellMar>
            <w:top w:w="0" w:type="dxa"/>
            <w:left w:w="108" w:type="dxa"/>
            <w:bottom w:w="0" w:type="dxa"/>
            <w:right w:w="108" w:type="dxa"/>
          </w:tblCellMar>
        </w:tblPrEx>
        <w:trPr>
          <w:trHeight w:val="567" w:hRule="atLeast"/>
        </w:trPr>
        <w:tc>
          <w:tcPr>
            <w:tcW w:w="284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合计</w:t>
            </w:r>
          </w:p>
        </w:tc>
        <w:tc>
          <w:tcPr>
            <w:tcW w:w="6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516635</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27690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296520</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192425</w:t>
            </w:r>
          </w:p>
        </w:tc>
      </w:tr>
    </w:tbl>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default" w:ascii="仿宋_GB2312" w:hAnsi="仿宋_GB2312" w:eastAsia="仿宋_GB2312" w:cs="仿宋_GB2312"/>
          <w:color w:val="000000"/>
          <w:kern w:val="0"/>
          <w:sz w:val="32"/>
          <w:szCs w:val="32"/>
          <w:lang w:val="en-US" w:eastAsia="zh-CN" w:bidi="ar"/>
        </w:rPr>
      </w:pP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lang w:val="en-US" w:eastAsia="zh-CN"/>
        </w:rPr>
      </w:pP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lang w:val="en-US" w:eastAsia="zh-CN"/>
        </w:rPr>
      </w:pP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lang w:val="en-US" w:eastAsia="zh-CN"/>
        </w:rPr>
      </w:pP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lang w:val="en-US" w:eastAsia="zh-CN"/>
        </w:rPr>
      </w:pP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lang w:val="en-US" w:eastAsia="zh-CN"/>
        </w:rPr>
      </w:pP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2522220</wp:posOffset>
                </wp:positionH>
                <wp:positionV relativeFrom="paragraph">
                  <wp:posOffset>-27305</wp:posOffset>
                </wp:positionV>
                <wp:extent cx="4237990" cy="266700"/>
                <wp:effectExtent l="0" t="0" r="10160" b="0"/>
                <wp:wrapNone/>
                <wp:docPr id="53" name="文本框 53"/>
                <wp:cNvGraphicFramePr/>
                <a:graphic xmlns:a="http://schemas.openxmlformats.org/drawingml/2006/main">
                  <a:graphicData uri="http://schemas.microsoft.com/office/word/2010/wordprocessingShape">
                    <wps:wsp>
                      <wps:cNvSpPr txBox="1"/>
                      <wps:spPr>
                        <a:xfrm>
                          <a:off x="0" y="0"/>
                          <a:ext cx="4237990"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图5：抚顺市煤矸石综合利用产业发展重点项目分布图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6pt;margin-top:-2.15pt;height:21pt;width:333.7pt;z-index:251665408;mso-width-relative:page;mso-height-relative:page;" fillcolor="#FFFFFF [3201]" filled="t" stroked="f" coordsize="21600,21600" o:gfxdata="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9w7DLVAAAACgEAAA8A&#10;AAAAAAAAAQAgAAAAIgAAAGRycy9kb3ducmV2LnhtbFBLAQIUABQAAAAIAIdO4kCb1na8UwIAAJEE&#10;AAAOAAAAAAAAAAEAIAAAACQBAABkcnMvZTJvRG9jLnhtbFBLBQYAAAAABgAGAFkBAADpBQAAAAA=&#10;">
                <v:fill on="t" focussize="0,0"/>
                <v:stroke on="f" weight="0.5pt"/>
                <v:imagedata o:title=""/>
                <o:lock v:ext="edit" aspectratio="f"/>
                <v:textbox>
                  <w:txbxContent>
                    <w:p>
                      <w:pP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图5：抚顺市煤矸石综合利用产业发展重点项目分布图</w:t>
                      </w:r>
                    </w:p>
                  </w:txbxContent>
                </v:textbox>
              </v:shape>
            </w:pict>
          </mc:Fallback>
        </mc:AlternateContent>
      </w: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default" w:ascii="仿宋_GB2312" w:hAnsi="仿宋_GB2312" w:eastAsia="仿宋_GB2312" w:cs="仿宋_GB2312"/>
          <w:color w:val="000000"/>
          <w:kern w:val="0"/>
          <w:sz w:val="32"/>
          <w:szCs w:val="32"/>
          <w:lang w:val="en-US" w:eastAsia="zh-CN" w:bidi="ar"/>
        </w:rPr>
      </w:pPr>
      <w:r>
        <w:rPr>
          <w:rFonts w:hint="eastAsia"/>
          <w:lang w:val="en-US" w:eastAsia="zh-CN"/>
        </w:rPr>
        <w:drawing>
          <wp:inline distT="0" distB="0" distL="114300" distR="114300">
            <wp:extent cx="8865870" cy="4891405"/>
            <wp:effectExtent l="0" t="0" r="11430" b="4445"/>
            <wp:docPr id="4" name="图片 4" descr="微信图片_2021092809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928092906"/>
                    <pic:cNvPicPr>
                      <a:picLocks noChangeAspect="1"/>
                    </pic:cNvPicPr>
                  </pic:nvPicPr>
                  <pic:blipFill>
                    <a:blip r:embed="rId11"/>
                    <a:srcRect t="4156"/>
                    <a:stretch>
                      <a:fillRect/>
                    </a:stretch>
                  </pic:blipFill>
                  <pic:spPr>
                    <a:xfrm>
                      <a:off x="0" y="0"/>
                      <a:ext cx="8865870" cy="4891405"/>
                    </a:xfrm>
                    <a:prstGeom prst="rect">
                      <a:avLst/>
                    </a:prstGeom>
                  </pic:spPr>
                </pic:pic>
              </a:graphicData>
            </a:graphic>
          </wp:inline>
        </w:drawing>
      </w:r>
    </w:p>
    <w:p>
      <w:pPr>
        <w:pStyle w:val="14"/>
        <w:keepNext w:val="0"/>
        <w:keepLines w:val="0"/>
        <w:kinsoku/>
        <w:wordWrap/>
        <w:overflowPunct/>
        <w:topLinePunct w:val="0"/>
        <w:autoSpaceDE/>
        <w:autoSpaceDN/>
        <w:bidi w:val="0"/>
        <w:spacing w:before="0" w:beforeAutospacing="0" w:after="0" w:afterAutospacing="0" w:line="360" w:lineRule="auto"/>
        <w:ind w:left="0" w:leftChars="0"/>
        <w:jc w:val="both"/>
        <w:rPr>
          <w:rFonts w:hint="default" w:ascii="仿宋_GB2312" w:hAnsi="仿宋_GB2312" w:eastAsia="仿宋_GB2312" w:cs="仿宋_GB2312"/>
          <w:color w:val="000000"/>
          <w:kern w:val="0"/>
          <w:sz w:val="32"/>
          <w:szCs w:val="32"/>
          <w:lang w:val="en-US" w:eastAsia="zh-CN" w:bidi="ar"/>
        </w:rPr>
        <w:sectPr>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outlineLvl w:val="0"/>
        <w:rPr>
          <w:rFonts w:hint="default" w:ascii="楷体_GB2312" w:hAnsi="楷体_GB2312" w:eastAsia="楷体_GB2312" w:cs="楷体_GB2312"/>
          <w:b/>
          <w:bCs/>
          <w:color w:val="000000"/>
          <w:kern w:val="0"/>
          <w:sz w:val="32"/>
          <w:szCs w:val="32"/>
          <w:lang w:val="en-US" w:eastAsia="zh-CN" w:bidi="ar"/>
        </w:rPr>
      </w:pPr>
      <w:bookmarkStart w:id="165" w:name="_Toc21000"/>
      <w:r>
        <w:rPr>
          <w:rFonts w:hint="eastAsia" w:ascii="楷体_GB2312" w:hAnsi="楷体_GB2312" w:eastAsia="楷体_GB2312" w:cs="楷体_GB2312"/>
          <w:b/>
          <w:bCs/>
          <w:color w:val="000000"/>
          <w:kern w:val="0"/>
          <w:sz w:val="32"/>
          <w:szCs w:val="32"/>
          <w:lang w:val="en-US" w:eastAsia="zh-CN" w:bidi="ar"/>
        </w:rPr>
        <w:t>七、保障措施</w:t>
      </w:r>
      <w:bookmarkEnd w:id="165"/>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166" w:name="_Toc21280"/>
      <w:r>
        <w:rPr>
          <w:rFonts w:hint="eastAsia" w:ascii="仿宋_GB2312" w:hAnsi="仿宋_GB2312" w:eastAsia="仿宋_GB2312" w:cs="仿宋_GB2312"/>
          <w:b/>
          <w:bCs/>
          <w:color w:val="000000"/>
          <w:kern w:val="0"/>
          <w:sz w:val="32"/>
          <w:szCs w:val="32"/>
          <w:lang w:val="en-US" w:eastAsia="zh-CN" w:bidi="ar"/>
        </w:rPr>
        <w:t>（一）加强组织协调</w:t>
      </w:r>
      <w:bookmarkEnd w:id="166"/>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167" w:name="_Toc24478"/>
      <w:bookmarkStart w:id="168" w:name="_Toc6791"/>
      <w:bookmarkStart w:id="169" w:name="_Toc12180"/>
      <w:bookmarkStart w:id="170" w:name="_Toc14678"/>
      <w:bookmarkStart w:id="171" w:name="_Toc31497"/>
      <w:bookmarkStart w:id="172" w:name="_Toc14654"/>
      <w:bookmarkStart w:id="173" w:name="_Toc3038"/>
      <w:bookmarkStart w:id="174" w:name="_Toc14646"/>
      <w:bookmarkStart w:id="175" w:name="_Toc21971"/>
      <w:bookmarkStart w:id="176" w:name="_Toc12575"/>
      <w:r>
        <w:rPr>
          <w:rFonts w:hint="eastAsia" w:ascii="仿宋_GB2312" w:hAnsi="仿宋_GB2312" w:eastAsia="仿宋_GB2312" w:cs="仿宋_GB2312"/>
          <w:b/>
          <w:bCs/>
          <w:color w:val="000000"/>
          <w:kern w:val="0"/>
          <w:sz w:val="32"/>
          <w:szCs w:val="32"/>
          <w:lang w:val="en-US" w:eastAsia="zh-CN" w:bidi="ar"/>
        </w:rPr>
        <w:t>1</w:t>
      </w:r>
      <w:bookmarkEnd w:id="167"/>
      <w:bookmarkEnd w:id="168"/>
      <w:bookmarkEnd w:id="169"/>
      <w:r>
        <w:rPr>
          <w:rFonts w:hint="eastAsia" w:ascii="仿宋_GB2312" w:hAnsi="仿宋_GB2312" w:eastAsia="仿宋_GB2312" w:cs="仿宋_GB2312"/>
          <w:b/>
          <w:bCs/>
          <w:color w:val="000000"/>
          <w:kern w:val="0"/>
          <w:sz w:val="32"/>
          <w:szCs w:val="32"/>
          <w:lang w:val="en-US" w:eastAsia="zh-CN" w:bidi="ar"/>
        </w:rPr>
        <w:t>.加强领导小组统筹协调</w:t>
      </w:r>
      <w:bookmarkEnd w:id="170"/>
      <w:bookmarkEnd w:id="171"/>
      <w:bookmarkEnd w:id="172"/>
      <w:bookmarkEnd w:id="173"/>
      <w:bookmarkEnd w:id="174"/>
      <w:bookmarkEnd w:id="175"/>
      <w:bookmarkEnd w:id="176"/>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bookmarkStart w:id="177" w:name="_Toc28084"/>
      <w:bookmarkStart w:id="178" w:name="_Toc21279"/>
      <w:bookmarkStart w:id="179" w:name="_Toc27384"/>
      <w:bookmarkStart w:id="180" w:name="_Toc472949238"/>
      <w:r>
        <w:rPr>
          <w:rFonts w:hint="eastAsia" w:ascii="仿宋_GB2312" w:hAnsi="仿宋_GB2312" w:eastAsia="仿宋_GB2312" w:cs="仿宋_GB2312"/>
          <w:color w:val="000000"/>
          <w:kern w:val="0"/>
          <w:sz w:val="32"/>
          <w:szCs w:val="32"/>
          <w:lang w:val="en-US" w:eastAsia="zh-CN" w:bidi="ar"/>
        </w:rPr>
        <w:t>推进煤矸石综合利用产业领导小组切实展开指导、规划、协调、服务等各方面工作，围绕培育煤矸石综合利用产业成为抚顺市新的经济增长点和产业发展亮点，研究抚顺市煤矸石综合利用产业发展思路、产业结构、投资导向，制定相关配套政策，督促检查有关部门执行政策情况；协调解决园区基础设施建设、企业项目建设、招商引资、生产经营中出现的重大疑难问题、共性问题，提出解决方案，重点解决项目实施中的土地、环保、规划、融资等方面问题；围绕全市“十四五”发展规划，以创建全国大宗固体废弃物综合利用示范基地为目标，立足资源优势，推动产业布局、企业成长、品牌创建、项目带动。</w:t>
      </w:r>
    </w:p>
    <w:bookmarkEnd w:id="177"/>
    <w:bookmarkEnd w:id="178"/>
    <w:bookmarkEnd w:id="179"/>
    <w:bookmarkEnd w:id="180"/>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181" w:name="_Toc18191"/>
      <w:bookmarkStart w:id="182" w:name="_Toc808"/>
      <w:bookmarkStart w:id="183" w:name="_Toc16752"/>
      <w:bookmarkStart w:id="184" w:name="_Toc11818"/>
      <w:bookmarkStart w:id="185" w:name="_Toc2888"/>
      <w:bookmarkStart w:id="186" w:name="_Toc25175"/>
      <w:bookmarkStart w:id="187" w:name="_Toc1666"/>
      <w:r>
        <w:rPr>
          <w:rFonts w:hint="eastAsia" w:ascii="仿宋_GB2312" w:hAnsi="仿宋_GB2312" w:eastAsia="仿宋_GB2312" w:cs="仿宋_GB2312"/>
          <w:b/>
          <w:bCs/>
          <w:color w:val="000000"/>
          <w:kern w:val="0"/>
          <w:sz w:val="32"/>
          <w:szCs w:val="32"/>
          <w:lang w:val="en-US" w:eastAsia="zh-CN" w:bidi="ar"/>
        </w:rPr>
        <w:t>2.完善目标考核工作机制</w:t>
      </w:r>
      <w:bookmarkEnd w:id="181"/>
      <w:bookmarkEnd w:id="182"/>
      <w:bookmarkEnd w:id="183"/>
      <w:bookmarkEnd w:id="184"/>
      <w:bookmarkEnd w:id="185"/>
      <w:bookmarkEnd w:id="186"/>
      <w:bookmarkEnd w:id="187"/>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在相关职能部门中建立健全煤矸石综合利用产业发展的目标管理和绩效考核体系，各责任部门和单位根据各自职责，明确发展目标和工作重点，提出年度工作计划，采取有效措施全面组织推进；对望花经济开发区、胜利经济开发区加大煤矸石综合利用产业占比、利税、能耗、主要污染物排放总量控制率等指标的权重，并加大督查和考评力度，将各项工作落到实处。</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default" w:ascii="仿宋_GB2312" w:hAnsi="仿宋_GB2312" w:eastAsia="仿宋_GB2312" w:cs="仿宋_GB2312"/>
          <w:b/>
          <w:bCs/>
          <w:color w:val="000000"/>
          <w:kern w:val="0"/>
          <w:sz w:val="32"/>
          <w:szCs w:val="32"/>
          <w:lang w:val="en-US" w:eastAsia="zh-CN" w:bidi="ar"/>
        </w:rPr>
      </w:pPr>
      <w:bookmarkStart w:id="188" w:name="_Toc3930"/>
      <w:bookmarkStart w:id="189" w:name="_Toc21467"/>
      <w:bookmarkStart w:id="190" w:name="_Toc21225"/>
      <w:bookmarkStart w:id="191" w:name="_Toc23678"/>
      <w:bookmarkStart w:id="192" w:name="_Toc7313"/>
      <w:bookmarkStart w:id="193" w:name="_Toc6772"/>
      <w:bookmarkStart w:id="194" w:name="_Toc18791"/>
      <w:bookmarkStart w:id="195" w:name="_Toc26873"/>
      <w:bookmarkStart w:id="196" w:name="_Toc6999"/>
      <w:bookmarkStart w:id="197" w:name="_Toc6265"/>
      <w:bookmarkStart w:id="198" w:name="_Toc9391"/>
      <w:bookmarkStart w:id="199" w:name="_Toc8655"/>
      <w:r>
        <w:rPr>
          <w:rFonts w:hint="eastAsia" w:ascii="仿宋_GB2312" w:hAnsi="仿宋_GB2312" w:eastAsia="仿宋_GB2312" w:cs="仿宋_GB2312"/>
          <w:b/>
          <w:bCs/>
          <w:color w:val="000000"/>
          <w:kern w:val="0"/>
          <w:sz w:val="32"/>
          <w:szCs w:val="32"/>
          <w:lang w:val="en-US" w:eastAsia="zh-CN" w:bidi="ar"/>
        </w:rPr>
        <w:t>（二）</w:t>
      </w:r>
      <w:bookmarkEnd w:id="188"/>
      <w:bookmarkEnd w:id="189"/>
      <w:bookmarkEnd w:id="190"/>
      <w:bookmarkEnd w:id="191"/>
      <w:bookmarkEnd w:id="192"/>
      <w:bookmarkEnd w:id="193"/>
      <w:bookmarkEnd w:id="194"/>
      <w:bookmarkEnd w:id="195"/>
      <w:bookmarkEnd w:id="196"/>
      <w:bookmarkEnd w:id="197"/>
      <w:bookmarkEnd w:id="198"/>
      <w:r>
        <w:rPr>
          <w:rFonts w:hint="eastAsia" w:ascii="仿宋_GB2312" w:hAnsi="仿宋_GB2312" w:eastAsia="仿宋_GB2312" w:cs="仿宋_GB2312"/>
          <w:b/>
          <w:bCs/>
          <w:color w:val="000000"/>
          <w:kern w:val="0"/>
          <w:sz w:val="32"/>
          <w:szCs w:val="32"/>
          <w:lang w:val="en-US" w:eastAsia="zh-CN" w:bidi="ar"/>
        </w:rPr>
        <w:t>强化要素保障</w:t>
      </w:r>
      <w:bookmarkEnd w:id="199"/>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200" w:name="_Toc27222"/>
      <w:bookmarkStart w:id="201" w:name="_Toc14972"/>
      <w:bookmarkStart w:id="202" w:name="_Toc16882"/>
      <w:bookmarkStart w:id="203" w:name="_Toc9688"/>
      <w:bookmarkStart w:id="204" w:name="_Toc22209"/>
      <w:bookmarkStart w:id="205" w:name="_Toc11820"/>
      <w:bookmarkStart w:id="206" w:name="_Toc11513"/>
      <w:bookmarkStart w:id="207" w:name="_Toc6076"/>
      <w:bookmarkStart w:id="208" w:name="_Toc20303"/>
      <w:bookmarkStart w:id="209" w:name="_Toc11661"/>
      <w:bookmarkStart w:id="210" w:name="_Toc22941"/>
      <w:bookmarkStart w:id="211" w:name="_Toc2983"/>
      <w:bookmarkStart w:id="212" w:name="_Toc29552"/>
      <w:bookmarkStart w:id="213" w:name="_Toc19210"/>
      <w:bookmarkStart w:id="214" w:name="_Toc27351"/>
      <w:bookmarkStart w:id="215" w:name="_Toc29437"/>
      <w:bookmarkStart w:id="216" w:name="_Toc26406"/>
      <w:r>
        <w:rPr>
          <w:rFonts w:hint="eastAsia" w:ascii="仿宋_GB2312" w:hAnsi="仿宋_GB2312" w:eastAsia="仿宋_GB2312" w:cs="仿宋_GB2312"/>
          <w:b/>
          <w:bCs/>
          <w:color w:val="000000"/>
          <w:kern w:val="0"/>
          <w:sz w:val="32"/>
          <w:szCs w:val="32"/>
          <w:lang w:val="en-US" w:eastAsia="zh-CN" w:bidi="ar"/>
        </w:rPr>
        <w:t>1.制定针对政策</w:t>
      </w:r>
      <w:bookmarkEnd w:id="200"/>
      <w:bookmarkEnd w:id="201"/>
      <w:bookmarkEnd w:id="202"/>
      <w:bookmarkEnd w:id="203"/>
      <w:bookmarkEnd w:id="204"/>
      <w:bookmarkEnd w:id="205"/>
      <w:bookmarkEnd w:id="206"/>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制定一系列针对煤矸石综合利用产业的扶持政策，重点支持关键技术攻关、重大项目引进、创新孵化能力提升等环节，支持具有较强技术创新能力企业的引入、市场前景好的煤矸石综合利用产业化项目落地，优先保障其用地、用电等要素需求。鼓励企业创新发展并做大做强，对规模以上企业和成长型企业的产销量予以资金奖励，加大对产业关键核心技术科技攻关和科技成果转化项目，机遇项目研发投入上的资金支持。支持企业加强煤矸石综合利用产业专利申报、参加国内外煤矸石综合利用或大宗固体废弃物综合利用专业论坛和展会，积极组织煤矸石综合利用产业创业创新大赛，营造良好的煤矸石综合利用产业创新创业氛围，鼓励来抚顺市创业。</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2.强化资金支持</w:t>
      </w:r>
      <w:bookmarkEnd w:id="207"/>
      <w:bookmarkEnd w:id="208"/>
      <w:bookmarkEnd w:id="209"/>
      <w:bookmarkEnd w:id="210"/>
      <w:bookmarkEnd w:id="211"/>
      <w:bookmarkEnd w:id="212"/>
      <w:bookmarkEnd w:id="213"/>
      <w:bookmarkEnd w:id="214"/>
      <w:bookmarkEnd w:id="215"/>
      <w:bookmarkEnd w:id="216"/>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bookmarkStart w:id="217" w:name="_Toc6837"/>
      <w:bookmarkStart w:id="218" w:name="_Toc13901"/>
      <w:bookmarkStart w:id="219" w:name="_Toc28837"/>
      <w:r>
        <w:rPr>
          <w:rFonts w:hint="eastAsia" w:ascii="仿宋_GB2312" w:hAnsi="仿宋_GB2312" w:eastAsia="仿宋_GB2312" w:cs="仿宋_GB2312"/>
          <w:color w:val="000000"/>
          <w:kern w:val="0"/>
          <w:sz w:val="32"/>
          <w:szCs w:val="32"/>
          <w:lang w:val="en-US" w:eastAsia="zh-CN" w:bidi="ar"/>
        </w:rPr>
        <w:t>完善支持煤矸石综合利用产业发展与项目建设的财政支持体系，用足用好煤矸石综合利用产业发展基金，提高使用效果。金融政策方面，鼓励和引导市内国有商业银行加大对煤矸石综合利用产业的信贷支持力度，简化贷款手续、扩大信贷领域；鼓励企业通过上市、发行企业债券、建立产业投资基金、风险投资、项目融资、股权置换等方式实现资本市场融资；组建多层次贷款担保基金和担保机构，完善以政府投入为引导，企业投入为主体，民间资本和外资共同参与的多渠道、多层次、多方位的金融支持体系。</w:t>
      </w:r>
    </w:p>
    <w:bookmarkEnd w:id="217"/>
    <w:bookmarkEnd w:id="218"/>
    <w:bookmarkEnd w:id="219"/>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default" w:ascii="仿宋_GB2312" w:hAnsi="仿宋_GB2312" w:eastAsia="仿宋_GB2312" w:cs="仿宋_GB2312"/>
          <w:b/>
          <w:bCs/>
          <w:color w:val="000000"/>
          <w:kern w:val="0"/>
          <w:sz w:val="32"/>
          <w:szCs w:val="32"/>
          <w:lang w:val="en-US" w:eastAsia="zh-CN" w:bidi="ar"/>
        </w:rPr>
      </w:pPr>
      <w:bookmarkStart w:id="220" w:name="_Toc23771"/>
      <w:bookmarkStart w:id="221" w:name="_Toc12009"/>
      <w:bookmarkStart w:id="222" w:name="_Toc10878"/>
      <w:r>
        <w:rPr>
          <w:rFonts w:hint="eastAsia" w:ascii="仿宋_GB2312" w:hAnsi="仿宋_GB2312" w:eastAsia="仿宋_GB2312" w:cs="仿宋_GB2312"/>
          <w:b/>
          <w:bCs/>
          <w:color w:val="000000"/>
          <w:kern w:val="0"/>
          <w:sz w:val="32"/>
          <w:szCs w:val="32"/>
          <w:lang w:val="en-US" w:eastAsia="zh-CN" w:bidi="ar"/>
        </w:rPr>
        <w:t>3.优化土地供给</w:t>
      </w:r>
    </w:p>
    <w:p>
      <w:pPr>
        <w:pStyle w:val="1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leftChars="0" w:right="0" w:firstLine="646"/>
        <w:jc w:val="both"/>
        <w:textAlignment w:val="auto"/>
        <w:rPr>
          <w:rFonts w:hint="eastAsia" w:ascii="仿宋_GB2312" w:hAnsi="仿宋_GB2312" w:eastAsia="仿宋_GB2312" w:cs="仿宋_GB2312"/>
          <w:color w:val="000000"/>
          <w:kern w:val="0"/>
          <w:sz w:val="32"/>
          <w:szCs w:val="32"/>
          <w:highlight w:val="none"/>
          <w:lang w:val="en-US" w:eastAsia="zh-CN" w:bidi="ar"/>
        </w:rPr>
      </w:pPr>
      <w:r>
        <w:rPr>
          <w:rFonts w:hint="eastAsia" w:ascii="仿宋_GB2312" w:hAnsi="Times New Roman" w:eastAsia="仿宋_GB2312" w:cs="仿宋_GB2312"/>
          <w:i w:val="0"/>
          <w:caps w:val="0"/>
          <w:color w:val="auto"/>
          <w:spacing w:val="0"/>
          <w:sz w:val="31"/>
          <w:szCs w:val="31"/>
          <w:shd w:val="clear" w:fill="FFFFFF"/>
          <w:lang w:eastAsia="zh-CN"/>
        </w:rPr>
        <w:t>市自然资源部门、国土空间规划部门要统筹安排产业发展用地，将优化土地供给作为</w:t>
      </w:r>
      <w:r>
        <w:rPr>
          <w:rFonts w:hint="eastAsia" w:ascii="仿宋_GB2312" w:eastAsia="仿宋_GB2312" w:cs="仿宋_GB2312"/>
          <w:i w:val="0"/>
          <w:caps w:val="0"/>
          <w:color w:val="auto"/>
          <w:spacing w:val="0"/>
          <w:sz w:val="31"/>
          <w:szCs w:val="31"/>
          <w:shd w:val="clear" w:fill="FFFFFF"/>
          <w:lang w:val="en-US" w:eastAsia="zh-CN"/>
        </w:rPr>
        <w:t>煤矸石综合利用</w:t>
      </w:r>
      <w:r>
        <w:rPr>
          <w:rFonts w:hint="eastAsia" w:ascii="仿宋_GB2312" w:hAnsi="Times New Roman" w:eastAsia="仿宋_GB2312" w:cs="仿宋_GB2312"/>
          <w:i w:val="0"/>
          <w:caps w:val="0"/>
          <w:color w:val="auto"/>
          <w:spacing w:val="0"/>
          <w:sz w:val="31"/>
          <w:szCs w:val="31"/>
          <w:shd w:val="clear" w:fill="FFFFFF"/>
          <w:lang w:eastAsia="zh-CN"/>
        </w:rPr>
        <w:t>产业发展要素保障的重点工作</w:t>
      </w:r>
      <w:r>
        <w:rPr>
          <w:rFonts w:hint="eastAsia" w:ascii="仿宋_GB2312" w:hAnsi="Times New Roman" w:eastAsia="仿宋_GB2312" w:cs="仿宋_GB2312"/>
          <w:i w:val="0"/>
          <w:caps w:val="0"/>
          <w:color w:val="auto"/>
          <w:spacing w:val="0"/>
          <w:sz w:val="31"/>
          <w:szCs w:val="31"/>
          <w:highlight w:val="none"/>
          <w:shd w:val="clear" w:fill="FFFFFF"/>
          <w:lang w:eastAsia="zh-CN"/>
        </w:rPr>
        <w:t>。综合运用经济、行政、法律等手段开展土地供给管理，着力稳定工业用地规划保障，土地利用年度计划倾斜安排一定比例的计划用于</w:t>
      </w:r>
      <w:r>
        <w:rPr>
          <w:rFonts w:hint="eastAsia" w:ascii="仿宋_GB2312" w:eastAsia="仿宋_GB2312" w:cs="仿宋_GB2312"/>
          <w:i w:val="0"/>
          <w:caps w:val="0"/>
          <w:color w:val="auto"/>
          <w:spacing w:val="0"/>
          <w:sz w:val="31"/>
          <w:szCs w:val="31"/>
          <w:highlight w:val="none"/>
          <w:shd w:val="clear" w:fill="FFFFFF"/>
          <w:lang w:val="en-US" w:eastAsia="zh-CN"/>
        </w:rPr>
        <w:t>煤矸石综合利用产业</w:t>
      </w:r>
      <w:r>
        <w:rPr>
          <w:rFonts w:hint="default" w:ascii="仿宋_GB2312" w:hAnsi="仿宋_GB2312" w:eastAsia="仿宋_GB2312" w:cs="Times New Roman"/>
          <w:b w:val="0"/>
          <w:bCs w:val="0"/>
          <w:kern w:val="2"/>
          <w:sz w:val="32"/>
          <w:szCs w:val="24"/>
          <w:highlight w:val="none"/>
          <w:lang w:val="en-US" w:eastAsia="zh-CN" w:bidi="ar-SA"/>
        </w:rPr>
        <w:t>优势项目</w:t>
      </w:r>
      <w:r>
        <w:rPr>
          <w:rFonts w:hint="eastAsia" w:ascii="仿宋_GB2312" w:hAnsi="仿宋_GB2312" w:eastAsia="仿宋_GB2312" w:cs="Times New Roman"/>
          <w:b w:val="0"/>
          <w:bCs w:val="0"/>
          <w:kern w:val="2"/>
          <w:sz w:val="32"/>
          <w:szCs w:val="24"/>
          <w:highlight w:val="none"/>
          <w:lang w:val="en-US" w:eastAsia="zh-CN" w:bidi="ar-SA"/>
        </w:rPr>
        <w:t>和</w:t>
      </w:r>
      <w:r>
        <w:rPr>
          <w:rFonts w:hint="default" w:ascii="仿宋_GB2312" w:hAnsi="仿宋_GB2312" w:eastAsia="仿宋_GB2312" w:cs="Times New Roman"/>
          <w:b w:val="0"/>
          <w:bCs w:val="0"/>
          <w:kern w:val="2"/>
          <w:sz w:val="32"/>
          <w:szCs w:val="24"/>
          <w:highlight w:val="none"/>
          <w:lang w:val="en-US" w:eastAsia="zh-CN" w:bidi="ar-SA"/>
        </w:rPr>
        <w:t>重点项目</w:t>
      </w:r>
      <w:r>
        <w:rPr>
          <w:rFonts w:hint="eastAsia" w:ascii="仿宋_GB2312" w:hAnsi="仿宋_GB2312" w:eastAsia="仿宋_GB2312" w:cs="Times New Roman"/>
          <w:b w:val="0"/>
          <w:bCs w:val="0"/>
          <w:kern w:val="2"/>
          <w:sz w:val="32"/>
          <w:szCs w:val="24"/>
          <w:highlight w:val="none"/>
          <w:lang w:val="en-US" w:eastAsia="zh-CN" w:bidi="ar-SA"/>
        </w:rPr>
        <w:t>落地</w:t>
      </w:r>
      <w:r>
        <w:rPr>
          <w:rFonts w:hint="eastAsia" w:ascii="仿宋_GB2312" w:hAnsi="Times New Roman" w:eastAsia="仿宋_GB2312" w:cs="仿宋_GB2312"/>
          <w:i w:val="0"/>
          <w:caps w:val="0"/>
          <w:color w:val="auto"/>
          <w:spacing w:val="0"/>
          <w:sz w:val="31"/>
          <w:szCs w:val="31"/>
          <w:highlight w:val="none"/>
          <w:shd w:val="clear" w:fill="FFFFFF"/>
          <w:lang w:eastAsia="zh-CN"/>
        </w:rPr>
        <w:t>。</w:t>
      </w:r>
      <w:r>
        <w:rPr>
          <w:rFonts w:hint="eastAsia" w:ascii="仿宋_GB2312" w:hAnsi="仿宋_GB2312" w:eastAsia="仿宋_GB2312" w:cs="Times New Roman"/>
          <w:b w:val="0"/>
          <w:bCs w:val="0"/>
          <w:kern w:val="2"/>
          <w:sz w:val="32"/>
          <w:szCs w:val="24"/>
          <w:highlight w:val="none"/>
          <w:lang w:val="en-US" w:eastAsia="zh-CN" w:bidi="ar-SA"/>
        </w:rPr>
        <w:t>引导各类市场主体参与存量用地盘活，全面优化产业发展土地供给政策，提高土地利用率，实现我市工业用地供应的合理化、精准化和集约转型化。</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223" w:name="_Toc20824"/>
      <w:bookmarkStart w:id="224" w:name="_Toc31100"/>
      <w:bookmarkStart w:id="225" w:name="_Toc10685"/>
      <w:bookmarkStart w:id="226" w:name="_Toc10757"/>
      <w:bookmarkStart w:id="227" w:name="_Toc2768"/>
      <w:bookmarkStart w:id="228" w:name="_Toc19830"/>
      <w:bookmarkStart w:id="229" w:name="_Toc13352"/>
      <w:bookmarkStart w:id="230" w:name="_Toc31212"/>
      <w:bookmarkStart w:id="231" w:name="_Toc1499"/>
      <w:r>
        <w:rPr>
          <w:rFonts w:hint="eastAsia" w:ascii="仿宋_GB2312" w:hAnsi="仿宋_GB2312" w:eastAsia="仿宋_GB2312" w:cs="仿宋_GB2312"/>
          <w:b/>
          <w:bCs/>
          <w:color w:val="000000"/>
          <w:kern w:val="0"/>
          <w:sz w:val="32"/>
          <w:szCs w:val="32"/>
          <w:lang w:val="en-US" w:eastAsia="zh-CN" w:bidi="ar"/>
        </w:rPr>
        <w:t>（三）营造良好发展环境</w:t>
      </w:r>
      <w:bookmarkEnd w:id="220"/>
      <w:bookmarkEnd w:id="221"/>
      <w:bookmarkEnd w:id="222"/>
      <w:bookmarkEnd w:id="223"/>
      <w:bookmarkEnd w:id="224"/>
      <w:bookmarkEnd w:id="225"/>
      <w:bookmarkEnd w:id="226"/>
      <w:bookmarkEnd w:id="227"/>
      <w:bookmarkEnd w:id="228"/>
      <w:bookmarkEnd w:id="229"/>
      <w:bookmarkEnd w:id="230"/>
      <w:bookmarkEnd w:id="231"/>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232" w:name="_Toc1748"/>
      <w:bookmarkStart w:id="233" w:name="_Toc27878"/>
      <w:bookmarkStart w:id="234" w:name="_Toc5329"/>
      <w:bookmarkStart w:id="235" w:name="_Toc29162"/>
      <w:bookmarkStart w:id="236" w:name="_Toc4858"/>
      <w:bookmarkStart w:id="237" w:name="_Toc32537"/>
      <w:bookmarkStart w:id="238" w:name="_Toc11503"/>
      <w:bookmarkStart w:id="239" w:name="_Toc2271"/>
      <w:bookmarkStart w:id="240" w:name="_Toc22248"/>
      <w:bookmarkStart w:id="241" w:name="_Toc5540"/>
      <w:r>
        <w:rPr>
          <w:rFonts w:hint="eastAsia" w:ascii="仿宋_GB2312" w:hAnsi="仿宋_GB2312" w:eastAsia="仿宋_GB2312" w:cs="仿宋_GB2312"/>
          <w:b/>
          <w:bCs/>
          <w:color w:val="000000"/>
          <w:kern w:val="0"/>
          <w:sz w:val="32"/>
          <w:szCs w:val="32"/>
          <w:lang w:val="en-US" w:eastAsia="zh-CN" w:bidi="ar"/>
        </w:rPr>
        <w:t>1.优化行政服务</w:t>
      </w:r>
      <w:bookmarkEnd w:id="232"/>
      <w:bookmarkEnd w:id="233"/>
      <w:bookmarkEnd w:id="234"/>
      <w:bookmarkEnd w:id="235"/>
      <w:bookmarkEnd w:id="236"/>
      <w:bookmarkEnd w:id="237"/>
      <w:bookmarkEnd w:id="238"/>
      <w:bookmarkEnd w:id="239"/>
      <w:bookmarkEnd w:id="240"/>
      <w:bookmarkEnd w:id="241"/>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加大公共服务资源配置的专业化、市场化，扶持培育科技、会展、创意、商贸、信贷等专业化的专业服务机构，为煤矸石综合利用企业发展提供服务支撑。对招商引资、项目服务过程中，提升服务质量，对项目前期准备、项目申报、项目所需用地、基础配套设施、融资、财政贴息等问题进行全程跟进，对遇到的问题及时研究并解决。对煤矸石综合利用产业发展、重点项目实施实现动态管理和监督，定期评估产业发展的实施效果，对面临的问题及时解决，提出相关建议，形成切实可能的产业推进机制。</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242" w:name="_Toc24897"/>
      <w:bookmarkStart w:id="243" w:name="_Toc31167"/>
      <w:bookmarkStart w:id="244" w:name="_Toc23680"/>
      <w:bookmarkStart w:id="245" w:name="_Toc4400"/>
      <w:bookmarkStart w:id="246" w:name="_Toc23724"/>
      <w:bookmarkStart w:id="247" w:name="_Toc1065"/>
      <w:bookmarkStart w:id="248" w:name="_Toc15351"/>
      <w:bookmarkStart w:id="249" w:name="_Toc1568"/>
      <w:bookmarkStart w:id="250" w:name="_Toc12894"/>
      <w:bookmarkStart w:id="251" w:name="_Toc18765"/>
      <w:r>
        <w:rPr>
          <w:rFonts w:hint="eastAsia" w:ascii="仿宋_GB2312" w:hAnsi="仿宋_GB2312" w:eastAsia="仿宋_GB2312" w:cs="仿宋_GB2312"/>
          <w:b/>
          <w:bCs/>
          <w:color w:val="000000"/>
          <w:kern w:val="0"/>
          <w:sz w:val="32"/>
          <w:szCs w:val="32"/>
          <w:lang w:val="en-US" w:eastAsia="zh-CN" w:bidi="ar"/>
        </w:rPr>
        <w:t>2.优化招商模式</w:t>
      </w:r>
      <w:bookmarkEnd w:id="242"/>
      <w:bookmarkEnd w:id="243"/>
      <w:bookmarkEnd w:id="244"/>
      <w:bookmarkEnd w:id="245"/>
      <w:bookmarkEnd w:id="246"/>
      <w:bookmarkEnd w:id="247"/>
      <w:bookmarkEnd w:id="248"/>
      <w:bookmarkEnd w:id="249"/>
      <w:bookmarkEnd w:id="250"/>
      <w:bookmarkEnd w:id="251"/>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整合全市煤矸石综合利用产业链上下游招商资源，统一全市招商目标，广泛促进合作。实施精准招商，以商招商和补链、延链、强链招商，强化服务保障，营造良好环境，优惠政策招商与优质服务招商并举，发展壮大产业集群。提升引资绩效，建立全市大宗固体废弃物综合利用招商引资信息平台，统一收集、发布信息资源，为本地各产业园区、企业和外地客商提供信息指导和服务，打造最佳招商环境。鼓励企业成为招商引资的先锋，积极引进国内外战略投资人等入驻。积极探索引进外资新方式，鼓励投资者以并购、参股等多种方式参与抚顺企业兼并重组，促进体制和机制创新，增强企业适应市场经济的能力。</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252" w:name="_Toc5487"/>
      <w:bookmarkStart w:id="253" w:name="_Toc30417"/>
      <w:bookmarkStart w:id="254" w:name="_Toc27988"/>
      <w:bookmarkStart w:id="255" w:name="_Toc671"/>
      <w:bookmarkStart w:id="256" w:name="_Toc5395"/>
      <w:bookmarkStart w:id="257" w:name="_Toc4679"/>
      <w:bookmarkStart w:id="258" w:name="_Toc8760"/>
      <w:bookmarkStart w:id="259" w:name="_Toc13445"/>
      <w:bookmarkStart w:id="260" w:name="_Toc22219"/>
      <w:bookmarkStart w:id="261" w:name="_Toc8586"/>
      <w:r>
        <w:rPr>
          <w:rFonts w:hint="eastAsia" w:ascii="仿宋_GB2312" w:hAnsi="仿宋_GB2312" w:eastAsia="仿宋_GB2312" w:cs="仿宋_GB2312"/>
          <w:b/>
          <w:bCs/>
          <w:color w:val="000000"/>
          <w:kern w:val="0"/>
          <w:sz w:val="32"/>
          <w:szCs w:val="32"/>
          <w:lang w:val="en-US" w:eastAsia="zh-CN" w:bidi="ar"/>
        </w:rPr>
        <w:t>3.加强宣传推广</w:t>
      </w:r>
      <w:bookmarkEnd w:id="252"/>
      <w:bookmarkEnd w:id="253"/>
      <w:bookmarkEnd w:id="254"/>
      <w:bookmarkEnd w:id="255"/>
      <w:bookmarkEnd w:id="256"/>
      <w:bookmarkEnd w:id="257"/>
      <w:bookmarkEnd w:id="258"/>
      <w:bookmarkEnd w:id="259"/>
      <w:bookmarkEnd w:id="260"/>
      <w:bookmarkEnd w:id="261"/>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进一步加强宣传造势，从资源、技术、产品等方向对煤矸石综合利用产业进行宣传推广。通过举办全国性煤矸石综合利用专业会议、会展、论坛等活动形式打响抚顺在煤矸石综合利用产业发展领域的知名度。通过创新创业大赛等形式鼓励科研院院所、高等院校加强对煤矸石综合利用产业的人力、物力的投入，推动科研院院所、高等院校将研究重点向煤矸石综合利用方向倾斜。开展煤矸石综合利用优秀企业评选工作，对获奖企业在资金、用地、产品推广等方面给予扶持。</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1"/>
        <w:rPr>
          <w:rFonts w:hint="eastAsia" w:ascii="仿宋_GB2312" w:hAnsi="仿宋_GB2312" w:eastAsia="仿宋_GB2312" w:cs="仿宋_GB2312"/>
          <w:b/>
          <w:bCs/>
          <w:color w:val="000000"/>
          <w:kern w:val="0"/>
          <w:sz w:val="32"/>
          <w:szCs w:val="32"/>
          <w:lang w:val="en-US" w:eastAsia="zh-CN" w:bidi="ar"/>
        </w:rPr>
      </w:pPr>
      <w:bookmarkStart w:id="262" w:name="_Toc11194"/>
      <w:bookmarkStart w:id="263" w:name="_Toc833"/>
      <w:bookmarkStart w:id="264" w:name="_Toc19746"/>
      <w:bookmarkStart w:id="265" w:name="_Toc6616"/>
      <w:bookmarkStart w:id="266" w:name="_Toc4038"/>
      <w:bookmarkStart w:id="267" w:name="_Toc27114"/>
      <w:bookmarkStart w:id="268" w:name="_Toc5034"/>
      <w:bookmarkStart w:id="269" w:name="_Toc10576"/>
      <w:bookmarkStart w:id="270" w:name="_Toc24436"/>
      <w:bookmarkStart w:id="271" w:name="_Toc3293"/>
      <w:bookmarkStart w:id="272" w:name="_Toc20537"/>
      <w:bookmarkStart w:id="273" w:name="_Toc12242"/>
      <w:r>
        <w:rPr>
          <w:rFonts w:hint="eastAsia" w:ascii="仿宋_GB2312" w:hAnsi="仿宋_GB2312" w:eastAsia="仿宋_GB2312" w:cs="仿宋_GB2312"/>
          <w:b/>
          <w:bCs/>
          <w:color w:val="000000"/>
          <w:kern w:val="0"/>
          <w:sz w:val="32"/>
          <w:szCs w:val="32"/>
          <w:lang w:val="en-US" w:eastAsia="zh-CN" w:bidi="ar"/>
        </w:rPr>
        <w:t>（四）加强对外合作交流</w:t>
      </w:r>
      <w:bookmarkEnd w:id="262"/>
      <w:bookmarkEnd w:id="263"/>
      <w:bookmarkEnd w:id="264"/>
      <w:bookmarkEnd w:id="265"/>
      <w:bookmarkEnd w:id="266"/>
      <w:bookmarkEnd w:id="267"/>
      <w:bookmarkEnd w:id="268"/>
      <w:bookmarkEnd w:id="269"/>
      <w:bookmarkEnd w:id="270"/>
      <w:bookmarkEnd w:id="271"/>
      <w:bookmarkEnd w:id="272"/>
      <w:bookmarkEnd w:id="273"/>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274" w:name="_Toc31982"/>
      <w:bookmarkStart w:id="275" w:name="_Toc5417"/>
      <w:bookmarkStart w:id="276" w:name="_Toc11448"/>
      <w:bookmarkStart w:id="277" w:name="_Toc8726"/>
      <w:bookmarkStart w:id="278" w:name="_Toc24668"/>
      <w:bookmarkStart w:id="279" w:name="_Toc4847"/>
      <w:bookmarkStart w:id="280" w:name="_Toc17157"/>
      <w:bookmarkStart w:id="281" w:name="_Toc16222"/>
      <w:bookmarkStart w:id="282" w:name="_Toc24454"/>
      <w:bookmarkStart w:id="283" w:name="_Toc13156"/>
      <w:r>
        <w:rPr>
          <w:rFonts w:hint="eastAsia" w:ascii="仿宋_GB2312" w:hAnsi="仿宋_GB2312" w:eastAsia="仿宋_GB2312" w:cs="仿宋_GB2312"/>
          <w:b/>
          <w:bCs/>
          <w:color w:val="000000"/>
          <w:kern w:val="0"/>
          <w:sz w:val="32"/>
          <w:szCs w:val="32"/>
          <w:lang w:val="en-US" w:eastAsia="zh-CN" w:bidi="ar"/>
        </w:rPr>
        <w:t>1.加强国内交流合作</w:t>
      </w:r>
      <w:bookmarkEnd w:id="274"/>
      <w:bookmarkEnd w:id="275"/>
      <w:bookmarkEnd w:id="276"/>
      <w:bookmarkEnd w:id="277"/>
      <w:bookmarkEnd w:id="278"/>
      <w:bookmarkEnd w:id="279"/>
      <w:bookmarkEnd w:id="280"/>
      <w:bookmarkEnd w:id="281"/>
      <w:bookmarkEnd w:id="282"/>
      <w:bookmarkEnd w:id="283"/>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充分利用建设全国大宗固体废弃物综合利用示范基地的契机，以高附加值煤矸石综合利用试点示范应用项目为突破口，在全市范围内促进产业链上下游企业资源共享和优势互补，积极带动相关产业发展，促进产业链完善。支持企业与国内知名科研院所、高等院校合作，引进煤矸石综合利用技术成果在抚顺市孵化、产业化。以望花大宗固体废弃物综合利用产业园区、胜利经济开发区大宗固体废弃物综合利用产业园区为重点，提升园区对外开放和合作发展水平，提高对煤矸石综合利用项目的引进能力。充分发挥抚顺市煤矸石资源优势，积极开展与我国优秀大宗固体废弃物综合利用示范基地的技术、人才、产品等的交流合作，通过技术交流、人才引进，加强全国范围内煤矸石综合利用产业的深入合作。</w:t>
      </w:r>
    </w:p>
    <w:p>
      <w:pPr>
        <w:pStyle w:val="10"/>
        <w:keepNext w:val="0"/>
        <w:keepLines w:val="0"/>
        <w:pageBreakBefore w:val="0"/>
        <w:widowControl w:val="0"/>
        <w:kinsoku/>
        <w:wordWrap/>
        <w:overflowPunct/>
        <w:topLinePunct w:val="0"/>
        <w:autoSpaceDE/>
        <w:autoSpaceDN/>
        <w:bidi w:val="0"/>
        <w:adjustRightInd/>
        <w:spacing w:line="360" w:lineRule="auto"/>
        <w:ind w:left="0" w:leftChars="0" w:firstLine="643" w:firstLineChars="200"/>
        <w:jc w:val="both"/>
        <w:textAlignment w:val="auto"/>
        <w:outlineLvl w:val="2"/>
        <w:rPr>
          <w:rFonts w:hint="eastAsia" w:ascii="仿宋_GB2312" w:hAnsi="仿宋_GB2312" w:eastAsia="仿宋_GB2312" w:cs="仿宋_GB2312"/>
          <w:b/>
          <w:bCs/>
          <w:color w:val="000000"/>
          <w:kern w:val="0"/>
          <w:sz w:val="32"/>
          <w:szCs w:val="32"/>
          <w:lang w:val="en-US" w:eastAsia="zh-CN" w:bidi="ar"/>
        </w:rPr>
      </w:pPr>
      <w:bookmarkStart w:id="284" w:name="_Toc18774"/>
      <w:bookmarkStart w:id="285" w:name="_Toc29761"/>
      <w:bookmarkStart w:id="286" w:name="_Toc29896"/>
      <w:bookmarkStart w:id="287" w:name="_Toc13412"/>
      <w:bookmarkStart w:id="288" w:name="_Toc30961"/>
      <w:bookmarkStart w:id="289" w:name="_Toc22265"/>
      <w:bookmarkStart w:id="290" w:name="_Toc1623"/>
      <w:bookmarkStart w:id="291" w:name="_Toc2352"/>
      <w:bookmarkStart w:id="292" w:name="_Toc29380"/>
      <w:bookmarkStart w:id="293" w:name="_Toc3357"/>
      <w:r>
        <w:rPr>
          <w:rFonts w:hint="eastAsia" w:ascii="仿宋_GB2312" w:hAnsi="仿宋_GB2312" w:eastAsia="仿宋_GB2312" w:cs="仿宋_GB2312"/>
          <w:b/>
          <w:bCs/>
          <w:color w:val="000000"/>
          <w:kern w:val="0"/>
          <w:sz w:val="32"/>
          <w:szCs w:val="32"/>
          <w:lang w:val="en-US" w:eastAsia="zh-CN" w:bidi="ar"/>
        </w:rPr>
        <w:t>2.深化国际交流合作</w:t>
      </w:r>
      <w:bookmarkEnd w:id="284"/>
      <w:bookmarkEnd w:id="285"/>
      <w:bookmarkEnd w:id="286"/>
      <w:bookmarkEnd w:id="287"/>
      <w:bookmarkEnd w:id="288"/>
      <w:bookmarkEnd w:id="289"/>
      <w:bookmarkEnd w:id="290"/>
      <w:bookmarkEnd w:id="291"/>
      <w:bookmarkEnd w:id="292"/>
      <w:bookmarkEnd w:id="293"/>
    </w:p>
    <w:p>
      <w:pPr>
        <w:pStyle w:val="10"/>
        <w:keepNext w:val="0"/>
        <w:keepLines w:val="0"/>
        <w:pageBreakBefore w:val="0"/>
        <w:widowControl w:val="0"/>
        <w:kinsoku/>
        <w:wordWrap/>
        <w:overflowPunct/>
        <w:topLinePunct w:val="0"/>
        <w:autoSpaceDE/>
        <w:autoSpaceDN/>
        <w:bidi w:val="0"/>
        <w:adjustRightInd/>
        <w:spacing w:line="360" w:lineRule="auto"/>
        <w:ind w:left="0" w:lef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充分利用全球创新资源，鼓励外资企业到抚顺设立生产基地、分公司等，支持外商投资企业与内资企业、研究机构合作申请国家、省级科技计划项目等。重点引进具有市场潜力和潜在竞争优势的先进技术、知识产权等。鼓励有实力的企业积极与美国、匈牙利、法国、英国等国际一流的科研机构研究开发合作，支持企业跨国跨地区与国际知名高校、科研院所开展煤矸石综合利用领域的学术交流和项目共建，设立联合研发基地，加强企业和产品的国际认证合作。</w:t>
      </w:r>
    </w:p>
    <w:p>
      <w:pPr>
        <w:keepNext w:val="0"/>
        <w:keepLines w:val="0"/>
        <w:kinsoku/>
        <w:wordWrap/>
        <w:overflowPunct/>
        <w:topLinePunct w:val="0"/>
        <w:autoSpaceDE/>
        <w:autoSpaceDN/>
        <w:bidi w:val="0"/>
        <w:spacing w:line="360" w:lineRule="auto"/>
        <w:ind w:left="0" w:leftChars="0" w:firstLine="640"/>
        <w:jc w:val="both"/>
        <w:rPr>
          <w:rFonts w:hint="eastAsia" w:ascii="Times New Roman" w:hAnsi="Times New Roman" w:eastAsia="楷体_GB2312"/>
          <w:b/>
          <w:color w:val="000000"/>
          <w:kern w:val="0"/>
          <w:szCs w:val="32"/>
          <w:lang w:val="en-US" w:eastAsia="zh-CN"/>
        </w:rPr>
      </w:pPr>
    </w:p>
    <w:p>
      <w:pPr>
        <w:keepNext w:val="0"/>
        <w:keepLines w:val="0"/>
        <w:kinsoku/>
        <w:wordWrap/>
        <w:overflowPunct/>
        <w:topLinePunct w:val="0"/>
        <w:autoSpaceDE/>
        <w:autoSpaceDN/>
        <w:bidi w:val="0"/>
        <w:spacing w:line="360" w:lineRule="auto"/>
        <w:ind w:left="0" w:leftChars="0"/>
        <w:jc w:val="both"/>
        <w:outlineLvl w:val="0"/>
        <w:rPr>
          <w:rFonts w:hint="eastAsia" w:ascii="仿宋" w:hAnsi="仿宋" w:eastAsia="仿宋" w:cs="仿宋"/>
          <w:b/>
          <w:bCs/>
          <w:color w:val="000000"/>
          <w:kern w:val="0"/>
          <w:sz w:val="32"/>
          <w:szCs w:val="32"/>
          <w:lang w:val="en-US" w:eastAsia="zh-CN" w:bidi="ar"/>
        </w:rPr>
      </w:pPr>
      <w:bookmarkStart w:id="294" w:name="_Toc17194"/>
      <w:r>
        <w:rPr>
          <w:rFonts w:hint="eastAsia" w:ascii="仿宋" w:hAnsi="仿宋" w:eastAsia="仿宋" w:cs="仿宋"/>
          <w:b/>
          <w:bCs/>
          <w:color w:val="000000"/>
          <w:kern w:val="0"/>
          <w:sz w:val="32"/>
          <w:szCs w:val="32"/>
          <w:lang w:val="en-US" w:eastAsia="zh-CN" w:bidi="ar"/>
        </w:rPr>
        <w:t>附件：</w:t>
      </w:r>
      <w:bookmarkEnd w:id="294"/>
    </w:p>
    <w:p>
      <w:pPr>
        <w:keepNext w:val="0"/>
        <w:keepLines w:val="0"/>
        <w:kinsoku/>
        <w:wordWrap/>
        <w:overflowPunct/>
        <w:topLinePunct w:val="0"/>
        <w:autoSpaceDE/>
        <w:autoSpaceDN/>
        <w:bidi w:val="0"/>
        <w:spacing w:line="360" w:lineRule="auto"/>
        <w:ind w:left="0" w:leftChars="0"/>
        <w:jc w:val="both"/>
        <w:outlineLvl w:val="0"/>
        <w:rPr>
          <w:rFonts w:hint="eastAsia" w:ascii="仿宋_GB2312" w:hAnsi="仿宋_GB2312" w:eastAsia="仿宋_GB2312" w:cs="仿宋_GB2312"/>
          <w:color w:val="000000"/>
          <w:kern w:val="0"/>
          <w:sz w:val="32"/>
          <w:szCs w:val="32"/>
          <w:lang w:val="en-US" w:eastAsia="zh-CN" w:bidi="ar"/>
        </w:rPr>
      </w:pPr>
      <w:bookmarkStart w:id="295" w:name="_Toc23224"/>
      <w:r>
        <w:rPr>
          <w:rFonts w:hint="eastAsia" w:ascii="仿宋_GB2312" w:hAnsi="仿宋_GB2312" w:eastAsia="仿宋_GB2312" w:cs="仿宋_GB2312"/>
          <w:color w:val="000000"/>
          <w:kern w:val="0"/>
          <w:sz w:val="32"/>
          <w:szCs w:val="32"/>
          <w:lang w:val="en-US" w:eastAsia="zh-CN" w:bidi="ar"/>
        </w:rPr>
        <w:t>1.煤矸石综合利用产业发展支持政策</w:t>
      </w:r>
      <w:bookmarkEnd w:id="295"/>
    </w:p>
    <w:p>
      <w:pPr>
        <w:keepNext w:val="0"/>
        <w:keepLines w:val="0"/>
        <w:kinsoku/>
        <w:wordWrap/>
        <w:overflowPunct/>
        <w:topLinePunct w:val="0"/>
        <w:autoSpaceDE/>
        <w:autoSpaceDN/>
        <w:bidi w:val="0"/>
        <w:spacing w:line="360" w:lineRule="auto"/>
        <w:jc w:val="both"/>
        <w:outlineLvl w:val="0"/>
        <w:rPr>
          <w:rFonts w:hint="eastAsia" w:ascii="仿宋_GB2312" w:hAnsi="仿宋_GB2312" w:eastAsia="仿宋_GB2312" w:cs="仿宋_GB2312"/>
          <w:color w:val="000000"/>
          <w:kern w:val="0"/>
          <w:sz w:val="32"/>
          <w:szCs w:val="32"/>
          <w:lang w:val="en-US" w:eastAsia="zh-CN" w:bidi="ar"/>
        </w:rPr>
      </w:pPr>
      <w:bookmarkStart w:id="296" w:name="_Toc21823"/>
      <w:r>
        <w:rPr>
          <w:rFonts w:hint="eastAsia" w:ascii="仿宋_GB2312" w:hAnsi="仿宋_GB2312" w:eastAsia="仿宋_GB2312" w:cs="仿宋_GB2312"/>
          <w:color w:val="000000"/>
          <w:kern w:val="0"/>
          <w:sz w:val="32"/>
          <w:szCs w:val="32"/>
          <w:lang w:val="en-US" w:eastAsia="zh-CN" w:bidi="ar"/>
        </w:rPr>
        <w:t>2.抚顺市促进煤矸石综合利用产业快速发展办法</w:t>
      </w:r>
      <w:bookmarkEnd w:id="296"/>
    </w:p>
    <w:p>
      <w:pPr>
        <w:keepNext w:val="0"/>
        <w:keepLines w:val="0"/>
        <w:kinsoku/>
        <w:wordWrap/>
        <w:overflowPunct/>
        <w:topLinePunct w:val="0"/>
        <w:autoSpaceDE/>
        <w:autoSpaceDN/>
        <w:bidi w:val="0"/>
        <w:spacing w:line="360" w:lineRule="auto"/>
        <w:ind w:left="0" w:leftChars="0"/>
        <w:jc w:val="both"/>
        <w:outlineLvl w:val="9"/>
        <w:rPr>
          <w:rFonts w:hint="eastAsia" w:ascii="楷体_GB2312" w:hAnsi="楷体_GB2312" w:eastAsia="楷体_GB2312" w:cs="楷体_GB2312"/>
          <w:b/>
          <w:bCs/>
          <w:color w:val="000000"/>
          <w:kern w:val="0"/>
          <w:sz w:val="32"/>
          <w:szCs w:val="32"/>
          <w:lang w:val="en-US" w:eastAsia="zh-CN" w:bidi="ar"/>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jc w:val="both"/>
        <w:rPr>
          <w:rFonts w:hint="eastAsia"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firstLine="0" w:firstLineChars="0"/>
        <w:jc w:val="both"/>
        <w:rPr>
          <w:rFonts w:hint="eastAsia" w:eastAsia="楷体_GB2312"/>
          <w:b/>
          <w:color w:val="000000"/>
          <w:kern w:val="0"/>
          <w:szCs w:val="32"/>
          <w:lang w:val="en-US" w:eastAsia="zh-CN"/>
        </w:rPr>
        <w:sectPr>
          <w:pgSz w:w="11906" w:h="16838"/>
          <w:pgMar w:top="1440" w:right="1800" w:bottom="1440" w:left="1800" w:header="851" w:footer="992" w:gutter="0"/>
          <w:cols w:space="425" w:num="1"/>
          <w:docGrid w:type="lines" w:linePitch="312" w:charSpace="0"/>
        </w:sectPr>
      </w:pPr>
    </w:p>
    <w:tbl>
      <w:tblPr>
        <w:tblStyle w:val="15"/>
        <w:tblW w:w="5000" w:type="pct"/>
        <w:tblInd w:w="0" w:type="dxa"/>
        <w:shd w:val="clear" w:color="auto" w:fill="auto"/>
        <w:tblLayout w:type="autofit"/>
        <w:tblCellMar>
          <w:top w:w="0" w:type="dxa"/>
          <w:left w:w="108" w:type="dxa"/>
          <w:bottom w:w="0" w:type="dxa"/>
          <w:right w:w="108" w:type="dxa"/>
        </w:tblCellMar>
      </w:tblPr>
      <w:tblGrid>
        <w:gridCol w:w="915"/>
        <w:gridCol w:w="2753"/>
        <w:gridCol w:w="2600"/>
        <w:gridCol w:w="7906"/>
      </w:tblGrid>
      <w:tr>
        <w:tblPrEx>
          <w:shd w:val="clear" w:color="auto" w:fill="auto"/>
          <w:tblCellMar>
            <w:top w:w="0" w:type="dxa"/>
            <w:left w:w="108" w:type="dxa"/>
            <w:bottom w:w="0" w:type="dxa"/>
            <w:right w:w="108" w:type="dxa"/>
          </w:tblCellMar>
        </w:tblPrEx>
        <w:trPr>
          <w:trHeight w:val="580" w:hRule="atLeast"/>
        </w:trPr>
        <w:tc>
          <w:tcPr>
            <w:tcW w:w="5000" w:type="pct"/>
            <w:gridSpan w:val="4"/>
            <w:tcBorders>
              <w:top w:val="nil"/>
              <w:left w:val="nil"/>
              <w:bottom w:val="nil"/>
              <w:right w:val="nil"/>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宋体" w:hAnsi="宋体" w:eastAsia="宋体" w:cs="宋体"/>
                <w:i w:val="0"/>
                <w:iCs w:val="0"/>
                <w:color w:val="000000"/>
                <w:sz w:val="22"/>
                <w:szCs w:val="22"/>
                <w:u w:val="none"/>
              </w:rPr>
            </w:pPr>
            <w:r>
              <w:rPr>
                <w:rFonts w:hint="eastAsia" w:ascii="仿宋" w:hAnsi="仿宋" w:eastAsia="仿宋" w:cs="仿宋"/>
                <w:b/>
                <w:bCs/>
                <w:i w:val="0"/>
                <w:iCs w:val="0"/>
                <w:color w:val="000000"/>
                <w:kern w:val="0"/>
                <w:sz w:val="32"/>
                <w:szCs w:val="32"/>
                <w:u w:val="none"/>
                <w:lang w:val="en-US" w:eastAsia="zh-CN" w:bidi="ar"/>
              </w:rPr>
              <w:t>附件1：</w:t>
            </w:r>
            <w:r>
              <w:rPr>
                <w:rFonts w:hint="eastAsia" w:ascii="仿宋" w:hAnsi="仿宋" w:eastAsia="仿宋" w:cs="仿宋"/>
                <w:b/>
                <w:bCs/>
                <w:i w:val="0"/>
                <w:iCs w:val="0"/>
                <w:color w:val="000000"/>
                <w:kern w:val="0"/>
                <w:sz w:val="24"/>
                <w:szCs w:val="24"/>
                <w:u w:val="none"/>
                <w:lang w:val="en-US" w:eastAsia="zh-CN" w:bidi="ar"/>
              </w:rPr>
              <w:t xml:space="preserve">                              </w:t>
            </w:r>
            <w:r>
              <w:rPr>
                <w:rFonts w:hint="eastAsia" w:ascii="仿宋" w:hAnsi="仿宋" w:eastAsia="仿宋" w:cs="仿宋"/>
                <w:b/>
                <w:bCs/>
                <w:i w:val="0"/>
                <w:iCs w:val="0"/>
                <w:color w:val="000000"/>
                <w:kern w:val="0"/>
                <w:sz w:val="32"/>
                <w:szCs w:val="32"/>
                <w:u w:val="none"/>
                <w:lang w:val="en-US" w:eastAsia="zh-CN" w:bidi="ar"/>
              </w:rPr>
              <w:t>煤矸石综合利用产业发展支持政策</w:t>
            </w:r>
          </w:p>
        </w:tc>
      </w:tr>
      <w:tr>
        <w:tblPrEx>
          <w:shd w:val="clear" w:color="auto" w:fill="auto"/>
          <w:tblCellMar>
            <w:top w:w="0" w:type="dxa"/>
            <w:left w:w="108" w:type="dxa"/>
            <w:bottom w:w="0" w:type="dxa"/>
            <w:right w:w="108" w:type="dxa"/>
          </w:tblCellMar>
        </w:tblPrEx>
        <w:trPr>
          <w:trHeight w:val="54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年份</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制定部门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政策名称</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default" w:ascii="仿宋" w:hAnsi="仿宋" w:eastAsia="仿宋" w:cs="仿宋"/>
                <w:b/>
                <w:bCs/>
                <w:i w:val="0"/>
                <w:iCs w:val="0"/>
                <w:color w:val="000000"/>
                <w:sz w:val="21"/>
                <w:szCs w:val="21"/>
                <w:u w:val="none"/>
                <w:lang w:val="en-US"/>
              </w:rPr>
            </w:pPr>
            <w:r>
              <w:rPr>
                <w:rFonts w:hint="eastAsia" w:ascii="仿宋" w:hAnsi="仿宋" w:eastAsia="仿宋" w:cs="仿宋"/>
                <w:b/>
                <w:bCs/>
                <w:i w:val="0"/>
                <w:iCs w:val="0"/>
                <w:color w:val="000000"/>
                <w:kern w:val="0"/>
                <w:sz w:val="21"/>
                <w:szCs w:val="21"/>
                <w:u w:val="none"/>
                <w:lang w:val="en-US" w:eastAsia="zh-CN" w:bidi="ar"/>
              </w:rPr>
              <w:t>内容摘编</w:t>
            </w:r>
          </w:p>
        </w:tc>
      </w:tr>
      <w:tr>
        <w:tblPrEx>
          <w:shd w:val="clear" w:color="auto" w:fill="auto"/>
          <w:tblCellMar>
            <w:top w:w="0" w:type="dxa"/>
            <w:left w:w="108" w:type="dxa"/>
            <w:bottom w:w="0" w:type="dxa"/>
            <w:right w:w="108" w:type="dxa"/>
          </w:tblCellMar>
        </w:tblPrEx>
        <w:trPr>
          <w:trHeight w:val="135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1998年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国家经贸委、煤炭部、财政部、电力部、建设部、国家税务总局、国家土地管理局、国家建材局等8部门联合发布</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《煤矸石综合利用管理办法》</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强煤矸石综合利用的政策引导和顶层设计。煤矸石的综合利用包括：利用煤矸石发电、生产建筑材料、回收有益矿产品、制取化工产品、改良土壤、生产肥料、回填(包括建筑回填、填低洼地和荒地、充填矿井采空区、煤矿塌陷区复垦)、筑路等。</w:t>
            </w:r>
          </w:p>
        </w:tc>
      </w:tr>
      <w:tr>
        <w:tblPrEx>
          <w:shd w:val="clear" w:color="auto" w:fill="auto"/>
          <w:tblCellMar>
            <w:top w:w="0" w:type="dxa"/>
            <w:left w:w="108" w:type="dxa"/>
            <w:bottom w:w="0" w:type="dxa"/>
            <w:right w:w="108" w:type="dxa"/>
          </w:tblCellMar>
        </w:tblPrEx>
        <w:trPr>
          <w:trHeight w:val="243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1999年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国家经济委员会、</w:t>
            </w:r>
          </w:p>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科学技术部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《煤矸石综合利用技术政策要点》</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明确提出煤矸石综合利用要坚持“因地制宜，积极利用”的指导思想，实行“谁排放、谁治理”“谁利用、谁受益”的原则；将资源化利用与企业发展相结合，资源化利用与污染治理相结合，实现经济效益、环境效益、社会效益的统一。煤矸石综合利用以大宗量利用为重点，将煤矸石发电、煤矸石建材及制品、复垦回填以及煤矸石山无害化处理等大宗量利用煤矸石技术作为主攻方向，发展高科技含量、高附加值的煤矸石综合利用技术和产品。</w:t>
            </w:r>
          </w:p>
        </w:tc>
      </w:tr>
      <w:tr>
        <w:tblPrEx>
          <w:shd w:val="clear" w:color="auto" w:fill="auto"/>
          <w:tblCellMar>
            <w:top w:w="0" w:type="dxa"/>
            <w:left w:w="108" w:type="dxa"/>
            <w:bottom w:w="0" w:type="dxa"/>
            <w:right w:w="108" w:type="dxa"/>
          </w:tblCellMar>
        </w:tblPrEx>
        <w:trPr>
          <w:trHeight w:val="270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2013年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国家能源局、财政部、国土资源部、环保部联合下发</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《煤矿充填开采工作指导意见》</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充分利用煤矸石。新建煤矿不再设立永久性地面矸石山，临时周转堆存的煤矸石要制定综合利用方案，优先用于井下充填。既有煤矿已经排放的煤矸石等固体废弃物不得在地面长时间堆存，要积极开展综合利用，重点用于保安煤柱、边角残煤置换开采和建筑材料生产。鼓励煤矿在井下进行毛煤预排矸或建设井下选煤系统，矸石直接在井下用于充填开采，减少提升能耗和无效运输。煤矿要根据年矸石固体废弃物排放总量，统筹安排煤柱留设、充填开采区域布置和采区接替，为实施充填开采创造有利条件。</w:t>
            </w:r>
          </w:p>
        </w:tc>
      </w:tr>
      <w:tr>
        <w:tblPrEx>
          <w:shd w:val="clear" w:color="auto" w:fill="auto"/>
          <w:tblCellMar>
            <w:top w:w="0" w:type="dxa"/>
            <w:left w:w="108" w:type="dxa"/>
            <w:bottom w:w="0" w:type="dxa"/>
            <w:right w:w="108" w:type="dxa"/>
          </w:tblCellMar>
        </w:tblPrEx>
        <w:trPr>
          <w:trHeight w:val="135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2015年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国家发展和改革委员会 科学技术部 工业和信息化部等10部门联合发布</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《煤矸石综合利用管理办法（2014年修订版）》</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矸石综合利用应当坚持减少排放和扩大利用相结合，实行就近利用、分类利用、大宗利用、高附加值利用，提升技术水平，实现经济效益、社会效益和环境效益有机统一，加强全过程管理，提高煤矸石利用量和利用率。</w:t>
            </w:r>
          </w:p>
        </w:tc>
      </w:tr>
      <w:tr>
        <w:tblPrEx>
          <w:shd w:val="clear" w:color="auto" w:fill="auto"/>
          <w:tblCellMar>
            <w:top w:w="0" w:type="dxa"/>
            <w:left w:w="108" w:type="dxa"/>
            <w:bottom w:w="0" w:type="dxa"/>
            <w:right w:w="108" w:type="dxa"/>
          </w:tblCellMar>
        </w:tblPrEx>
        <w:trPr>
          <w:trHeight w:val="108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2015年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国家能源局</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《煤炭清洁高效利用行动计划（2015-2020年）》</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推进废弃物资源化利用，减少污染物排放。加大煤矸石、煤泥、煤矿瓦斯、矿井水等资源化利用的力度。推广矸石井下充填技术，实现煤矸石综合利用率不低于80%。</w:t>
            </w:r>
          </w:p>
        </w:tc>
      </w:tr>
      <w:tr>
        <w:tblPrEx>
          <w:tblCellMar>
            <w:top w:w="0" w:type="dxa"/>
            <w:left w:w="108" w:type="dxa"/>
            <w:bottom w:w="0" w:type="dxa"/>
            <w:right w:w="108" w:type="dxa"/>
          </w:tblCellMar>
        </w:tblPrEx>
        <w:trPr>
          <w:trHeight w:val="54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2021年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中华人民共和国政府</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《中华人民共和国国民经济和社会发展第十四个五年规划和2035年远景目标纲要》</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加强大宗固体废弃物综合利用，规范发展再制造产业。</w:t>
            </w:r>
          </w:p>
        </w:tc>
      </w:tr>
      <w:tr>
        <w:tblPrEx>
          <w:shd w:val="clear" w:color="auto" w:fill="auto"/>
          <w:tblCellMar>
            <w:top w:w="0" w:type="dxa"/>
            <w:left w:w="108" w:type="dxa"/>
            <w:bottom w:w="0" w:type="dxa"/>
            <w:right w:w="108" w:type="dxa"/>
          </w:tblCellMar>
        </w:tblPrEx>
        <w:trPr>
          <w:trHeight w:val="189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2021年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生态环境部</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《关于“十四五”大宗固体废弃物综合利用的指导意见》</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提出持续提高煤矸石和粉煤灰综合利用水平，推进煤矸石和粉煤灰在工程建设、塌陷区治理、矿井充填以及盐碱地、沙漠化土地生态修复等领域的利用，有序引导利用煤矸石、粉煤灰生产新型墙体材料、装饰装修材料等绿色建材，在风险可控前提下深入推动农业领域应用和有价组分提取，加强大掺量和高附加值产品应用推广。</w:t>
            </w:r>
          </w:p>
        </w:tc>
      </w:tr>
      <w:tr>
        <w:tblPrEx>
          <w:shd w:val="clear" w:color="auto" w:fill="auto"/>
          <w:tblCellMar>
            <w:top w:w="0" w:type="dxa"/>
            <w:left w:w="108" w:type="dxa"/>
            <w:bottom w:w="0" w:type="dxa"/>
            <w:right w:w="108" w:type="dxa"/>
          </w:tblCellMar>
        </w:tblPrEx>
        <w:trPr>
          <w:trHeight w:val="108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2021年</w:t>
            </w:r>
          </w:p>
        </w:tc>
        <w:tc>
          <w:tcPr>
            <w:tcW w:w="9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国家发展改革委</w:t>
            </w:r>
          </w:p>
        </w:tc>
        <w:tc>
          <w:tcPr>
            <w:tcW w:w="9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《关于开展大宗固体废弃物综合利用示范的通知》</w:t>
            </w:r>
          </w:p>
        </w:tc>
        <w:tc>
          <w:tcPr>
            <w:tcW w:w="27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kinsoku/>
              <w:wordWrap/>
              <w:overflowPunct/>
              <w:topLinePunct w:val="0"/>
              <w:autoSpaceDE/>
              <w:autoSpaceDN/>
              <w:bidi w:val="0"/>
              <w:spacing w:line="360" w:lineRule="auto"/>
              <w:ind w:left="0" w:leftChars="0" w:firstLine="420" w:firstLineChars="200"/>
              <w:jc w:val="both"/>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到2025年，建设50个大宗固废综合利用示范基地（以下简称“示范基地”），示范基地大宗固废综合利用率达到75%以上，对区域降碳支撑能力显著增强。辽宁省示范基地包括抚顺市、阜新市、朝阳市。</w:t>
            </w:r>
          </w:p>
        </w:tc>
      </w:tr>
    </w:tbl>
    <w:p>
      <w:pPr>
        <w:pStyle w:val="6"/>
        <w:keepNext w:val="0"/>
        <w:keepLines w:val="0"/>
        <w:kinsoku/>
        <w:wordWrap/>
        <w:overflowPunct/>
        <w:topLinePunct w:val="0"/>
        <w:autoSpaceDE/>
        <w:autoSpaceDN/>
        <w:bidi w:val="0"/>
        <w:spacing w:line="360" w:lineRule="auto"/>
        <w:ind w:left="0" w:leftChars="0" w:firstLine="0" w:firstLineChars="0"/>
        <w:jc w:val="both"/>
        <w:rPr>
          <w:rFonts w:hint="eastAsia" w:ascii="仿宋" w:hAnsi="仿宋" w:eastAsia="仿宋" w:cs="仿宋"/>
          <w:b/>
          <w:color w:val="000000"/>
          <w:kern w:val="0"/>
          <w:sz w:val="21"/>
          <w:szCs w:val="21"/>
          <w:lang w:val="en-US" w:eastAsia="zh-CN"/>
        </w:rPr>
      </w:pPr>
    </w:p>
    <w:p>
      <w:pPr>
        <w:pStyle w:val="6"/>
        <w:keepNext w:val="0"/>
        <w:keepLines w:val="0"/>
        <w:kinsoku/>
        <w:wordWrap/>
        <w:overflowPunct/>
        <w:topLinePunct w:val="0"/>
        <w:autoSpaceDE/>
        <w:autoSpaceDN/>
        <w:bidi w:val="0"/>
        <w:spacing w:line="360" w:lineRule="auto"/>
        <w:ind w:left="0" w:leftChars="0" w:firstLine="0" w:firstLineChars="0"/>
        <w:jc w:val="both"/>
        <w:rPr>
          <w:rFonts w:hint="default"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firstLine="0" w:firstLineChars="0"/>
        <w:jc w:val="both"/>
        <w:rPr>
          <w:rFonts w:hint="default"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firstLine="0" w:firstLineChars="0"/>
        <w:jc w:val="both"/>
        <w:rPr>
          <w:rFonts w:hint="default" w:eastAsia="楷体_GB2312"/>
          <w:b/>
          <w:color w:val="000000"/>
          <w:kern w:val="0"/>
          <w:szCs w:val="32"/>
          <w:lang w:val="en-US" w:eastAsia="zh-CN"/>
        </w:rPr>
      </w:pPr>
    </w:p>
    <w:p>
      <w:pPr>
        <w:pStyle w:val="6"/>
        <w:keepNext w:val="0"/>
        <w:keepLines w:val="0"/>
        <w:kinsoku/>
        <w:wordWrap/>
        <w:overflowPunct/>
        <w:topLinePunct w:val="0"/>
        <w:autoSpaceDE/>
        <w:autoSpaceDN/>
        <w:bidi w:val="0"/>
        <w:spacing w:line="360" w:lineRule="auto"/>
        <w:ind w:left="0" w:leftChars="0" w:firstLine="0" w:firstLineChars="0"/>
        <w:jc w:val="both"/>
        <w:rPr>
          <w:rFonts w:hint="default" w:eastAsia="楷体_GB2312"/>
          <w:b/>
          <w:color w:val="000000"/>
          <w:kern w:val="0"/>
          <w:szCs w:val="32"/>
          <w:lang w:val="en-US" w:eastAsia="zh-CN"/>
        </w:rPr>
        <w:sectPr>
          <w:pgSz w:w="16838" w:h="11906" w:orient="landscape"/>
          <w:pgMar w:top="1800" w:right="1440" w:bottom="1800" w:left="1440" w:header="851" w:footer="992" w:gutter="0"/>
          <w:cols w:space="425" w:num="1"/>
          <w:docGrid w:type="lines" w:linePitch="312" w:charSpace="0"/>
        </w:sectPr>
      </w:pPr>
    </w:p>
    <w:p>
      <w:pPr>
        <w:pStyle w:val="6"/>
        <w:keepNext w:val="0"/>
        <w:keepLines w:val="0"/>
        <w:kinsoku/>
        <w:wordWrap/>
        <w:overflowPunct/>
        <w:topLinePunct w:val="0"/>
        <w:autoSpaceDE/>
        <w:autoSpaceDN/>
        <w:bidi w:val="0"/>
        <w:spacing w:line="360" w:lineRule="auto"/>
        <w:ind w:left="0" w:leftChars="0" w:firstLine="0" w:firstLineChars="0"/>
        <w:jc w:val="both"/>
        <w:rPr>
          <w:rFonts w:hint="eastAsia" w:ascii="仿宋" w:hAnsi="仿宋" w:eastAsia="仿宋" w:cs="仿宋"/>
          <w:b/>
          <w:bCs/>
          <w:i w:val="0"/>
          <w:iCs w:val="0"/>
          <w:color w:val="000000"/>
          <w:kern w:val="0"/>
          <w:sz w:val="32"/>
          <w:szCs w:val="32"/>
          <w:u w:val="none"/>
          <w:lang w:val="en-US" w:eastAsia="zh-CN" w:bidi="ar"/>
        </w:rPr>
      </w:pPr>
      <w:r>
        <w:rPr>
          <w:rFonts w:hint="eastAsia" w:ascii="仿宋" w:hAnsi="仿宋" w:eastAsia="仿宋" w:cs="仿宋"/>
          <w:b/>
          <w:bCs/>
          <w:i w:val="0"/>
          <w:iCs w:val="0"/>
          <w:color w:val="000000"/>
          <w:kern w:val="0"/>
          <w:sz w:val="32"/>
          <w:szCs w:val="32"/>
          <w:u w:val="none"/>
          <w:lang w:val="en-US" w:eastAsia="zh-CN" w:bidi="ar"/>
        </w:rPr>
        <w:t>附件2：</w:t>
      </w:r>
    </w:p>
    <w:p>
      <w:pPr>
        <w:pStyle w:val="6"/>
        <w:keepNext w:val="0"/>
        <w:keepLines w:val="0"/>
        <w:kinsoku/>
        <w:wordWrap/>
        <w:overflowPunct/>
        <w:topLinePunct w:val="0"/>
        <w:autoSpaceDE/>
        <w:autoSpaceDN/>
        <w:bidi w:val="0"/>
        <w:spacing w:line="360" w:lineRule="auto"/>
        <w:ind w:left="0" w:leftChars="0" w:firstLine="0" w:firstLineChars="0"/>
        <w:jc w:val="both"/>
        <w:rPr>
          <w:rFonts w:hint="eastAsia" w:ascii="仿宋" w:hAnsi="仿宋" w:eastAsia="仿宋" w:cs="仿宋"/>
          <w:b/>
          <w:bCs/>
          <w:i w:val="0"/>
          <w:iCs w:val="0"/>
          <w:color w:val="000000"/>
          <w:kern w:val="0"/>
          <w:sz w:val="32"/>
          <w:szCs w:val="32"/>
          <w:u w:val="none"/>
          <w:lang w:val="en-US" w:eastAsia="zh-CN" w:bidi="ar"/>
        </w:rPr>
      </w:pPr>
    </w:p>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sz w:val="44"/>
          <w:szCs w:val="30"/>
        </w:rPr>
      </w:pPr>
      <w:bookmarkStart w:id="297" w:name="_Toc14108211"/>
      <w:r>
        <w:rPr>
          <w:rFonts w:hint="eastAsia" w:ascii="仿宋" w:hAnsi="仿宋" w:eastAsia="仿宋" w:cs="仿宋"/>
          <w:b/>
          <w:bCs/>
          <w:sz w:val="44"/>
          <w:szCs w:val="30"/>
        </w:rPr>
        <w:t>抚顺市促进煤矸石综合利用产业</w:t>
      </w:r>
    </w:p>
    <w:p>
      <w:pPr>
        <w:keepNext w:val="0"/>
        <w:keepLines w:val="0"/>
        <w:kinsoku/>
        <w:wordWrap/>
        <w:overflowPunct/>
        <w:topLinePunct w:val="0"/>
        <w:autoSpaceDE/>
        <w:autoSpaceDN/>
        <w:bidi w:val="0"/>
        <w:spacing w:line="360" w:lineRule="auto"/>
        <w:ind w:left="0" w:leftChars="0"/>
        <w:jc w:val="center"/>
        <w:rPr>
          <w:rFonts w:hint="eastAsia" w:ascii="仿宋" w:hAnsi="仿宋" w:eastAsia="仿宋" w:cs="仿宋"/>
          <w:b/>
          <w:bCs/>
          <w:sz w:val="44"/>
          <w:szCs w:val="30"/>
          <w:lang w:val="en-US"/>
        </w:rPr>
      </w:pPr>
      <w:r>
        <w:rPr>
          <w:rFonts w:hint="eastAsia" w:ascii="仿宋" w:hAnsi="仿宋" w:eastAsia="仿宋" w:cs="仿宋"/>
          <w:b/>
          <w:bCs/>
          <w:sz w:val="44"/>
          <w:szCs w:val="30"/>
        </w:rPr>
        <w:t>快速发展</w:t>
      </w:r>
      <w:r>
        <w:rPr>
          <w:rFonts w:hint="eastAsia" w:ascii="仿宋" w:hAnsi="仿宋" w:eastAsia="仿宋" w:cs="仿宋"/>
          <w:b/>
          <w:bCs/>
          <w:sz w:val="44"/>
          <w:szCs w:val="30"/>
          <w:lang w:val="en-US"/>
        </w:rPr>
        <w:t>办法</w:t>
      </w:r>
    </w:p>
    <w:p>
      <w:pPr>
        <w:keepNext w:val="0"/>
        <w:keepLines w:val="0"/>
        <w:kinsoku/>
        <w:wordWrap/>
        <w:overflowPunct/>
        <w:topLinePunct w:val="0"/>
        <w:autoSpaceDE/>
        <w:autoSpaceDN/>
        <w:bidi w:val="0"/>
        <w:spacing w:line="360" w:lineRule="auto"/>
        <w:ind w:left="0" w:leftChars="0"/>
        <w:jc w:val="both"/>
        <w:rPr>
          <w:rFonts w:hint="default" w:ascii="楷体" w:hAnsi="楷体" w:eastAsia="黑体"/>
          <w:b w:val="0"/>
          <w:sz w:val="44"/>
          <w:szCs w:val="30"/>
          <w:lang w:val="en-US"/>
        </w:rPr>
      </w:pPr>
    </w:p>
    <w:p>
      <w:pPr>
        <w:keepNext w:val="0"/>
        <w:keepLines w:val="0"/>
        <w:pageBreakBefore w:val="0"/>
        <w:numPr>
          <w:ilvl w:val="0"/>
          <w:numId w:val="5"/>
        </w:numPr>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hint="eastAsia" w:eastAsia="仿宋"/>
          <w:sz w:val="32"/>
          <w:szCs w:val="32"/>
        </w:rPr>
      </w:pPr>
      <w:r>
        <w:rPr>
          <w:rFonts w:eastAsia="仿宋"/>
          <w:b/>
          <w:bCs/>
          <w:sz w:val="32"/>
          <w:szCs w:val="32"/>
        </w:rPr>
        <w:t>鼓励支持具有一定规模的产业开发建设项目</w:t>
      </w:r>
      <w:r>
        <w:rPr>
          <w:rFonts w:hint="eastAsia" w:eastAsia="仿宋"/>
          <w:b/>
          <w:bCs/>
          <w:sz w:val="32"/>
          <w:szCs w:val="32"/>
        </w:rPr>
        <w:t>。</w:t>
      </w:r>
      <w:r>
        <w:rPr>
          <w:rFonts w:hint="eastAsia" w:eastAsia="仿宋"/>
          <w:sz w:val="32"/>
          <w:szCs w:val="32"/>
        </w:rPr>
        <w:t>依据国家和省现行大宗固废综合利用有关规定和政策，立足</w:t>
      </w:r>
      <w:r>
        <w:rPr>
          <w:rFonts w:eastAsia="仿宋"/>
          <w:sz w:val="32"/>
          <w:szCs w:val="32"/>
        </w:rPr>
        <w:t>抚顺市煤矸石综合利用产业发展</w:t>
      </w:r>
      <w:r>
        <w:rPr>
          <w:rFonts w:hint="eastAsia" w:eastAsia="仿宋"/>
          <w:sz w:val="32"/>
          <w:szCs w:val="32"/>
        </w:rPr>
        <w:t>现状</w:t>
      </w:r>
      <w:r>
        <w:rPr>
          <w:rFonts w:eastAsia="仿宋"/>
          <w:sz w:val="32"/>
          <w:szCs w:val="32"/>
        </w:rPr>
        <w:t>，鼓励</w:t>
      </w:r>
      <w:r>
        <w:rPr>
          <w:rFonts w:hint="eastAsia" w:eastAsia="仿宋"/>
          <w:sz w:val="32"/>
          <w:szCs w:val="32"/>
        </w:rPr>
        <w:t>支持</w:t>
      </w:r>
      <w:r>
        <w:rPr>
          <w:rFonts w:eastAsia="仿宋"/>
          <w:sz w:val="32"/>
          <w:szCs w:val="32"/>
        </w:rPr>
        <w:t>具有一定规模的高附加值</w:t>
      </w:r>
      <w:r>
        <w:rPr>
          <w:rFonts w:hint="eastAsia" w:eastAsia="仿宋"/>
          <w:sz w:val="32"/>
          <w:szCs w:val="32"/>
        </w:rPr>
        <w:t>、</w:t>
      </w:r>
      <w:r>
        <w:rPr>
          <w:rFonts w:eastAsia="仿宋"/>
          <w:sz w:val="32"/>
          <w:szCs w:val="32"/>
        </w:rPr>
        <w:t>低污染</w:t>
      </w:r>
      <w:r>
        <w:rPr>
          <w:rFonts w:hint="eastAsia" w:eastAsia="仿宋"/>
          <w:sz w:val="32"/>
          <w:szCs w:val="32"/>
        </w:rPr>
        <w:t>、</w:t>
      </w:r>
      <w:r>
        <w:rPr>
          <w:rFonts w:eastAsia="仿宋"/>
          <w:sz w:val="32"/>
          <w:szCs w:val="32"/>
        </w:rPr>
        <w:t>低能耗项目建设</w:t>
      </w:r>
      <w:r>
        <w:rPr>
          <w:rFonts w:hint="eastAsia" w:eastAsia="仿宋"/>
          <w:sz w:val="32"/>
          <w:szCs w:val="32"/>
          <w:lang w:eastAsia="zh-CN"/>
        </w:rPr>
        <w:t>。</w:t>
      </w:r>
      <w:r>
        <w:rPr>
          <w:rFonts w:eastAsia="仿宋"/>
          <w:sz w:val="32"/>
          <w:szCs w:val="32"/>
        </w:rPr>
        <w:t>煤矸石综合利用产业</w:t>
      </w:r>
      <w:r>
        <w:rPr>
          <w:rFonts w:hint="eastAsia" w:eastAsia="仿宋"/>
          <w:sz w:val="32"/>
          <w:szCs w:val="32"/>
          <w:lang w:eastAsia="zh-CN"/>
        </w:rPr>
        <w:t>需</w:t>
      </w:r>
      <w:r>
        <w:rPr>
          <w:rFonts w:eastAsia="仿宋"/>
          <w:sz w:val="32"/>
          <w:szCs w:val="32"/>
        </w:rPr>
        <w:t>做到规划先行、合理布局</w:t>
      </w:r>
      <w:r>
        <w:rPr>
          <w:rFonts w:hint="eastAsia" w:eastAsia="仿宋"/>
          <w:sz w:val="32"/>
          <w:szCs w:val="32"/>
          <w:lang w:eastAsia="zh-CN"/>
        </w:rPr>
        <w:t>，坚决</w:t>
      </w:r>
      <w:r>
        <w:rPr>
          <w:rFonts w:eastAsia="仿宋"/>
          <w:sz w:val="32"/>
          <w:szCs w:val="32"/>
        </w:rPr>
        <w:t>杜绝小而散、无序</w:t>
      </w:r>
      <w:r>
        <w:rPr>
          <w:rFonts w:hint="eastAsia" w:eastAsia="仿宋"/>
          <w:sz w:val="32"/>
          <w:szCs w:val="32"/>
        </w:rPr>
        <w:t>生产</w:t>
      </w:r>
      <w:r>
        <w:rPr>
          <w:rFonts w:hint="eastAsia" w:eastAsia="仿宋"/>
          <w:sz w:val="32"/>
          <w:szCs w:val="32"/>
          <w:lang w:eastAsia="zh-CN"/>
        </w:rPr>
        <w:t>，</w:t>
      </w:r>
      <w:r>
        <w:rPr>
          <w:rFonts w:eastAsia="仿宋"/>
          <w:sz w:val="32"/>
          <w:szCs w:val="32"/>
        </w:rPr>
        <w:t>鼓励支持产业链健全的整建制煤矸石综合利用产业园</w:t>
      </w:r>
      <w:r>
        <w:rPr>
          <w:rFonts w:hint="eastAsia" w:eastAsia="仿宋"/>
          <w:sz w:val="32"/>
          <w:szCs w:val="32"/>
          <w:lang w:eastAsia="zh-CN"/>
        </w:rPr>
        <w:t>区</w:t>
      </w:r>
      <w:r>
        <w:rPr>
          <w:rFonts w:eastAsia="仿宋"/>
          <w:sz w:val="32"/>
          <w:szCs w:val="32"/>
        </w:rPr>
        <w:t>开发建设</w:t>
      </w:r>
      <w:r>
        <w:rPr>
          <w:rFonts w:hint="eastAsia" w:eastAsia="仿宋"/>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hint="eastAsia" w:eastAsia="仿宋"/>
          <w:b/>
          <w:bCs/>
          <w:sz w:val="32"/>
          <w:szCs w:val="32"/>
        </w:rPr>
      </w:pPr>
      <w:r>
        <w:rPr>
          <w:rFonts w:hint="eastAsia" w:eastAsia="仿宋"/>
          <w:b/>
          <w:bCs/>
          <w:sz w:val="32"/>
          <w:szCs w:val="32"/>
        </w:rPr>
        <w:t>（2）建</w:t>
      </w:r>
      <w:r>
        <w:rPr>
          <w:rFonts w:eastAsia="仿宋"/>
          <w:b/>
          <w:bCs/>
          <w:sz w:val="32"/>
          <w:szCs w:val="32"/>
        </w:rPr>
        <w:t>立煤矸石综合利用项目绿色通道</w:t>
      </w:r>
      <w:r>
        <w:rPr>
          <w:rFonts w:hint="eastAsia" w:eastAsia="仿宋"/>
          <w:b/>
          <w:bCs/>
          <w:sz w:val="32"/>
          <w:szCs w:val="32"/>
        </w:rPr>
        <w:t>。</w:t>
      </w:r>
      <w:r>
        <w:rPr>
          <w:rFonts w:hint="eastAsia" w:eastAsia="仿宋"/>
          <w:sz w:val="32"/>
          <w:szCs w:val="32"/>
        </w:rPr>
        <w:t>优化煤矸石综合利用项目审批流程，压缩项目审批时间，实行项目管家制度，市区两级相关部门和项目落地园区派出专人，实行全程保姆式服务，协调解决项目建设中的困难，推动项目尽快落地建设。</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hint="eastAsia" w:eastAsia="仿宋"/>
          <w:sz w:val="32"/>
          <w:szCs w:val="32"/>
        </w:rPr>
      </w:pPr>
      <w:r>
        <w:rPr>
          <w:rFonts w:hint="eastAsia" w:eastAsia="仿宋"/>
          <w:b/>
          <w:bCs/>
          <w:sz w:val="32"/>
          <w:szCs w:val="32"/>
        </w:rPr>
        <w:t>（3）</w:t>
      </w:r>
      <w:r>
        <w:rPr>
          <w:rFonts w:eastAsia="仿宋"/>
          <w:b/>
          <w:bCs/>
          <w:sz w:val="32"/>
          <w:szCs w:val="32"/>
        </w:rPr>
        <w:t>设立煤矸石综合利用产业引导基金</w:t>
      </w:r>
      <w:r>
        <w:rPr>
          <w:rFonts w:hint="eastAsia" w:eastAsia="仿宋"/>
          <w:b/>
          <w:bCs/>
          <w:sz w:val="32"/>
          <w:szCs w:val="32"/>
        </w:rPr>
        <w:t>。</w:t>
      </w:r>
      <w:r>
        <w:rPr>
          <w:rFonts w:hint="eastAsia" w:eastAsia="仿宋"/>
          <w:sz w:val="32"/>
          <w:szCs w:val="32"/>
        </w:rPr>
        <w:t>积极支持和引导社会资金投资煤矸石综合利用产业项目。设立煤矸石产业引导基金，支持煤矸石产业重大工程、重点项目。</w:t>
      </w:r>
      <w:r>
        <w:rPr>
          <w:rFonts w:eastAsia="仿宋"/>
          <w:sz w:val="32"/>
          <w:szCs w:val="32"/>
        </w:rPr>
        <w:t>积极争取国家和省有关部</w:t>
      </w:r>
      <w:r>
        <w:rPr>
          <w:rFonts w:hint="eastAsia" w:eastAsia="仿宋"/>
          <w:sz w:val="32"/>
          <w:szCs w:val="32"/>
        </w:rPr>
        <w:t>门予以支持和投入</w:t>
      </w:r>
      <w:r>
        <w:rPr>
          <w:rFonts w:hint="eastAsia" w:eastAsia="仿宋"/>
          <w:sz w:val="32"/>
          <w:szCs w:val="32"/>
          <w:lang w:eastAsia="zh-CN"/>
        </w:rPr>
        <w:t>，</w:t>
      </w:r>
      <w:r>
        <w:rPr>
          <w:rFonts w:hint="eastAsia" w:eastAsia="仿宋"/>
          <w:sz w:val="32"/>
          <w:szCs w:val="32"/>
        </w:rPr>
        <w:t>发挥市本级财政资金的杠杆效应，全方位、多渠道筹措资金，从产业发展提供财力的增量中拿出相应比例专项用于支持煤矸石利用产业发展，并加强资金管理，实行专账管理、专账核算。财政专项资金使用以贷款贴息为主，通过绩效考评、公开竞争等方式，与股权、风险投资和奖励、投资补助、完善基础设施等方式相结合，撬动社会投资，实现资金效应最大化。</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hint="eastAsia" w:eastAsia="仿宋"/>
          <w:sz w:val="32"/>
          <w:szCs w:val="32"/>
        </w:rPr>
      </w:pPr>
      <w:r>
        <w:rPr>
          <w:rFonts w:hint="eastAsia" w:eastAsia="仿宋"/>
          <w:b/>
          <w:sz w:val="32"/>
          <w:szCs w:val="32"/>
        </w:rPr>
        <w:t>（4）给予财政税收优惠政策支持。</w:t>
      </w:r>
      <w:r>
        <w:rPr>
          <w:rFonts w:hint="eastAsia" w:eastAsia="仿宋"/>
          <w:sz w:val="32"/>
          <w:szCs w:val="32"/>
        </w:rPr>
        <w:t>严格落实国家和省已出台的扶持煤矸石综合利用产业发展的财税政策，坚决防止税费返还拖欠或减免税政策打折扣的现象发生。全力支持和指导企业争取中央预算内资金和省级配套资金，落实国家有关部门在利用煤矸石为主要燃料生产电力、热力和以煤矸石为主要原料生产新墙体材料、保温隔热材料以及绿色节能环保建筑材料等，出台的</w:t>
      </w:r>
      <w:r>
        <w:rPr>
          <w:rFonts w:hint="eastAsia" w:eastAsia="仿宋"/>
          <w:color w:val="000000" w:themeColor="text1"/>
          <w:sz w:val="32"/>
          <w:szCs w:val="32"/>
          <w14:textFill>
            <w14:solidFill>
              <w14:schemeClr w14:val="tx1"/>
            </w14:solidFill>
          </w14:textFill>
        </w:rPr>
        <w:t>增值税即征即退50%和企业所得税减按90%计入当年收入总额的税收优惠政策，确保所有优惠政策落实落地，所有转移支付资金不扣减。</w:t>
      </w:r>
      <w:r>
        <w:rPr>
          <w:rFonts w:hint="eastAsia" w:eastAsia="仿宋"/>
          <w:sz w:val="32"/>
          <w:szCs w:val="32"/>
        </w:rPr>
        <w:t>优先支持同西露天矿地质灾害治理相关联的项目，优先支持抚矿集团独立开发利用或与其他企事业单位合作开发利用煤矸石资源。要用足用好我市已经出台的《抚顺市振兴实体经济若干政策措施（试行）》《抚顺市促进民营经济发展壮大实施意见》等政策措施，助力煤矸石综合利用产业发展。</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hint="eastAsia" w:eastAsia="仿宋"/>
          <w:sz w:val="32"/>
          <w:szCs w:val="32"/>
        </w:rPr>
      </w:pPr>
      <w:r>
        <w:rPr>
          <w:rFonts w:hint="eastAsia" w:eastAsia="仿宋"/>
          <w:b/>
          <w:sz w:val="32"/>
          <w:szCs w:val="32"/>
        </w:rPr>
        <w:t>（5）给予土地使用政策支持。</w:t>
      </w:r>
      <w:r>
        <w:rPr>
          <w:rFonts w:hint="eastAsia" w:eastAsia="仿宋"/>
          <w:sz w:val="32"/>
          <w:szCs w:val="32"/>
        </w:rPr>
        <w:t>充分</w:t>
      </w:r>
      <w:r>
        <w:rPr>
          <w:rFonts w:hint="eastAsia" w:eastAsia="仿宋"/>
          <w:sz w:val="32"/>
          <w:szCs w:val="32"/>
          <w:lang w:eastAsia="zh-CN"/>
        </w:rPr>
        <w:t>保障</w:t>
      </w:r>
      <w:r>
        <w:rPr>
          <w:rFonts w:hint="eastAsia" w:eastAsia="仿宋"/>
          <w:sz w:val="32"/>
          <w:szCs w:val="32"/>
        </w:rPr>
        <w:t>园区内配套基础设施完备、煤矸石综合利用项目用地</w:t>
      </w:r>
      <w:r>
        <w:rPr>
          <w:rFonts w:hint="eastAsia" w:eastAsia="仿宋"/>
          <w:sz w:val="32"/>
          <w:szCs w:val="32"/>
          <w:lang w:eastAsia="zh-CN"/>
        </w:rPr>
        <w:t>需求</w:t>
      </w:r>
      <w:r>
        <w:rPr>
          <w:rFonts w:hint="eastAsia" w:eastAsia="仿宋"/>
          <w:sz w:val="32"/>
          <w:szCs w:val="32"/>
        </w:rPr>
        <w:t>，对需新增建设用地的煤矸石综合利用项目予以优先安排。在不低于用地成本的前提下，对符合产业政策优先支持发展且用地集约的项目，土地出让底价可按不低于所在地土地等别相对应《全国工业用地出让最低价标准》的70%执行。实行弹性出让、先租后让、租让结合等方式灵活处理土地供应，在严格执行国家有关规定的前提下，按照抚顺市工业用地最低标准出租出让土地使用权。</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hint="eastAsia" w:eastAsia="仿宋"/>
          <w:sz w:val="32"/>
          <w:szCs w:val="32"/>
        </w:rPr>
      </w:pPr>
      <w:r>
        <w:rPr>
          <w:rFonts w:hint="eastAsia" w:eastAsia="仿宋"/>
          <w:b/>
          <w:sz w:val="32"/>
          <w:szCs w:val="32"/>
        </w:rPr>
        <w:t>（6）确保煤矸石资源供应。</w:t>
      </w:r>
      <w:r>
        <w:rPr>
          <w:rFonts w:hint="eastAsia" w:eastAsia="仿宋"/>
          <w:sz w:val="32"/>
          <w:szCs w:val="32"/>
        </w:rPr>
        <w:t>抚顺市政府与抚矿集团授权抚矿博大公司对全市煤矸石等资源进行统筹管理，统一为综合利用产业发展提供所需煤矸石等资源，并按照市政府确定予以供应的企业和价格进行统一供应。在整个产业初创阶段，原则上对不需加工和提供运输的煤矸石资源免费供应，对需初加工及提供运输的煤矸石等资源，由公司根据相应成本报市政府审定后，按最低价格供应。全市的新产生的煤矸石</w:t>
      </w:r>
      <w:r>
        <w:rPr>
          <w:rFonts w:hint="eastAsia" w:eastAsia="仿宋"/>
          <w:sz w:val="32"/>
          <w:szCs w:val="32"/>
          <w:lang w:eastAsia="zh-CN"/>
        </w:rPr>
        <w:t>及</w:t>
      </w:r>
      <w:r>
        <w:rPr>
          <w:rFonts w:hint="eastAsia" w:eastAsia="仿宋"/>
          <w:sz w:val="32"/>
          <w:szCs w:val="32"/>
        </w:rPr>
        <w:t>历史堆存的煤矸石，都由市政府统一管理。任何单位及个人未经市政府批准不得以任何形式向综合利用企业提供煤矸石资源，并收取相关费用。</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eastAsia="仿宋"/>
          <w:sz w:val="32"/>
          <w:szCs w:val="32"/>
        </w:rPr>
      </w:pPr>
      <w:r>
        <w:rPr>
          <w:rFonts w:hint="eastAsia" w:eastAsia="仿宋"/>
          <w:b/>
          <w:sz w:val="32"/>
          <w:szCs w:val="32"/>
        </w:rPr>
        <w:t>（7）实行特事特办。</w:t>
      </w:r>
      <w:r>
        <w:rPr>
          <w:rFonts w:hint="eastAsia" w:eastAsia="仿宋"/>
          <w:sz w:val="32"/>
          <w:szCs w:val="32"/>
        </w:rPr>
        <w:t>对于投资强度大，拉动力强的综合利用煤矸石高科技产业项目，除享受税收、土地等优惠政策外，市区政府还可以按照“一事一议、一企一策”的办法给予特殊的优惠政策。</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outlineLvl w:val="9"/>
        <w:rPr>
          <w:rFonts w:hint="eastAsia" w:eastAsia="仿宋"/>
          <w:sz w:val="32"/>
          <w:szCs w:val="32"/>
        </w:rPr>
      </w:pPr>
      <w:bookmarkStart w:id="298" w:name="_Toc26621"/>
      <w:r>
        <w:rPr>
          <w:rFonts w:hint="eastAsia" w:eastAsia="仿宋"/>
          <w:b/>
          <w:sz w:val="32"/>
          <w:szCs w:val="32"/>
        </w:rPr>
        <w:t>（</w:t>
      </w:r>
      <w:r>
        <w:rPr>
          <w:rFonts w:hint="eastAsia" w:eastAsia="仿宋"/>
          <w:b/>
          <w:sz w:val="32"/>
          <w:szCs w:val="32"/>
          <w:lang w:val="en-US" w:eastAsia="zh-CN"/>
        </w:rPr>
        <w:t>8</w:t>
      </w:r>
      <w:r>
        <w:rPr>
          <w:rFonts w:hint="eastAsia" w:eastAsia="仿宋"/>
          <w:b/>
          <w:sz w:val="32"/>
          <w:szCs w:val="32"/>
        </w:rPr>
        <w:t>）建立科技支撑体系</w:t>
      </w:r>
      <w:bookmarkEnd w:id="298"/>
      <w:r>
        <w:rPr>
          <w:rFonts w:hint="eastAsia" w:eastAsia="仿宋"/>
          <w:b/>
          <w:sz w:val="32"/>
          <w:szCs w:val="32"/>
          <w:lang w:val="en-US" w:eastAsia="zh-CN"/>
        </w:rPr>
        <w:t>。</w:t>
      </w:r>
      <w:bookmarkStart w:id="299" w:name="_Toc16989"/>
      <w:r>
        <w:rPr>
          <w:rFonts w:hint="eastAsia" w:eastAsia="仿宋"/>
          <w:sz w:val="32"/>
          <w:szCs w:val="32"/>
        </w:rPr>
        <w:t>支持抚顺固体废弃物产业技术研究院</w:t>
      </w:r>
      <w:r>
        <w:rPr>
          <w:rFonts w:eastAsia="仿宋"/>
          <w:sz w:val="32"/>
          <w:szCs w:val="32"/>
        </w:rPr>
        <w:t>按照市场化运作方式</w:t>
      </w:r>
      <w:r>
        <w:rPr>
          <w:rFonts w:hint="eastAsia" w:eastAsia="仿宋"/>
          <w:sz w:val="32"/>
          <w:szCs w:val="32"/>
        </w:rPr>
        <w:t>，</w:t>
      </w:r>
      <w:r>
        <w:rPr>
          <w:rFonts w:eastAsia="仿宋"/>
          <w:sz w:val="32"/>
          <w:szCs w:val="32"/>
        </w:rPr>
        <w:t>广泛吸收社会资金</w:t>
      </w:r>
      <w:r>
        <w:rPr>
          <w:rFonts w:hint="eastAsia" w:eastAsia="仿宋"/>
          <w:sz w:val="32"/>
          <w:szCs w:val="32"/>
        </w:rPr>
        <w:t>、</w:t>
      </w:r>
      <w:r>
        <w:rPr>
          <w:rFonts w:eastAsia="仿宋"/>
          <w:sz w:val="32"/>
          <w:szCs w:val="32"/>
        </w:rPr>
        <w:t>人才</w:t>
      </w:r>
      <w:r>
        <w:rPr>
          <w:rFonts w:hint="eastAsia" w:eastAsia="仿宋"/>
          <w:sz w:val="32"/>
          <w:szCs w:val="32"/>
        </w:rPr>
        <w:t>、</w:t>
      </w:r>
      <w:r>
        <w:rPr>
          <w:rFonts w:eastAsia="仿宋"/>
          <w:sz w:val="32"/>
          <w:szCs w:val="32"/>
        </w:rPr>
        <w:t>技术</w:t>
      </w:r>
      <w:r>
        <w:rPr>
          <w:rFonts w:hint="eastAsia" w:eastAsia="仿宋"/>
          <w:sz w:val="32"/>
          <w:szCs w:val="32"/>
          <w:lang w:eastAsia="zh-CN"/>
        </w:rPr>
        <w:t>。</w:t>
      </w:r>
      <w:r>
        <w:rPr>
          <w:rFonts w:hint="eastAsia" w:eastAsia="仿宋"/>
          <w:sz w:val="32"/>
          <w:szCs w:val="32"/>
        </w:rPr>
        <w:t>支持抚顺固体废弃物产业技术研究院为抚顺市煤矸石综合利用基地提供科技研发、成果转化、检验检测、企业孵化等技术支撑</w:t>
      </w:r>
      <w:r>
        <w:rPr>
          <w:rFonts w:hint="eastAsia" w:eastAsia="仿宋"/>
          <w:sz w:val="32"/>
          <w:szCs w:val="32"/>
          <w:lang w:eastAsia="zh-CN"/>
        </w:rPr>
        <w:t>。</w:t>
      </w:r>
      <w:r>
        <w:rPr>
          <w:rFonts w:eastAsia="仿宋"/>
          <w:sz w:val="32"/>
          <w:szCs w:val="32"/>
        </w:rPr>
        <w:t>鼓励和支持骨干企业依靠自身技术力量，加强与国内外高等院校、科研院所合作，</w:t>
      </w:r>
      <w:r>
        <w:rPr>
          <w:rFonts w:hint="eastAsia" w:eastAsia="仿宋"/>
          <w:sz w:val="32"/>
          <w:szCs w:val="32"/>
        </w:rPr>
        <w:t>对在煤矸石技术创新及引进、品牌培育、规模产业发展等方面取得明显成效的企业给予奖励，对新认定的国家级重点实验室、产业技术创新中心，以及新增的国家级、省级技术转移示范机构给予专项经费奖励。</w:t>
      </w:r>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rPr>
          <w:rFonts w:eastAsia="仿宋"/>
          <w:sz w:val="32"/>
          <w:szCs w:val="32"/>
        </w:rPr>
      </w:pPr>
      <w:r>
        <w:rPr>
          <w:rFonts w:hint="eastAsia" w:eastAsia="仿宋"/>
          <w:b/>
          <w:sz w:val="32"/>
          <w:szCs w:val="32"/>
        </w:rPr>
        <w:t>（</w:t>
      </w:r>
      <w:r>
        <w:rPr>
          <w:rFonts w:hint="eastAsia" w:eastAsia="仿宋"/>
          <w:b/>
          <w:sz w:val="32"/>
          <w:szCs w:val="32"/>
          <w:lang w:val="en-US" w:eastAsia="zh-CN"/>
        </w:rPr>
        <w:t>9</w:t>
      </w:r>
      <w:r>
        <w:rPr>
          <w:rFonts w:hint="eastAsia" w:eastAsia="仿宋"/>
          <w:b/>
          <w:sz w:val="32"/>
          <w:szCs w:val="32"/>
        </w:rPr>
        <w:t>）落实人才保障措施</w:t>
      </w:r>
      <w:bookmarkEnd w:id="299"/>
      <w:r>
        <w:rPr>
          <w:rFonts w:hint="eastAsia" w:eastAsia="仿宋"/>
          <w:b/>
          <w:sz w:val="32"/>
          <w:szCs w:val="32"/>
          <w:lang w:val="en-US" w:eastAsia="zh-CN"/>
        </w:rPr>
        <w:t>。</w:t>
      </w:r>
      <w:r>
        <w:rPr>
          <w:rFonts w:hint="eastAsia" w:eastAsia="仿宋"/>
          <w:b w:val="0"/>
          <w:sz w:val="32"/>
          <w:szCs w:val="32"/>
          <w:lang w:val="en-US" w:eastAsia="zh-CN"/>
        </w:rPr>
        <w:t>全面贯彻落实</w:t>
      </w:r>
      <w:r>
        <w:rPr>
          <w:rFonts w:hint="eastAsia" w:eastAsia="仿宋"/>
          <w:sz w:val="32"/>
          <w:szCs w:val="32"/>
        </w:rPr>
        <w:t>《抚顺市聚集人才若干政策规定》等政策措施，</w:t>
      </w:r>
      <w:r>
        <w:rPr>
          <w:rFonts w:eastAsia="仿宋"/>
          <w:sz w:val="32"/>
          <w:szCs w:val="32"/>
        </w:rPr>
        <w:t>大力</w:t>
      </w:r>
      <w:r>
        <w:rPr>
          <w:rFonts w:hint="eastAsia" w:eastAsia="仿宋"/>
          <w:sz w:val="32"/>
          <w:szCs w:val="32"/>
          <w:lang w:eastAsia="zh-CN"/>
        </w:rPr>
        <w:t>支持</w:t>
      </w:r>
      <w:r>
        <w:rPr>
          <w:rFonts w:eastAsia="仿宋"/>
          <w:sz w:val="32"/>
          <w:szCs w:val="32"/>
        </w:rPr>
        <w:t>工程（技术）研究中心、企业技术中心、院士工作站、博士后流动（工作）站、重点（工程）实验室建设</w:t>
      </w:r>
      <w:r>
        <w:rPr>
          <w:rFonts w:hint="eastAsia" w:eastAsia="仿宋"/>
          <w:sz w:val="32"/>
          <w:szCs w:val="32"/>
          <w:lang w:eastAsia="zh-CN"/>
        </w:rPr>
        <w:t>。</w:t>
      </w:r>
      <w:r>
        <w:rPr>
          <w:rFonts w:eastAsia="仿宋"/>
          <w:sz w:val="32"/>
          <w:szCs w:val="32"/>
        </w:rPr>
        <w:t>围绕资源枯竭</w:t>
      </w:r>
      <w:r>
        <w:rPr>
          <w:rFonts w:hint="eastAsia" w:eastAsia="仿宋"/>
          <w:sz w:val="32"/>
          <w:szCs w:val="32"/>
        </w:rPr>
        <w:t>型城市</w:t>
      </w:r>
      <w:r>
        <w:rPr>
          <w:rFonts w:eastAsia="仿宋"/>
          <w:sz w:val="32"/>
          <w:szCs w:val="32"/>
        </w:rPr>
        <w:t>产业转型振兴，大力实施</w:t>
      </w:r>
      <w:r>
        <w:rPr>
          <w:rFonts w:hint="eastAsia" w:eastAsia="仿宋"/>
          <w:sz w:val="32"/>
          <w:szCs w:val="32"/>
        </w:rPr>
        <w:t>大宗固废</w:t>
      </w:r>
      <w:r>
        <w:rPr>
          <w:rFonts w:eastAsia="仿宋"/>
          <w:sz w:val="32"/>
          <w:szCs w:val="32"/>
        </w:rPr>
        <w:t>综合利用产业人才保障工程，</w:t>
      </w:r>
      <w:r>
        <w:rPr>
          <w:rFonts w:hint="eastAsia" w:eastAsia="仿宋"/>
          <w:sz w:val="32"/>
          <w:szCs w:val="32"/>
        </w:rPr>
        <w:t>积极推进</w:t>
      </w:r>
      <w:r>
        <w:rPr>
          <w:rFonts w:eastAsia="仿宋"/>
          <w:sz w:val="32"/>
          <w:szCs w:val="32"/>
        </w:rPr>
        <w:t>项目建设配套进程，与国内外高校合作，积极培养煤矸石综合利用相关领域研发、管理等方面急需紧缺人才</w:t>
      </w:r>
      <w:r>
        <w:rPr>
          <w:rFonts w:hint="eastAsia" w:eastAsia="仿宋"/>
          <w:sz w:val="32"/>
          <w:szCs w:val="32"/>
          <w:lang w:eastAsia="zh-CN"/>
        </w:rPr>
        <w:t>。</w:t>
      </w:r>
      <w:r>
        <w:rPr>
          <w:rFonts w:eastAsia="仿宋"/>
          <w:sz w:val="32"/>
          <w:szCs w:val="32"/>
        </w:rPr>
        <w:t>着力为相关人才创造优越的居住条件、充分的生活保障、先进的工作设备和技术条件，解决人才在交通、居住、医疗、子女教育、户籍、工作</w:t>
      </w:r>
      <w:r>
        <w:rPr>
          <w:rFonts w:hint="eastAsia" w:eastAsia="仿宋"/>
          <w:sz w:val="32"/>
          <w:szCs w:val="32"/>
          <w:lang w:eastAsia="zh-CN"/>
        </w:rPr>
        <w:t>经验</w:t>
      </w:r>
      <w:r>
        <w:rPr>
          <w:rFonts w:eastAsia="仿宋"/>
          <w:sz w:val="32"/>
          <w:szCs w:val="32"/>
        </w:rPr>
        <w:t>等方面的后顾之忧</w:t>
      </w:r>
      <w:r>
        <w:rPr>
          <w:rFonts w:hint="eastAsia" w:eastAsia="仿宋"/>
          <w:sz w:val="32"/>
          <w:szCs w:val="32"/>
          <w:lang w:eastAsia="zh-CN"/>
        </w:rPr>
        <w:t>，</w:t>
      </w:r>
      <w:r>
        <w:rPr>
          <w:rFonts w:eastAsia="仿宋"/>
          <w:sz w:val="32"/>
          <w:szCs w:val="32"/>
        </w:rPr>
        <w:t>对引进人才在职称评定、生活补贴和社会保障方面给予积极支持。</w:t>
      </w:r>
    </w:p>
    <w:p>
      <w:pPr>
        <w:keepNext w:val="0"/>
        <w:keepLines w:val="0"/>
        <w:pageBreakBefore w:val="0"/>
        <w:widowControl w:val="0"/>
        <w:kinsoku/>
        <w:wordWrap/>
        <w:overflowPunct/>
        <w:topLinePunct w:val="0"/>
        <w:autoSpaceDE/>
        <w:autoSpaceDN/>
        <w:bidi w:val="0"/>
        <w:adjustRightInd/>
        <w:snapToGrid/>
        <w:spacing w:line="360" w:lineRule="auto"/>
        <w:ind w:left="0" w:leftChars="0" w:firstLine="643" w:firstLineChars="200"/>
        <w:jc w:val="both"/>
        <w:textAlignment w:val="auto"/>
        <w:rPr>
          <w:rFonts w:eastAsia="仿宋"/>
          <w:sz w:val="32"/>
          <w:szCs w:val="32"/>
        </w:rPr>
      </w:pPr>
      <w:bookmarkStart w:id="300" w:name="_Toc13155"/>
      <w:r>
        <w:rPr>
          <w:rFonts w:hint="eastAsia" w:eastAsia="仿宋"/>
          <w:b/>
          <w:sz w:val="32"/>
          <w:szCs w:val="32"/>
        </w:rPr>
        <w:t>（</w:t>
      </w:r>
      <w:r>
        <w:rPr>
          <w:rFonts w:hint="eastAsia" w:eastAsia="仿宋"/>
          <w:b/>
          <w:sz w:val="32"/>
          <w:szCs w:val="32"/>
          <w:lang w:val="en-US" w:eastAsia="zh-CN"/>
        </w:rPr>
        <w:t>10</w:t>
      </w:r>
      <w:r>
        <w:rPr>
          <w:rFonts w:hint="eastAsia" w:eastAsia="仿宋"/>
          <w:b/>
          <w:sz w:val="32"/>
          <w:szCs w:val="32"/>
        </w:rPr>
        <w:t>）加强产业园区建设</w:t>
      </w:r>
      <w:bookmarkEnd w:id="300"/>
      <w:r>
        <w:rPr>
          <w:rFonts w:hint="eastAsia" w:eastAsia="仿宋"/>
          <w:b/>
          <w:sz w:val="32"/>
          <w:szCs w:val="32"/>
          <w:lang w:eastAsia="zh-CN"/>
        </w:rPr>
        <w:t>。</w:t>
      </w:r>
      <w:r>
        <w:rPr>
          <w:rFonts w:hint="eastAsia" w:ascii="仿宋" w:hAnsi="仿宋" w:eastAsia="仿宋" w:cs="仿宋"/>
          <w:sz w:val="32"/>
          <w:szCs w:val="28"/>
        </w:rPr>
        <w:t>按照规划要求，依托现有产业园区基础，大力加强以煤矸石产业为重点的园区建设。对煤矸石产业园区内各项公共服务基础设施建设给予支持。市、区政府对进入产业园的各项公共基础设施建设进行统一规划、设计和管理，对参与园区基础设施建设的社会资本给予支持和补助。支持在园区内建设煤矸石综合利用物流项目，对物流企业自有（包括自用和出租）</w:t>
      </w:r>
      <w:r>
        <w:rPr>
          <w:rFonts w:hint="eastAsia" w:ascii="仿宋" w:hAnsi="仿宋" w:eastAsia="仿宋" w:cs="仿宋"/>
          <w:sz w:val="32"/>
          <w:szCs w:val="28"/>
          <w:lang w:val="en-US" w:eastAsia="zh-CN"/>
        </w:rPr>
        <w:t>或承租的</w:t>
      </w:r>
      <w:r>
        <w:rPr>
          <w:rFonts w:hint="eastAsia" w:ascii="仿宋" w:hAnsi="仿宋" w:eastAsia="仿宋" w:cs="仿宋"/>
          <w:sz w:val="32"/>
          <w:szCs w:val="28"/>
        </w:rPr>
        <w:t>大宗商品仓储设施用地，</w:t>
      </w:r>
      <w:r>
        <w:rPr>
          <w:rFonts w:hint="eastAsia" w:ascii="仿宋" w:hAnsi="仿宋" w:eastAsia="仿宋" w:cs="仿宋"/>
          <w:sz w:val="32"/>
          <w:szCs w:val="28"/>
          <w:lang w:val="en-US" w:eastAsia="zh-CN"/>
        </w:rPr>
        <w:t>符合《财政部 税务总局关于继续实施物流企业大宗商品仓储设施用地城镇土地使用税优惠政策的公告（财政部 税务总局公告2020年第16号）规定的，减按所属土地等级使用税额标准的50%计征城镇土地使用税。</w:t>
      </w:r>
      <w:r>
        <w:rPr>
          <w:rFonts w:hint="eastAsia" w:ascii="仿宋" w:hAnsi="仿宋" w:eastAsia="仿宋" w:cs="仿宋"/>
          <w:sz w:val="32"/>
          <w:szCs w:val="28"/>
        </w:rPr>
        <w:t>将房屋租赁费、过路过桥费和保险费等纳入企业增值税进项税税额抵扣范围。</w:t>
      </w:r>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outlineLvl w:val="9"/>
        <w:rPr>
          <w:rFonts w:hint="eastAsia" w:eastAsia="仿宋"/>
          <w:sz w:val="32"/>
          <w:szCs w:val="32"/>
        </w:rPr>
      </w:pPr>
      <w:bookmarkStart w:id="301" w:name="_Toc24656"/>
      <w:r>
        <w:rPr>
          <w:rFonts w:hint="eastAsia" w:eastAsia="仿宋"/>
          <w:b/>
          <w:sz w:val="32"/>
          <w:szCs w:val="32"/>
        </w:rPr>
        <w:t>（</w:t>
      </w:r>
      <w:r>
        <w:rPr>
          <w:rFonts w:hint="eastAsia" w:eastAsia="仿宋"/>
          <w:b/>
          <w:sz w:val="32"/>
          <w:szCs w:val="32"/>
          <w:lang w:val="en-US" w:eastAsia="zh-CN"/>
        </w:rPr>
        <w:t>11</w:t>
      </w:r>
      <w:r>
        <w:rPr>
          <w:rFonts w:hint="eastAsia" w:eastAsia="仿宋"/>
          <w:b/>
          <w:sz w:val="32"/>
          <w:szCs w:val="32"/>
        </w:rPr>
        <w:t>）推广固废产品</w:t>
      </w:r>
      <w:bookmarkEnd w:id="301"/>
      <w:r>
        <w:rPr>
          <w:rFonts w:hint="eastAsia" w:eastAsia="仿宋"/>
          <w:b/>
          <w:sz w:val="32"/>
          <w:szCs w:val="32"/>
          <w:lang w:val="en-US" w:eastAsia="zh-CN"/>
        </w:rPr>
        <w:t>。</w:t>
      </w:r>
      <w:r>
        <w:rPr>
          <w:rFonts w:hint="eastAsia" w:eastAsia="仿宋"/>
          <w:sz w:val="32"/>
          <w:szCs w:val="32"/>
        </w:rPr>
        <w:t>建立煤矸石综合利用产品推广认定机制，修改完善政府采购目录，加大政府和地方企业采购力度，鼓励投资方优先采购煤矸石综合利用产品。凡利用政府投资建设的项目，在不影响使用功能和建设标准的情况下，应按比例使用煤矸石制品。对地方企业自主采购煤矸石制品的，给予政策鼓励。鼓励煤矸石制品产业纳入绿色装配式建筑产业，由政府投资的项目优先采用煤矸石制品建筑构件。开展煤矸石等固废综合利用全民宣传教育活动，为煤矸石综合利用产品市场销售创造有利条件。</w:t>
      </w:r>
      <w:bookmarkStart w:id="302" w:name="_Toc6201"/>
    </w:p>
    <w:p>
      <w:pPr>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firstLine="643" w:firstLineChars="200"/>
        <w:jc w:val="both"/>
        <w:textAlignment w:val="auto"/>
        <w:outlineLvl w:val="9"/>
        <w:rPr>
          <w:rFonts w:eastAsia="仿宋"/>
          <w:sz w:val="32"/>
          <w:szCs w:val="32"/>
        </w:rPr>
      </w:pPr>
      <w:r>
        <w:rPr>
          <w:rFonts w:hint="eastAsia" w:eastAsia="仿宋"/>
          <w:b/>
          <w:sz w:val="32"/>
          <w:szCs w:val="32"/>
        </w:rPr>
        <w:t>（</w:t>
      </w:r>
      <w:r>
        <w:rPr>
          <w:rFonts w:hint="eastAsia" w:eastAsia="仿宋"/>
          <w:b/>
          <w:sz w:val="32"/>
          <w:szCs w:val="32"/>
          <w:lang w:val="en-US" w:eastAsia="zh-CN"/>
        </w:rPr>
        <w:t>12</w:t>
      </w:r>
      <w:r>
        <w:rPr>
          <w:rFonts w:hint="eastAsia" w:eastAsia="仿宋"/>
          <w:b/>
          <w:sz w:val="32"/>
          <w:szCs w:val="32"/>
        </w:rPr>
        <w:t>）加大产业宣传</w:t>
      </w:r>
      <w:bookmarkEnd w:id="302"/>
      <w:r>
        <w:rPr>
          <w:rFonts w:hint="eastAsia" w:eastAsia="仿宋"/>
          <w:b/>
          <w:sz w:val="32"/>
          <w:szCs w:val="32"/>
          <w:lang w:eastAsia="zh-CN"/>
        </w:rPr>
        <w:t>。</w:t>
      </w:r>
      <w:r>
        <w:rPr>
          <w:rFonts w:eastAsia="仿宋"/>
          <w:sz w:val="32"/>
          <w:szCs w:val="32"/>
        </w:rPr>
        <w:t>进一步开展煤矸石等固废综合利用全民宣传教育活动，</w:t>
      </w:r>
      <w:r>
        <w:rPr>
          <w:rFonts w:hint="eastAsia" w:eastAsia="仿宋"/>
          <w:sz w:val="32"/>
          <w:szCs w:val="32"/>
          <w:lang w:eastAsia="zh-CN"/>
        </w:rPr>
        <w:t>向</w:t>
      </w:r>
      <w:r>
        <w:rPr>
          <w:rFonts w:eastAsia="仿宋"/>
          <w:sz w:val="32"/>
          <w:szCs w:val="32"/>
        </w:rPr>
        <w:t>企业和社会大众开展循环经济和综合利用基本概念的科普教育，传播煤矸石等固废综合利用产业理论和实践成果，加深全社会对煤矸石资源综合利用的理解和认识，充分调动各方的积极性、主动性和创造性，使人民接受综合利用理念和产品，为煤矸石综合利用产品市场销售奠定基础。</w:t>
      </w:r>
      <w:bookmarkEnd w:id="297"/>
    </w:p>
    <w:p>
      <w:pPr>
        <w:pStyle w:val="6"/>
        <w:keepNext w:val="0"/>
        <w:keepLines w:val="0"/>
        <w:kinsoku/>
        <w:wordWrap/>
        <w:overflowPunct/>
        <w:topLinePunct w:val="0"/>
        <w:autoSpaceDE/>
        <w:autoSpaceDN/>
        <w:bidi w:val="0"/>
        <w:spacing w:line="360" w:lineRule="auto"/>
        <w:ind w:left="0" w:leftChars="0" w:firstLine="0" w:firstLineChars="0"/>
        <w:jc w:val="both"/>
        <w:rPr>
          <w:rFonts w:hint="default" w:ascii="宋体" w:hAnsi="宋体" w:cs="宋体"/>
          <w:b/>
          <w:bCs/>
          <w:i w:val="0"/>
          <w:iCs w:val="0"/>
          <w:color w:val="000000"/>
          <w:kern w:val="0"/>
          <w:sz w:val="28"/>
          <w:szCs w:val="28"/>
          <w:u w:val="none"/>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粗黑宋简体">
    <w:altName w:val="宋体"/>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D80FB"/>
    <w:multiLevelType w:val="singleLevel"/>
    <w:tmpl w:val="8ACD80FB"/>
    <w:lvl w:ilvl="0" w:tentative="0">
      <w:start w:val="1"/>
      <w:numFmt w:val="decimal"/>
      <w:suff w:val="nothing"/>
      <w:lvlText w:val="（%1）"/>
      <w:lvlJc w:val="left"/>
      <w:rPr>
        <w:rFonts w:hint="default"/>
        <w:b/>
        <w:bCs/>
      </w:rPr>
    </w:lvl>
  </w:abstractNum>
  <w:abstractNum w:abstractNumId="1">
    <w:nsid w:val="B01D6D51"/>
    <w:multiLevelType w:val="singleLevel"/>
    <w:tmpl w:val="B01D6D51"/>
    <w:lvl w:ilvl="0" w:tentative="0">
      <w:start w:val="1"/>
      <w:numFmt w:val="chineseCounting"/>
      <w:suff w:val="nothing"/>
      <w:lvlText w:val="（%1）"/>
      <w:lvlJc w:val="left"/>
      <w:rPr>
        <w:rFonts w:hint="eastAsia"/>
      </w:rPr>
    </w:lvl>
  </w:abstractNum>
  <w:abstractNum w:abstractNumId="2">
    <w:nsid w:val="1F04F287"/>
    <w:multiLevelType w:val="singleLevel"/>
    <w:tmpl w:val="1F04F287"/>
    <w:lvl w:ilvl="0" w:tentative="0">
      <w:start w:val="2"/>
      <w:numFmt w:val="chineseCounting"/>
      <w:suff w:val="nothing"/>
      <w:lvlText w:val="（%1）"/>
      <w:lvlJc w:val="left"/>
      <w:rPr>
        <w:rFonts w:hint="eastAsia"/>
        <w:b/>
        <w:bCs/>
      </w:rPr>
    </w:lvl>
  </w:abstractNum>
  <w:abstractNum w:abstractNumId="3">
    <w:nsid w:val="1F78D6DD"/>
    <w:multiLevelType w:val="singleLevel"/>
    <w:tmpl w:val="1F78D6DD"/>
    <w:lvl w:ilvl="0" w:tentative="0">
      <w:start w:val="1"/>
      <w:numFmt w:val="decimal"/>
      <w:suff w:val="nothing"/>
      <w:lvlText w:val="（%1）"/>
      <w:lvlJc w:val="left"/>
      <w:rPr>
        <w:rFonts w:hint="default"/>
        <w:b/>
        <w:bCs/>
      </w:rPr>
    </w:lvl>
  </w:abstractNum>
  <w:abstractNum w:abstractNumId="4">
    <w:nsid w:val="5519E4ED"/>
    <w:multiLevelType w:val="singleLevel"/>
    <w:tmpl w:val="5519E4ED"/>
    <w:lvl w:ilvl="0" w:tentative="0">
      <w:start w:val="1"/>
      <w:numFmt w:val="chineseCounting"/>
      <w:suff w:val="nothing"/>
      <w:lvlText w:val="（%1）"/>
      <w:lvlJc w:val="left"/>
      <w:pPr>
        <w:ind w:left="-13"/>
      </w:pPr>
      <w:rPr>
        <w:rFonts w:hint="eastAsia"/>
        <w:b/>
        <w:bCs/>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836800"/>
    <w:rsid w:val="001119B6"/>
    <w:rsid w:val="00331B3C"/>
    <w:rsid w:val="00416EC4"/>
    <w:rsid w:val="00485986"/>
    <w:rsid w:val="005C4F5D"/>
    <w:rsid w:val="006D2FA4"/>
    <w:rsid w:val="00AE5217"/>
    <w:rsid w:val="00B82CEB"/>
    <w:rsid w:val="00BC0688"/>
    <w:rsid w:val="00BF4D89"/>
    <w:rsid w:val="011A1EEF"/>
    <w:rsid w:val="013C21C0"/>
    <w:rsid w:val="014138AD"/>
    <w:rsid w:val="014A1A95"/>
    <w:rsid w:val="014E4D3D"/>
    <w:rsid w:val="014F490E"/>
    <w:rsid w:val="01504344"/>
    <w:rsid w:val="01593C8C"/>
    <w:rsid w:val="01717272"/>
    <w:rsid w:val="018D3E8A"/>
    <w:rsid w:val="018D57C0"/>
    <w:rsid w:val="019112C3"/>
    <w:rsid w:val="01955F59"/>
    <w:rsid w:val="019777CC"/>
    <w:rsid w:val="019F5832"/>
    <w:rsid w:val="01A839E4"/>
    <w:rsid w:val="01A9765D"/>
    <w:rsid w:val="01AB60F8"/>
    <w:rsid w:val="01AC6504"/>
    <w:rsid w:val="01B666C0"/>
    <w:rsid w:val="01BD5DBA"/>
    <w:rsid w:val="01C95227"/>
    <w:rsid w:val="01CA1E1A"/>
    <w:rsid w:val="01D42EFE"/>
    <w:rsid w:val="01DB501A"/>
    <w:rsid w:val="01EB67B2"/>
    <w:rsid w:val="01F20C4F"/>
    <w:rsid w:val="01F319E0"/>
    <w:rsid w:val="01FC18E3"/>
    <w:rsid w:val="020837E6"/>
    <w:rsid w:val="02152A83"/>
    <w:rsid w:val="021A72D4"/>
    <w:rsid w:val="021B0057"/>
    <w:rsid w:val="022437F7"/>
    <w:rsid w:val="02392222"/>
    <w:rsid w:val="02581448"/>
    <w:rsid w:val="0271537D"/>
    <w:rsid w:val="02804F36"/>
    <w:rsid w:val="0287170A"/>
    <w:rsid w:val="02883D72"/>
    <w:rsid w:val="029C43B3"/>
    <w:rsid w:val="02A7235D"/>
    <w:rsid w:val="02AE7F99"/>
    <w:rsid w:val="02BD3849"/>
    <w:rsid w:val="02C10D48"/>
    <w:rsid w:val="02CA3C0D"/>
    <w:rsid w:val="02CB0AB9"/>
    <w:rsid w:val="02D032FF"/>
    <w:rsid w:val="02EA12DE"/>
    <w:rsid w:val="02FC610E"/>
    <w:rsid w:val="03001055"/>
    <w:rsid w:val="03237073"/>
    <w:rsid w:val="03292C2D"/>
    <w:rsid w:val="0364050D"/>
    <w:rsid w:val="037F5A42"/>
    <w:rsid w:val="038A4794"/>
    <w:rsid w:val="03945A4B"/>
    <w:rsid w:val="03DA2D15"/>
    <w:rsid w:val="03E7598F"/>
    <w:rsid w:val="03EA6AE6"/>
    <w:rsid w:val="03ED50ED"/>
    <w:rsid w:val="03F679FB"/>
    <w:rsid w:val="041924CF"/>
    <w:rsid w:val="04224DDE"/>
    <w:rsid w:val="0426310A"/>
    <w:rsid w:val="0436458E"/>
    <w:rsid w:val="04494A84"/>
    <w:rsid w:val="044F1BAC"/>
    <w:rsid w:val="046D3CAC"/>
    <w:rsid w:val="04914AF2"/>
    <w:rsid w:val="049B5338"/>
    <w:rsid w:val="04A72274"/>
    <w:rsid w:val="04B12636"/>
    <w:rsid w:val="04BA11AC"/>
    <w:rsid w:val="04C906E3"/>
    <w:rsid w:val="04DF352F"/>
    <w:rsid w:val="04EC70FE"/>
    <w:rsid w:val="04F0314B"/>
    <w:rsid w:val="04FD1386"/>
    <w:rsid w:val="050C6098"/>
    <w:rsid w:val="05127C93"/>
    <w:rsid w:val="051D1F7A"/>
    <w:rsid w:val="05233E41"/>
    <w:rsid w:val="05234B3E"/>
    <w:rsid w:val="054960DA"/>
    <w:rsid w:val="055053A9"/>
    <w:rsid w:val="05682D1F"/>
    <w:rsid w:val="05846F91"/>
    <w:rsid w:val="05945D53"/>
    <w:rsid w:val="059F6C78"/>
    <w:rsid w:val="05A84DF3"/>
    <w:rsid w:val="05AC5647"/>
    <w:rsid w:val="05B87735"/>
    <w:rsid w:val="05BA0853"/>
    <w:rsid w:val="05C81606"/>
    <w:rsid w:val="05D37DB6"/>
    <w:rsid w:val="05D804C1"/>
    <w:rsid w:val="05FB6D45"/>
    <w:rsid w:val="06085364"/>
    <w:rsid w:val="064F048C"/>
    <w:rsid w:val="06623A10"/>
    <w:rsid w:val="067C6D69"/>
    <w:rsid w:val="068546BA"/>
    <w:rsid w:val="06913A8F"/>
    <w:rsid w:val="06C21E7A"/>
    <w:rsid w:val="06C94A47"/>
    <w:rsid w:val="06F6503B"/>
    <w:rsid w:val="070237E5"/>
    <w:rsid w:val="07025EF3"/>
    <w:rsid w:val="0703256F"/>
    <w:rsid w:val="07244A21"/>
    <w:rsid w:val="07272FFC"/>
    <w:rsid w:val="073525C0"/>
    <w:rsid w:val="073B1D82"/>
    <w:rsid w:val="073C0408"/>
    <w:rsid w:val="074360E1"/>
    <w:rsid w:val="0747245D"/>
    <w:rsid w:val="07523C05"/>
    <w:rsid w:val="07730382"/>
    <w:rsid w:val="07764EAD"/>
    <w:rsid w:val="07A625E5"/>
    <w:rsid w:val="07BD343E"/>
    <w:rsid w:val="07C0616B"/>
    <w:rsid w:val="07C75EF1"/>
    <w:rsid w:val="07ED7520"/>
    <w:rsid w:val="07FE2CAF"/>
    <w:rsid w:val="080F2DB1"/>
    <w:rsid w:val="08144882"/>
    <w:rsid w:val="083621FD"/>
    <w:rsid w:val="0844587A"/>
    <w:rsid w:val="085130A8"/>
    <w:rsid w:val="086B0CEF"/>
    <w:rsid w:val="08731421"/>
    <w:rsid w:val="0882031B"/>
    <w:rsid w:val="08CD60F1"/>
    <w:rsid w:val="08DF58C5"/>
    <w:rsid w:val="08E3206B"/>
    <w:rsid w:val="08E70D98"/>
    <w:rsid w:val="091B60D1"/>
    <w:rsid w:val="091F7A27"/>
    <w:rsid w:val="0952458F"/>
    <w:rsid w:val="096416C9"/>
    <w:rsid w:val="0969580A"/>
    <w:rsid w:val="09A352B0"/>
    <w:rsid w:val="09CA6EB7"/>
    <w:rsid w:val="09D648A3"/>
    <w:rsid w:val="09E17B9D"/>
    <w:rsid w:val="09F23311"/>
    <w:rsid w:val="09F54A09"/>
    <w:rsid w:val="09F907B1"/>
    <w:rsid w:val="0A2224CF"/>
    <w:rsid w:val="0A297134"/>
    <w:rsid w:val="0A2E0ED0"/>
    <w:rsid w:val="0A3A6438"/>
    <w:rsid w:val="0A5278EE"/>
    <w:rsid w:val="0A625BBC"/>
    <w:rsid w:val="0A6A0338"/>
    <w:rsid w:val="0A6E3299"/>
    <w:rsid w:val="0A75511F"/>
    <w:rsid w:val="0A76587B"/>
    <w:rsid w:val="0A895776"/>
    <w:rsid w:val="0A901662"/>
    <w:rsid w:val="0AAB6906"/>
    <w:rsid w:val="0ABF52CB"/>
    <w:rsid w:val="0AC8570C"/>
    <w:rsid w:val="0AC96336"/>
    <w:rsid w:val="0ACF188F"/>
    <w:rsid w:val="0ADA5834"/>
    <w:rsid w:val="0AE13BF8"/>
    <w:rsid w:val="0AE77E99"/>
    <w:rsid w:val="0AF71840"/>
    <w:rsid w:val="0B131A49"/>
    <w:rsid w:val="0B146806"/>
    <w:rsid w:val="0B1B381A"/>
    <w:rsid w:val="0B2344CA"/>
    <w:rsid w:val="0B280AFD"/>
    <w:rsid w:val="0B30303F"/>
    <w:rsid w:val="0B31655D"/>
    <w:rsid w:val="0B37098B"/>
    <w:rsid w:val="0B40648A"/>
    <w:rsid w:val="0B531E85"/>
    <w:rsid w:val="0B541604"/>
    <w:rsid w:val="0B5F0D31"/>
    <w:rsid w:val="0B6C4F0A"/>
    <w:rsid w:val="0B8D0A73"/>
    <w:rsid w:val="0B8D3557"/>
    <w:rsid w:val="0BA676AA"/>
    <w:rsid w:val="0BAF43C5"/>
    <w:rsid w:val="0BC60FB7"/>
    <w:rsid w:val="0BD117B4"/>
    <w:rsid w:val="0BD42DB0"/>
    <w:rsid w:val="0BD55157"/>
    <w:rsid w:val="0BDE2E59"/>
    <w:rsid w:val="0C1A122F"/>
    <w:rsid w:val="0C354D3E"/>
    <w:rsid w:val="0C360284"/>
    <w:rsid w:val="0C3B6FCC"/>
    <w:rsid w:val="0C4B53A0"/>
    <w:rsid w:val="0C587442"/>
    <w:rsid w:val="0C6A53E5"/>
    <w:rsid w:val="0C7D652C"/>
    <w:rsid w:val="0C905028"/>
    <w:rsid w:val="0C910B9B"/>
    <w:rsid w:val="0CA32DA6"/>
    <w:rsid w:val="0CB84863"/>
    <w:rsid w:val="0CBB2229"/>
    <w:rsid w:val="0CC71E2F"/>
    <w:rsid w:val="0CDB772C"/>
    <w:rsid w:val="0D016731"/>
    <w:rsid w:val="0D095AE0"/>
    <w:rsid w:val="0D0D7952"/>
    <w:rsid w:val="0D337AE9"/>
    <w:rsid w:val="0D376314"/>
    <w:rsid w:val="0D3E5B37"/>
    <w:rsid w:val="0D463DCD"/>
    <w:rsid w:val="0D4E472A"/>
    <w:rsid w:val="0D5810F3"/>
    <w:rsid w:val="0D5F7296"/>
    <w:rsid w:val="0D6855D6"/>
    <w:rsid w:val="0D766321"/>
    <w:rsid w:val="0D8530B8"/>
    <w:rsid w:val="0DB60AE4"/>
    <w:rsid w:val="0DBC2A50"/>
    <w:rsid w:val="0DD735B7"/>
    <w:rsid w:val="0DE7639B"/>
    <w:rsid w:val="0DEE7B58"/>
    <w:rsid w:val="0DF421A9"/>
    <w:rsid w:val="0E015DA1"/>
    <w:rsid w:val="0E106244"/>
    <w:rsid w:val="0E14173B"/>
    <w:rsid w:val="0E4F5DA3"/>
    <w:rsid w:val="0E604C3C"/>
    <w:rsid w:val="0E7E7BF1"/>
    <w:rsid w:val="0E7F1179"/>
    <w:rsid w:val="0E803D4C"/>
    <w:rsid w:val="0E8821BE"/>
    <w:rsid w:val="0E973BE5"/>
    <w:rsid w:val="0EA12E6D"/>
    <w:rsid w:val="0EA37E63"/>
    <w:rsid w:val="0EA72E83"/>
    <w:rsid w:val="0EBD2B04"/>
    <w:rsid w:val="0EDC145C"/>
    <w:rsid w:val="0EE3674C"/>
    <w:rsid w:val="0EEE1C45"/>
    <w:rsid w:val="0EFC6C8A"/>
    <w:rsid w:val="0F195142"/>
    <w:rsid w:val="0F197260"/>
    <w:rsid w:val="0F1F2338"/>
    <w:rsid w:val="0F3635AD"/>
    <w:rsid w:val="0F58384B"/>
    <w:rsid w:val="0F591D8D"/>
    <w:rsid w:val="0F6C732C"/>
    <w:rsid w:val="0F8B6A37"/>
    <w:rsid w:val="0F934DAE"/>
    <w:rsid w:val="0F9F0DD6"/>
    <w:rsid w:val="0FAB0D38"/>
    <w:rsid w:val="0FB85C06"/>
    <w:rsid w:val="0FD20762"/>
    <w:rsid w:val="0FD93259"/>
    <w:rsid w:val="0FDA3B9D"/>
    <w:rsid w:val="0FDC1B2A"/>
    <w:rsid w:val="0FF3090B"/>
    <w:rsid w:val="0FF35061"/>
    <w:rsid w:val="0FF36096"/>
    <w:rsid w:val="10024683"/>
    <w:rsid w:val="10226696"/>
    <w:rsid w:val="102A39FF"/>
    <w:rsid w:val="103130AC"/>
    <w:rsid w:val="10372E89"/>
    <w:rsid w:val="103A7975"/>
    <w:rsid w:val="103D0A53"/>
    <w:rsid w:val="103D78C1"/>
    <w:rsid w:val="104219EA"/>
    <w:rsid w:val="104B6A9F"/>
    <w:rsid w:val="10745514"/>
    <w:rsid w:val="1086667E"/>
    <w:rsid w:val="108678F8"/>
    <w:rsid w:val="10941FB5"/>
    <w:rsid w:val="10CC7BF4"/>
    <w:rsid w:val="10F60923"/>
    <w:rsid w:val="110E6F2F"/>
    <w:rsid w:val="11182076"/>
    <w:rsid w:val="111F368F"/>
    <w:rsid w:val="11296A81"/>
    <w:rsid w:val="112F6D08"/>
    <w:rsid w:val="11321DA0"/>
    <w:rsid w:val="113A1ECB"/>
    <w:rsid w:val="11582906"/>
    <w:rsid w:val="116165EF"/>
    <w:rsid w:val="11624FC3"/>
    <w:rsid w:val="1199454C"/>
    <w:rsid w:val="11BE4FAB"/>
    <w:rsid w:val="11CF40C4"/>
    <w:rsid w:val="11E528DD"/>
    <w:rsid w:val="11FE7024"/>
    <w:rsid w:val="120051D2"/>
    <w:rsid w:val="12252035"/>
    <w:rsid w:val="12455186"/>
    <w:rsid w:val="125B4B89"/>
    <w:rsid w:val="125E49DC"/>
    <w:rsid w:val="127A6B48"/>
    <w:rsid w:val="12865E96"/>
    <w:rsid w:val="128F740D"/>
    <w:rsid w:val="12B125B0"/>
    <w:rsid w:val="12E61880"/>
    <w:rsid w:val="12F21EC2"/>
    <w:rsid w:val="133236DE"/>
    <w:rsid w:val="135C075E"/>
    <w:rsid w:val="13786A99"/>
    <w:rsid w:val="13832D11"/>
    <w:rsid w:val="138B3C13"/>
    <w:rsid w:val="13944A06"/>
    <w:rsid w:val="139E0A80"/>
    <w:rsid w:val="13C36B56"/>
    <w:rsid w:val="13CC5324"/>
    <w:rsid w:val="13D85763"/>
    <w:rsid w:val="14035D12"/>
    <w:rsid w:val="14052C92"/>
    <w:rsid w:val="140F200D"/>
    <w:rsid w:val="141A2E81"/>
    <w:rsid w:val="142C3153"/>
    <w:rsid w:val="14480538"/>
    <w:rsid w:val="144D7E92"/>
    <w:rsid w:val="146220D2"/>
    <w:rsid w:val="14630596"/>
    <w:rsid w:val="146A4FCE"/>
    <w:rsid w:val="148B3AA9"/>
    <w:rsid w:val="14973D92"/>
    <w:rsid w:val="14974348"/>
    <w:rsid w:val="14B97F46"/>
    <w:rsid w:val="14C85F6E"/>
    <w:rsid w:val="14F102BE"/>
    <w:rsid w:val="14F2352B"/>
    <w:rsid w:val="14F32172"/>
    <w:rsid w:val="152210D4"/>
    <w:rsid w:val="155E1247"/>
    <w:rsid w:val="156631A2"/>
    <w:rsid w:val="157803EC"/>
    <w:rsid w:val="15833B88"/>
    <w:rsid w:val="15917A7A"/>
    <w:rsid w:val="15B94143"/>
    <w:rsid w:val="15C45B40"/>
    <w:rsid w:val="15D04B1B"/>
    <w:rsid w:val="15EC1483"/>
    <w:rsid w:val="15FB6969"/>
    <w:rsid w:val="160740D5"/>
    <w:rsid w:val="16126EAB"/>
    <w:rsid w:val="1617157F"/>
    <w:rsid w:val="162331CC"/>
    <w:rsid w:val="16244784"/>
    <w:rsid w:val="163B447A"/>
    <w:rsid w:val="163E2066"/>
    <w:rsid w:val="165000FE"/>
    <w:rsid w:val="165E2F28"/>
    <w:rsid w:val="16603C62"/>
    <w:rsid w:val="166B03A5"/>
    <w:rsid w:val="166E7458"/>
    <w:rsid w:val="167740F6"/>
    <w:rsid w:val="167967B8"/>
    <w:rsid w:val="167E1305"/>
    <w:rsid w:val="16914956"/>
    <w:rsid w:val="169401BE"/>
    <w:rsid w:val="16940976"/>
    <w:rsid w:val="16A51D2B"/>
    <w:rsid w:val="16E80028"/>
    <w:rsid w:val="16F453AC"/>
    <w:rsid w:val="170E4A17"/>
    <w:rsid w:val="17104308"/>
    <w:rsid w:val="171502CC"/>
    <w:rsid w:val="17343E73"/>
    <w:rsid w:val="174C3E6C"/>
    <w:rsid w:val="17755F1F"/>
    <w:rsid w:val="17B22CA4"/>
    <w:rsid w:val="17C3356A"/>
    <w:rsid w:val="17CB6B49"/>
    <w:rsid w:val="17D85300"/>
    <w:rsid w:val="17E83EF8"/>
    <w:rsid w:val="17EB5FDC"/>
    <w:rsid w:val="17F043EC"/>
    <w:rsid w:val="17F50DDD"/>
    <w:rsid w:val="17FA0F40"/>
    <w:rsid w:val="17FC187F"/>
    <w:rsid w:val="180572F4"/>
    <w:rsid w:val="18072AD3"/>
    <w:rsid w:val="180E6167"/>
    <w:rsid w:val="18234A47"/>
    <w:rsid w:val="182449F7"/>
    <w:rsid w:val="18304759"/>
    <w:rsid w:val="18340AA4"/>
    <w:rsid w:val="183A4087"/>
    <w:rsid w:val="18497D20"/>
    <w:rsid w:val="184F0833"/>
    <w:rsid w:val="18543A7E"/>
    <w:rsid w:val="18636A71"/>
    <w:rsid w:val="18657F19"/>
    <w:rsid w:val="187261E5"/>
    <w:rsid w:val="187A05EF"/>
    <w:rsid w:val="18A10B9D"/>
    <w:rsid w:val="18C56C49"/>
    <w:rsid w:val="19365938"/>
    <w:rsid w:val="19461191"/>
    <w:rsid w:val="19461BE4"/>
    <w:rsid w:val="19554BA6"/>
    <w:rsid w:val="195A1564"/>
    <w:rsid w:val="1976604F"/>
    <w:rsid w:val="198A486B"/>
    <w:rsid w:val="198A77C4"/>
    <w:rsid w:val="199A1C83"/>
    <w:rsid w:val="19AA285A"/>
    <w:rsid w:val="19B15249"/>
    <w:rsid w:val="19C54585"/>
    <w:rsid w:val="19CB11F2"/>
    <w:rsid w:val="19D62563"/>
    <w:rsid w:val="19F4044E"/>
    <w:rsid w:val="19F946C5"/>
    <w:rsid w:val="1A001874"/>
    <w:rsid w:val="1A036D72"/>
    <w:rsid w:val="1A1748DD"/>
    <w:rsid w:val="1A181609"/>
    <w:rsid w:val="1A1F5401"/>
    <w:rsid w:val="1A2F71AA"/>
    <w:rsid w:val="1A316DC8"/>
    <w:rsid w:val="1A3C4625"/>
    <w:rsid w:val="1A5F46B7"/>
    <w:rsid w:val="1A626922"/>
    <w:rsid w:val="1A807879"/>
    <w:rsid w:val="1A885234"/>
    <w:rsid w:val="1A8B1127"/>
    <w:rsid w:val="1A90484D"/>
    <w:rsid w:val="1AA96888"/>
    <w:rsid w:val="1AB142C9"/>
    <w:rsid w:val="1AC755C0"/>
    <w:rsid w:val="1ACA66AC"/>
    <w:rsid w:val="1AD3188A"/>
    <w:rsid w:val="1AE3134E"/>
    <w:rsid w:val="1AE612FA"/>
    <w:rsid w:val="1B056783"/>
    <w:rsid w:val="1B0A7964"/>
    <w:rsid w:val="1B1855DF"/>
    <w:rsid w:val="1B19058E"/>
    <w:rsid w:val="1B3B5B7C"/>
    <w:rsid w:val="1B3C5820"/>
    <w:rsid w:val="1B3F3220"/>
    <w:rsid w:val="1B6C3971"/>
    <w:rsid w:val="1B6D64FC"/>
    <w:rsid w:val="1B714D98"/>
    <w:rsid w:val="1B8A268E"/>
    <w:rsid w:val="1B9F1326"/>
    <w:rsid w:val="1BA626E0"/>
    <w:rsid w:val="1BAB6F24"/>
    <w:rsid w:val="1BBB2C1F"/>
    <w:rsid w:val="1BCC5F39"/>
    <w:rsid w:val="1BD34DB6"/>
    <w:rsid w:val="1BE86017"/>
    <w:rsid w:val="1BEF63E4"/>
    <w:rsid w:val="1BFA6487"/>
    <w:rsid w:val="1C192FB6"/>
    <w:rsid w:val="1C333FCF"/>
    <w:rsid w:val="1C3609A0"/>
    <w:rsid w:val="1C467B3B"/>
    <w:rsid w:val="1C525BB3"/>
    <w:rsid w:val="1C627CF0"/>
    <w:rsid w:val="1C6C7EC0"/>
    <w:rsid w:val="1C6D5F11"/>
    <w:rsid w:val="1C6D6565"/>
    <w:rsid w:val="1C7E6088"/>
    <w:rsid w:val="1C93315A"/>
    <w:rsid w:val="1C943609"/>
    <w:rsid w:val="1CBA3548"/>
    <w:rsid w:val="1CBC6734"/>
    <w:rsid w:val="1CD443AA"/>
    <w:rsid w:val="1CE473D3"/>
    <w:rsid w:val="1CE817B4"/>
    <w:rsid w:val="1CEF3197"/>
    <w:rsid w:val="1CF928F9"/>
    <w:rsid w:val="1D0A03CE"/>
    <w:rsid w:val="1D1538C8"/>
    <w:rsid w:val="1D1B16C1"/>
    <w:rsid w:val="1D1E7F77"/>
    <w:rsid w:val="1D3E0A73"/>
    <w:rsid w:val="1D621766"/>
    <w:rsid w:val="1D62210D"/>
    <w:rsid w:val="1D88557B"/>
    <w:rsid w:val="1D8877F2"/>
    <w:rsid w:val="1D9C0755"/>
    <w:rsid w:val="1DAD23FA"/>
    <w:rsid w:val="1DB005CF"/>
    <w:rsid w:val="1DB05EFA"/>
    <w:rsid w:val="1DB3040D"/>
    <w:rsid w:val="1DC26A01"/>
    <w:rsid w:val="1DC52C43"/>
    <w:rsid w:val="1DDE464B"/>
    <w:rsid w:val="1DEC21B2"/>
    <w:rsid w:val="1E033E1F"/>
    <w:rsid w:val="1E09160A"/>
    <w:rsid w:val="1E1208F1"/>
    <w:rsid w:val="1E236EFE"/>
    <w:rsid w:val="1E25030D"/>
    <w:rsid w:val="1E4873E2"/>
    <w:rsid w:val="1E5B13F0"/>
    <w:rsid w:val="1E6950FC"/>
    <w:rsid w:val="1E6D0D39"/>
    <w:rsid w:val="1E973D38"/>
    <w:rsid w:val="1E99053E"/>
    <w:rsid w:val="1EA47BA6"/>
    <w:rsid w:val="1EAB1E82"/>
    <w:rsid w:val="1EB0239B"/>
    <w:rsid w:val="1EC23E0B"/>
    <w:rsid w:val="1ED158CC"/>
    <w:rsid w:val="1EE36C3B"/>
    <w:rsid w:val="1EF351AD"/>
    <w:rsid w:val="1EF86154"/>
    <w:rsid w:val="1F075703"/>
    <w:rsid w:val="1F2A2487"/>
    <w:rsid w:val="1F4672ED"/>
    <w:rsid w:val="1F5E5823"/>
    <w:rsid w:val="1F714B3B"/>
    <w:rsid w:val="1F8266AB"/>
    <w:rsid w:val="1F8667ED"/>
    <w:rsid w:val="1FCD42EB"/>
    <w:rsid w:val="1FCD65C0"/>
    <w:rsid w:val="1FD40874"/>
    <w:rsid w:val="1FE26AEF"/>
    <w:rsid w:val="2008087E"/>
    <w:rsid w:val="20090558"/>
    <w:rsid w:val="200E2A62"/>
    <w:rsid w:val="200E3E6A"/>
    <w:rsid w:val="202D30A7"/>
    <w:rsid w:val="2032160B"/>
    <w:rsid w:val="204C6250"/>
    <w:rsid w:val="20520A08"/>
    <w:rsid w:val="20530D99"/>
    <w:rsid w:val="209C54DE"/>
    <w:rsid w:val="20A24867"/>
    <w:rsid w:val="20AA6EEC"/>
    <w:rsid w:val="20D23B6C"/>
    <w:rsid w:val="20F95ACC"/>
    <w:rsid w:val="210F3CC3"/>
    <w:rsid w:val="211E4852"/>
    <w:rsid w:val="214142D0"/>
    <w:rsid w:val="21486A0B"/>
    <w:rsid w:val="215741D9"/>
    <w:rsid w:val="2158183E"/>
    <w:rsid w:val="215F66C8"/>
    <w:rsid w:val="216C4C09"/>
    <w:rsid w:val="21822BCE"/>
    <w:rsid w:val="21AB3FAB"/>
    <w:rsid w:val="21B900DE"/>
    <w:rsid w:val="21BA1A56"/>
    <w:rsid w:val="21F2689C"/>
    <w:rsid w:val="21F469C2"/>
    <w:rsid w:val="222A18E7"/>
    <w:rsid w:val="222D4085"/>
    <w:rsid w:val="223645B9"/>
    <w:rsid w:val="22403E11"/>
    <w:rsid w:val="224F2217"/>
    <w:rsid w:val="226B0AA8"/>
    <w:rsid w:val="229F7099"/>
    <w:rsid w:val="22AF285C"/>
    <w:rsid w:val="22B04745"/>
    <w:rsid w:val="22D95BE6"/>
    <w:rsid w:val="22FF75A2"/>
    <w:rsid w:val="230E0878"/>
    <w:rsid w:val="231217C0"/>
    <w:rsid w:val="231876C9"/>
    <w:rsid w:val="233279AD"/>
    <w:rsid w:val="233805C4"/>
    <w:rsid w:val="23412538"/>
    <w:rsid w:val="236351D9"/>
    <w:rsid w:val="236D0799"/>
    <w:rsid w:val="238E1CEF"/>
    <w:rsid w:val="238F1CFE"/>
    <w:rsid w:val="2393420A"/>
    <w:rsid w:val="23BD7740"/>
    <w:rsid w:val="23BE638C"/>
    <w:rsid w:val="23D60658"/>
    <w:rsid w:val="23D91858"/>
    <w:rsid w:val="23F0711C"/>
    <w:rsid w:val="23F140FE"/>
    <w:rsid w:val="24096C4F"/>
    <w:rsid w:val="240E4AA0"/>
    <w:rsid w:val="240E4FF4"/>
    <w:rsid w:val="242714CA"/>
    <w:rsid w:val="242A1074"/>
    <w:rsid w:val="24311360"/>
    <w:rsid w:val="2431345C"/>
    <w:rsid w:val="243A25AE"/>
    <w:rsid w:val="243D4317"/>
    <w:rsid w:val="24517164"/>
    <w:rsid w:val="24616C36"/>
    <w:rsid w:val="24656E2F"/>
    <w:rsid w:val="246F60D7"/>
    <w:rsid w:val="2472128A"/>
    <w:rsid w:val="248A6004"/>
    <w:rsid w:val="248B6CD3"/>
    <w:rsid w:val="24946BDB"/>
    <w:rsid w:val="24972FD6"/>
    <w:rsid w:val="24A8108A"/>
    <w:rsid w:val="24B51418"/>
    <w:rsid w:val="24BB4FBC"/>
    <w:rsid w:val="24BD3B24"/>
    <w:rsid w:val="24C43B9F"/>
    <w:rsid w:val="24D41AF8"/>
    <w:rsid w:val="24E20FFE"/>
    <w:rsid w:val="24F5249B"/>
    <w:rsid w:val="24F57E3A"/>
    <w:rsid w:val="25043125"/>
    <w:rsid w:val="25192633"/>
    <w:rsid w:val="2539338D"/>
    <w:rsid w:val="253B609C"/>
    <w:rsid w:val="254231B3"/>
    <w:rsid w:val="25436D76"/>
    <w:rsid w:val="25532A53"/>
    <w:rsid w:val="255C233E"/>
    <w:rsid w:val="256602B5"/>
    <w:rsid w:val="257934D4"/>
    <w:rsid w:val="259023EF"/>
    <w:rsid w:val="25902E77"/>
    <w:rsid w:val="25B420F1"/>
    <w:rsid w:val="25CE5618"/>
    <w:rsid w:val="25D048DC"/>
    <w:rsid w:val="25DD07CE"/>
    <w:rsid w:val="25DE5517"/>
    <w:rsid w:val="25E174A1"/>
    <w:rsid w:val="25F30668"/>
    <w:rsid w:val="25F70C36"/>
    <w:rsid w:val="25F75F0D"/>
    <w:rsid w:val="2617606B"/>
    <w:rsid w:val="26403339"/>
    <w:rsid w:val="265820A5"/>
    <w:rsid w:val="2658652B"/>
    <w:rsid w:val="26975546"/>
    <w:rsid w:val="26AD4C7D"/>
    <w:rsid w:val="26C62779"/>
    <w:rsid w:val="26C73D29"/>
    <w:rsid w:val="26D9707E"/>
    <w:rsid w:val="26E62A2A"/>
    <w:rsid w:val="26EC4AB2"/>
    <w:rsid w:val="26EC6F11"/>
    <w:rsid w:val="26F74A77"/>
    <w:rsid w:val="2730134D"/>
    <w:rsid w:val="273329B1"/>
    <w:rsid w:val="273B16DC"/>
    <w:rsid w:val="2745011E"/>
    <w:rsid w:val="275B47F4"/>
    <w:rsid w:val="277C05CD"/>
    <w:rsid w:val="278614B6"/>
    <w:rsid w:val="27974F99"/>
    <w:rsid w:val="279B78DD"/>
    <w:rsid w:val="27B8115C"/>
    <w:rsid w:val="27C40111"/>
    <w:rsid w:val="282455B0"/>
    <w:rsid w:val="28384A1E"/>
    <w:rsid w:val="28611716"/>
    <w:rsid w:val="28831DA4"/>
    <w:rsid w:val="2889186F"/>
    <w:rsid w:val="2890018A"/>
    <w:rsid w:val="289315A6"/>
    <w:rsid w:val="28B15DE2"/>
    <w:rsid w:val="28CC43B5"/>
    <w:rsid w:val="28D05A2F"/>
    <w:rsid w:val="28D17D00"/>
    <w:rsid w:val="28D32DC8"/>
    <w:rsid w:val="28EA2E17"/>
    <w:rsid w:val="290C4EC7"/>
    <w:rsid w:val="291C14B0"/>
    <w:rsid w:val="292C1BA8"/>
    <w:rsid w:val="293052E1"/>
    <w:rsid w:val="29365860"/>
    <w:rsid w:val="293C0F62"/>
    <w:rsid w:val="2953563C"/>
    <w:rsid w:val="29575740"/>
    <w:rsid w:val="295F481E"/>
    <w:rsid w:val="296C4B48"/>
    <w:rsid w:val="298F2F3E"/>
    <w:rsid w:val="29A502FE"/>
    <w:rsid w:val="29A54ED2"/>
    <w:rsid w:val="29E228CD"/>
    <w:rsid w:val="2A080553"/>
    <w:rsid w:val="2A2D3329"/>
    <w:rsid w:val="2A320006"/>
    <w:rsid w:val="2A32680A"/>
    <w:rsid w:val="2A374689"/>
    <w:rsid w:val="2A514AC6"/>
    <w:rsid w:val="2A8A56AD"/>
    <w:rsid w:val="2AA20DDE"/>
    <w:rsid w:val="2AD768DE"/>
    <w:rsid w:val="2ADF5B1B"/>
    <w:rsid w:val="2AF15FEE"/>
    <w:rsid w:val="2B3D58C8"/>
    <w:rsid w:val="2B49151F"/>
    <w:rsid w:val="2B511D43"/>
    <w:rsid w:val="2B644A16"/>
    <w:rsid w:val="2B884AC6"/>
    <w:rsid w:val="2B92617F"/>
    <w:rsid w:val="2B930DA2"/>
    <w:rsid w:val="2BA009DA"/>
    <w:rsid w:val="2BBF167F"/>
    <w:rsid w:val="2BC4105E"/>
    <w:rsid w:val="2BC41EFF"/>
    <w:rsid w:val="2BE43ACE"/>
    <w:rsid w:val="2BF02173"/>
    <w:rsid w:val="2BFC05A0"/>
    <w:rsid w:val="2BFD3116"/>
    <w:rsid w:val="2C112270"/>
    <w:rsid w:val="2C1C0F0C"/>
    <w:rsid w:val="2C1E5472"/>
    <w:rsid w:val="2C2475F4"/>
    <w:rsid w:val="2C2B6476"/>
    <w:rsid w:val="2C37768D"/>
    <w:rsid w:val="2C3E7736"/>
    <w:rsid w:val="2C55481C"/>
    <w:rsid w:val="2C595C67"/>
    <w:rsid w:val="2C5A63A3"/>
    <w:rsid w:val="2C707535"/>
    <w:rsid w:val="2C717046"/>
    <w:rsid w:val="2C741581"/>
    <w:rsid w:val="2C890121"/>
    <w:rsid w:val="2C9038FF"/>
    <w:rsid w:val="2C9B2C72"/>
    <w:rsid w:val="2C9E73EA"/>
    <w:rsid w:val="2CAC1F90"/>
    <w:rsid w:val="2CB64C31"/>
    <w:rsid w:val="2CB9127F"/>
    <w:rsid w:val="2CBA23A9"/>
    <w:rsid w:val="2CF81830"/>
    <w:rsid w:val="2D19525A"/>
    <w:rsid w:val="2D1D79BC"/>
    <w:rsid w:val="2D3D6C6E"/>
    <w:rsid w:val="2D550DC7"/>
    <w:rsid w:val="2D5E2FEE"/>
    <w:rsid w:val="2D6D7865"/>
    <w:rsid w:val="2D6E4B40"/>
    <w:rsid w:val="2D737DF3"/>
    <w:rsid w:val="2D981B03"/>
    <w:rsid w:val="2DB050CD"/>
    <w:rsid w:val="2DB10BD1"/>
    <w:rsid w:val="2DB565EC"/>
    <w:rsid w:val="2DBE082F"/>
    <w:rsid w:val="2DC559CC"/>
    <w:rsid w:val="2DE06A6E"/>
    <w:rsid w:val="2DE3315B"/>
    <w:rsid w:val="2DF63C1E"/>
    <w:rsid w:val="2DF90CF5"/>
    <w:rsid w:val="2E260455"/>
    <w:rsid w:val="2E4C3953"/>
    <w:rsid w:val="2E603D4F"/>
    <w:rsid w:val="2E701BE6"/>
    <w:rsid w:val="2E795B3A"/>
    <w:rsid w:val="2E855A90"/>
    <w:rsid w:val="2EB57BDA"/>
    <w:rsid w:val="2EC16692"/>
    <w:rsid w:val="2EF33558"/>
    <w:rsid w:val="2F0951A0"/>
    <w:rsid w:val="2F1C2FA6"/>
    <w:rsid w:val="2F581F98"/>
    <w:rsid w:val="2F8166E8"/>
    <w:rsid w:val="2F82281C"/>
    <w:rsid w:val="2F9D18EC"/>
    <w:rsid w:val="2F9D2B9E"/>
    <w:rsid w:val="2FBF6EDF"/>
    <w:rsid w:val="2FD07200"/>
    <w:rsid w:val="2FE02489"/>
    <w:rsid w:val="2FE22D0C"/>
    <w:rsid w:val="2FE75DCD"/>
    <w:rsid w:val="2FED776E"/>
    <w:rsid w:val="2FF132AF"/>
    <w:rsid w:val="301C0247"/>
    <w:rsid w:val="302412BA"/>
    <w:rsid w:val="302B2BBA"/>
    <w:rsid w:val="303F0F6B"/>
    <w:rsid w:val="30423E55"/>
    <w:rsid w:val="30476466"/>
    <w:rsid w:val="30546FF8"/>
    <w:rsid w:val="30552C15"/>
    <w:rsid w:val="305C10A3"/>
    <w:rsid w:val="30774CD9"/>
    <w:rsid w:val="308F7EF2"/>
    <w:rsid w:val="3091221B"/>
    <w:rsid w:val="30944C5E"/>
    <w:rsid w:val="309A1351"/>
    <w:rsid w:val="309D11BA"/>
    <w:rsid w:val="30A0635C"/>
    <w:rsid w:val="30A62355"/>
    <w:rsid w:val="30BE1C9A"/>
    <w:rsid w:val="30C23232"/>
    <w:rsid w:val="30C533B2"/>
    <w:rsid w:val="30D40BD8"/>
    <w:rsid w:val="30D50D6C"/>
    <w:rsid w:val="30D6426E"/>
    <w:rsid w:val="30DB763F"/>
    <w:rsid w:val="30EC4E72"/>
    <w:rsid w:val="30EE234B"/>
    <w:rsid w:val="30F63E5A"/>
    <w:rsid w:val="3105419F"/>
    <w:rsid w:val="311A694E"/>
    <w:rsid w:val="314B207B"/>
    <w:rsid w:val="31544CD5"/>
    <w:rsid w:val="31672FBF"/>
    <w:rsid w:val="3189651B"/>
    <w:rsid w:val="319449B7"/>
    <w:rsid w:val="31A625E2"/>
    <w:rsid w:val="31C659C6"/>
    <w:rsid w:val="31DE4CCE"/>
    <w:rsid w:val="3207472B"/>
    <w:rsid w:val="320F44D5"/>
    <w:rsid w:val="3218142B"/>
    <w:rsid w:val="323377AC"/>
    <w:rsid w:val="32346C17"/>
    <w:rsid w:val="323E0530"/>
    <w:rsid w:val="324C6D2C"/>
    <w:rsid w:val="325D2450"/>
    <w:rsid w:val="326F03B6"/>
    <w:rsid w:val="32746955"/>
    <w:rsid w:val="32845F7F"/>
    <w:rsid w:val="32847E05"/>
    <w:rsid w:val="32891785"/>
    <w:rsid w:val="32965845"/>
    <w:rsid w:val="32AA62D7"/>
    <w:rsid w:val="32C23E25"/>
    <w:rsid w:val="32DE5743"/>
    <w:rsid w:val="32E04D15"/>
    <w:rsid w:val="32F038F7"/>
    <w:rsid w:val="32F50FA4"/>
    <w:rsid w:val="32F76ACB"/>
    <w:rsid w:val="32FC6DDF"/>
    <w:rsid w:val="33144309"/>
    <w:rsid w:val="331B5503"/>
    <w:rsid w:val="332D6BED"/>
    <w:rsid w:val="3333527E"/>
    <w:rsid w:val="333438E2"/>
    <w:rsid w:val="334441BE"/>
    <w:rsid w:val="335401CB"/>
    <w:rsid w:val="336436F4"/>
    <w:rsid w:val="339B4821"/>
    <w:rsid w:val="33B77292"/>
    <w:rsid w:val="33BC6DCA"/>
    <w:rsid w:val="33C85F7F"/>
    <w:rsid w:val="33CD3A02"/>
    <w:rsid w:val="33CD7E7F"/>
    <w:rsid w:val="33FC5FEE"/>
    <w:rsid w:val="3403093B"/>
    <w:rsid w:val="34071433"/>
    <w:rsid w:val="34225354"/>
    <w:rsid w:val="34301E58"/>
    <w:rsid w:val="343C0A53"/>
    <w:rsid w:val="345A6D75"/>
    <w:rsid w:val="345D5BAF"/>
    <w:rsid w:val="345F315C"/>
    <w:rsid w:val="34685670"/>
    <w:rsid w:val="34703CCA"/>
    <w:rsid w:val="347C0426"/>
    <w:rsid w:val="34812999"/>
    <w:rsid w:val="349111FA"/>
    <w:rsid w:val="349729EE"/>
    <w:rsid w:val="34A95601"/>
    <w:rsid w:val="34BE58FC"/>
    <w:rsid w:val="34BF4CDD"/>
    <w:rsid w:val="34C71A05"/>
    <w:rsid w:val="34CA21F0"/>
    <w:rsid w:val="34E32AFC"/>
    <w:rsid w:val="350B5DE9"/>
    <w:rsid w:val="35200C72"/>
    <w:rsid w:val="353C0BDA"/>
    <w:rsid w:val="35503CCC"/>
    <w:rsid w:val="355A22EB"/>
    <w:rsid w:val="356262E7"/>
    <w:rsid w:val="35632DC9"/>
    <w:rsid w:val="356924CF"/>
    <w:rsid w:val="356C3BE0"/>
    <w:rsid w:val="356C62EB"/>
    <w:rsid w:val="357E76DC"/>
    <w:rsid w:val="358D28E2"/>
    <w:rsid w:val="35932461"/>
    <w:rsid w:val="35A75729"/>
    <w:rsid w:val="35D42ED6"/>
    <w:rsid w:val="35D62B7F"/>
    <w:rsid w:val="35D66B3D"/>
    <w:rsid w:val="35E15839"/>
    <w:rsid w:val="35E456F2"/>
    <w:rsid w:val="35F8774F"/>
    <w:rsid w:val="36051EAA"/>
    <w:rsid w:val="3616056B"/>
    <w:rsid w:val="363A4882"/>
    <w:rsid w:val="364833AD"/>
    <w:rsid w:val="364E2A0B"/>
    <w:rsid w:val="3658125A"/>
    <w:rsid w:val="36B90B92"/>
    <w:rsid w:val="36CB5DF5"/>
    <w:rsid w:val="36CE17ED"/>
    <w:rsid w:val="36DF59F1"/>
    <w:rsid w:val="36F0136F"/>
    <w:rsid w:val="36F24A15"/>
    <w:rsid w:val="36F84E57"/>
    <w:rsid w:val="36FE15A3"/>
    <w:rsid w:val="370B2E6E"/>
    <w:rsid w:val="371B5779"/>
    <w:rsid w:val="37234FBE"/>
    <w:rsid w:val="372629DE"/>
    <w:rsid w:val="37277F15"/>
    <w:rsid w:val="372C672B"/>
    <w:rsid w:val="372F1691"/>
    <w:rsid w:val="374512DB"/>
    <w:rsid w:val="37474C87"/>
    <w:rsid w:val="374A7459"/>
    <w:rsid w:val="37542E04"/>
    <w:rsid w:val="3755603A"/>
    <w:rsid w:val="375C4DC0"/>
    <w:rsid w:val="37617E10"/>
    <w:rsid w:val="37663457"/>
    <w:rsid w:val="377C7B02"/>
    <w:rsid w:val="37821EB3"/>
    <w:rsid w:val="37A54290"/>
    <w:rsid w:val="37BF09B1"/>
    <w:rsid w:val="37D331DE"/>
    <w:rsid w:val="37DD23A8"/>
    <w:rsid w:val="37E321B8"/>
    <w:rsid w:val="37F5613A"/>
    <w:rsid w:val="37FB1100"/>
    <w:rsid w:val="37FE5A74"/>
    <w:rsid w:val="38110409"/>
    <w:rsid w:val="382261B0"/>
    <w:rsid w:val="383D49EB"/>
    <w:rsid w:val="383E2AF0"/>
    <w:rsid w:val="384604E2"/>
    <w:rsid w:val="384B77C4"/>
    <w:rsid w:val="38580C07"/>
    <w:rsid w:val="385B1B52"/>
    <w:rsid w:val="38616B4B"/>
    <w:rsid w:val="386814B5"/>
    <w:rsid w:val="38B743CD"/>
    <w:rsid w:val="38DF478A"/>
    <w:rsid w:val="38E90A0D"/>
    <w:rsid w:val="38EE4796"/>
    <w:rsid w:val="38F37FF0"/>
    <w:rsid w:val="39010979"/>
    <w:rsid w:val="390E7042"/>
    <w:rsid w:val="391A6AB0"/>
    <w:rsid w:val="39213712"/>
    <w:rsid w:val="39434B6D"/>
    <w:rsid w:val="395405F8"/>
    <w:rsid w:val="396C0380"/>
    <w:rsid w:val="39792B3C"/>
    <w:rsid w:val="39817970"/>
    <w:rsid w:val="39825B47"/>
    <w:rsid w:val="39986A6F"/>
    <w:rsid w:val="399927A9"/>
    <w:rsid w:val="399B48DC"/>
    <w:rsid w:val="39A5300D"/>
    <w:rsid w:val="39A72B00"/>
    <w:rsid w:val="39AC7FF9"/>
    <w:rsid w:val="39AF6807"/>
    <w:rsid w:val="39B13CA5"/>
    <w:rsid w:val="39CE2B9F"/>
    <w:rsid w:val="39DC26D4"/>
    <w:rsid w:val="39F63532"/>
    <w:rsid w:val="39F71A1D"/>
    <w:rsid w:val="39FC2FE1"/>
    <w:rsid w:val="3A015BCD"/>
    <w:rsid w:val="3A3875F3"/>
    <w:rsid w:val="3A464FDB"/>
    <w:rsid w:val="3A606325"/>
    <w:rsid w:val="3A645B39"/>
    <w:rsid w:val="3A6D5163"/>
    <w:rsid w:val="3A77647F"/>
    <w:rsid w:val="3A7A2979"/>
    <w:rsid w:val="3A9E3233"/>
    <w:rsid w:val="3AA556DE"/>
    <w:rsid w:val="3AA64DDE"/>
    <w:rsid w:val="3AE12772"/>
    <w:rsid w:val="3AE95B64"/>
    <w:rsid w:val="3AED5886"/>
    <w:rsid w:val="3AFE165E"/>
    <w:rsid w:val="3B052E3C"/>
    <w:rsid w:val="3B16239F"/>
    <w:rsid w:val="3B202882"/>
    <w:rsid w:val="3B267B6E"/>
    <w:rsid w:val="3B3061D7"/>
    <w:rsid w:val="3B310B49"/>
    <w:rsid w:val="3B4A7F5B"/>
    <w:rsid w:val="3B6B1711"/>
    <w:rsid w:val="3B8A6A10"/>
    <w:rsid w:val="3B8D472A"/>
    <w:rsid w:val="3B9C5E4C"/>
    <w:rsid w:val="3BB3381F"/>
    <w:rsid w:val="3BBE1E17"/>
    <w:rsid w:val="3BC718C9"/>
    <w:rsid w:val="3BD52A27"/>
    <w:rsid w:val="3BF92B2A"/>
    <w:rsid w:val="3BFF0CCA"/>
    <w:rsid w:val="3C096ED4"/>
    <w:rsid w:val="3C0C5FDA"/>
    <w:rsid w:val="3C0D5DBF"/>
    <w:rsid w:val="3C134D30"/>
    <w:rsid w:val="3C1E3274"/>
    <w:rsid w:val="3C56426B"/>
    <w:rsid w:val="3C582FD3"/>
    <w:rsid w:val="3CA67F63"/>
    <w:rsid w:val="3CAA4E4E"/>
    <w:rsid w:val="3CBE463F"/>
    <w:rsid w:val="3CC738E5"/>
    <w:rsid w:val="3CCA1CF5"/>
    <w:rsid w:val="3CDC6BBF"/>
    <w:rsid w:val="3CEF057B"/>
    <w:rsid w:val="3D117C86"/>
    <w:rsid w:val="3D1526F7"/>
    <w:rsid w:val="3D3C516C"/>
    <w:rsid w:val="3D4557FF"/>
    <w:rsid w:val="3D525F41"/>
    <w:rsid w:val="3D5F5D88"/>
    <w:rsid w:val="3D69493F"/>
    <w:rsid w:val="3D7920EC"/>
    <w:rsid w:val="3D910906"/>
    <w:rsid w:val="3D9E4077"/>
    <w:rsid w:val="3DA53CC2"/>
    <w:rsid w:val="3DB52AC7"/>
    <w:rsid w:val="3DCF275E"/>
    <w:rsid w:val="3DEE6C3B"/>
    <w:rsid w:val="3E1537C9"/>
    <w:rsid w:val="3E297586"/>
    <w:rsid w:val="3E2A490A"/>
    <w:rsid w:val="3E2D2522"/>
    <w:rsid w:val="3E307C25"/>
    <w:rsid w:val="3E5D7131"/>
    <w:rsid w:val="3E6D27C1"/>
    <w:rsid w:val="3EB36426"/>
    <w:rsid w:val="3EC805BE"/>
    <w:rsid w:val="3ECC2EB9"/>
    <w:rsid w:val="3ED57DB6"/>
    <w:rsid w:val="3ED70887"/>
    <w:rsid w:val="3EE959D7"/>
    <w:rsid w:val="3EF117C0"/>
    <w:rsid w:val="3F0C25F1"/>
    <w:rsid w:val="3F194903"/>
    <w:rsid w:val="3F243387"/>
    <w:rsid w:val="3F2A6294"/>
    <w:rsid w:val="3F515F50"/>
    <w:rsid w:val="3F59083C"/>
    <w:rsid w:val="3F665642"/>
    <w:rsid w:val="3F68748A"/>
    <w:rsid w:val="3F87108D"/>
    <w:rsid w:val="3FCC7542"/>
    <w:rsid w:val="3FD70095"/>
    <w:rsid w:val="3FDD3D4C"/>
    <w:rsid w:val="3FE307B6"/>
    <w:rsid w:val="3FE62EC4"/>
    <w:rsid w:val="400B49B8"/>
    <w:rsid w:val="400D7F64"/>
    <w:rsid w:val="401A5546"/>
    <w:rsid w:val="40237068"/>
    <w:rsid w:val="40254EB0"/>
    <w:rsid w:val="404410B3"/>
    <w:rsid w:val="404E0AE5"/>
    <w:rsid w:val="40760EA4"/>
    <w:rsid w:val="40795F27"/>
    <w:rsid w:val="407B247E"/>
    <w:rsid w:val="407B772F"/>
    <w:rsid w:val="40A3028D"/>
    <w:rsid w:val="40AD1780"/>
    <w:rsid w:val="40B97A57"/>
    <w:rsid w:val="40CA7C8F"/>
    <w:rsid w:val="40E94BBB"/>
    <w:rsid w:val="40FD2220"/>
    <w:rsid w:val="4115511C"/>
    <w:rsid w:val="411B24C8"/>
    <w:rsid w:val="41353FCB"/>
    <w:rsid w:val="41380F28"/>
    <w:rsid w:val="41465319"/>
    <w:rsid w:val="415516B6"/>
    <w:rsid w:val="415A72B7"/>
    <w:rsid w:val="41667C09"/>
    <w:rsid w:val="416C1FE0"/>
    <w:rsid w:val="416D3B20"/>
    <w:rsid w:val="41842BDC"/>
    <w:rsid w:val="4185406D"/>
    <w:rsid w:val="41913ED7"/>
    <w:rsid w:val="41B110ED"/>
    <w:rsid w:val="41C0009E"/>
    <w:rsid w:val="41C47AF9"/>
    <w:rsid w:val="41CA1BFF"/>
    <w:rsid w:val="41D673DE"/>
    <w:rsid w:val="41E245C8"/>
    <w:rsid w:val="41F14E13"/>
    <w:rsid w:val="420266EF"/>
    <w:rsid w:val="42251A9C"/>
    <w:rsid w:val="42260953"/>
    <w:rsid w:val="4242055B"/>
    <w:rsid w:val="424B7B8E"/>
    <w:rsid w:val="42646C07"/>
    <w:rsid w:val="42675730"/>
    <w:rsid w:val="42804504"/>
    <w:rsid w:val="42847689"/>
    <w:rsid w:val="42895B7D"/>
    <w:rsid w:val="42900524"/>
    <w:rsid w:val="42D44D73"/>
    <w:rsid w:val="42D622A4"/>
    <w:rsid w:val="42E75C33"/>
    <w:rsid w:val="42F343D0"/>
    <w:rsid w:val="432C5F86"/>
    <w:rsid w:val="435772B3"/>
    <w:rsid w:val="43675588"/>
    <w:rsid w:val="4368729D"/>
    <w:rsid w:val="43947F85"/>
    <w:rsid w:val="439C3BC9"/>
    <w:rsid w:val="439D3349"/>
    <w:rsid w:val="43ED18E2"/>
    <w:rsid w:val="44000043"/>
    <w:rsid w:val="44012CF6"/>
    <w:rsid w:val="44023CD1"/>
    <w:rsid w:val="440C5E31"/>
    <w:rsid w:val="441735E3"/>
    <w:rsid w:val="44186F9B"/>
    <w:rsid w:val="44214E97"/>
    <w:rsid w:val="447A5469"/>
    <w:rsid w:val="4484348C"/>
    <w:rsid w:val="44891658"/>
    <w:rsid w:val="44975755"/>
    <w:rsid w:val="44AD6D82"/>
    <w:rsid w:val="44BB1DC2"/>
    <w:rsid w:val="44CC67A3"/>
    <w:rsid w:val="44DD0B1A"/>
    <w:rsid w:val="44E1093F"/>
    <w:rsid w:val="44F10B74"/>
    <w:rsid w:val="451D6A39"/>
    <w:rsid w:val="454510D7"/>
    <w:rsid w:val="4575521C"/>
    <w:rsid w:val="45836874"/>
    <w:rsid w:val="458B1F7B"/>
    <w:rsid w:val="459800D0"/>
    <w:rsid w:val="45A06989"/>
    <w:rsid w:val="45A26AAC"/>
    <w:rsid w:val="45AD5C5C"/>
    <w:rsid w:val="45BC6ACD"/>
    <w:rsid w:val="45C650AB"/>
    <w:rsid w:val="45E67624"/>
    <w:rsid w:val="45F7608E"/>
    <w:rsid w:val="46033A13"/>
    <w:rsid w:val="460A1CD9"/>
    <w:rsid w:val="46193D3D"/>
    <w:rsid w:val="461A198F"/>
    <w:rsid w:val="46283E22"/>
    <w:rsid w:val="46473EB3"/>
    <w:rsid w:val="465029A9"/>
    <w:rsid w:val="46581F29"/>
    <w:rsid w:val="46601A3D"/>
    <w:rsid w:val="466D66B8"/>
    <w:rsid w:val="46721ADC"/>
    <w:rsid w:val="467C73E4"/>
    <w:rsid w:val="46854518"/>
    <w:rsid w:val="46AB6BEB"/>
    <w:rsid w:val="46B8035F"/>
    <w:rsid w:val="46CA1C65"/>
    <w:rsid w:val="46F271C9"/>
    <w:rsid w:val="46F6108A"/>
    <w:rsid w:val="46F71762"/>
    <w:rsid w:val="47030B84"/>
    <w:rsid w:val="47087D30"/>
    <w:rsid w:val="47174590"/>
    <w:rsid w:val="471D2D8C"/>
    <w:rsid w:val="471F2841"/>
    <w:rsid w:val="47267C19"/>
    <w:rsid w:val="47482027"/>
    <w:rsid w:val="476738ED"/>
    <w:rsid w:val="47846914"/>
    <w:rsid w:val="478D3D5A"/>
    <w:rsid w:val="479960AE"/>
    <w:rsid w:val="47AB0594"/>
    <w:rsid w:val="47AB06C3"/>
    <w:rsid w:val="47C037C3"/>
    <w:rsid w:val="47C22E7F"/>
    <w:rsid w:val="47DD6D35"/>
    <w:rsid w:val="47E14C80"/>
    <w:rsid w:val="47EB480D"/>
    <w:rsid w:val="48081D59"/>
    <w:rsid w:val="480F50A6"/>
    <w:rsid w:val="48125A62"/>
    <w:rsid w:val="481D0B1D"/>
    <w:rsid w:val="48267812"/>
    <w:rsid w:val="482B4493"/>
    <w:rsid w:val="482E6CF9"/>
    <w:rsid w:val="48342857"/>
    <w:rsid w:val="48467DAA"/>
    <w:rsid w:val="4855168E"/>
    <w:rsid w:val="485A2519"/>
    <w:rsid w:val="487010F8"/>
    <w:rsid w:val="488265C5"/>
    <w:rsid w:val="48B2019F"/>
    <w:rsid w:val="48BD55BF"/>
    <w:rsid w:val="48D923CD"/>
    <w:rsid w:val="48F85268"/>
    <w:rsid w:val="491C46FD"/>
    <w:rsid w:val="4925486F"/>
    <w:rsid w:val="492D7768"/>
    <w:rsid w:val="493108A9"/>
    <w:rsid w:val="493C46D0"/>
    <w:rsid w:val="4949007D"/>
    <w:rsid w:val="496B470E"/>
    <w:rsid w:val="4984098B"/>
    <w:rsid w:val="498D37BC"/>
    <w:rsid w:val="49A85671"/>
    <w:rsid w:val="49B314F7"/>
    <w:rsid w:val="49B66623"/>
    <w:rsid w:val="49BE0912"/>
    <w:rsid w:val="49C0276E"/>
    <w:rsid w:val="49C52170"/>
    <w:rsid w:val="49E21787"/>
    <w:rsid w:val="49FF564E"/>
    <w:rsid w:val="4A02761A"/>
    <w:rsid w:val="4A092B70"/>
    <w:rsid w:val="4A2E389D"/>
    <w:rsid w:val="4A333AF6"/>
    <w:rsid w:val="4A3E4185"/>
    <w:rsid w:val="4A483021"/>
    <w:rsid w:val="4A4C26FC"/>
    <w:rsid w:val="4A6C3AFA"/>
    <w:rsid w:val="4A6F7DDB"/>
    <w:rsid w:val="4A70587F"/>
    <w:rsid w:val="4A850E65"/>
    <w:rsid w:val="4A872FFD"/>
    <w:rsid w:val="4A8E032D"/>
    <w:rsid w:val="4A946FF1"/>
    <w:rsid w:val="4A996C4A"/>
    <w:rsid w:val="4AC61477"/>
    <w:rsid w:val="4AC657AB"/>
    <w:rsid w:val="4ADB4590"/>
    <w:rsid w:val="4B2271D8"/>
    <w:rsid w:val="4B42567C"/>
    <w:rsid w:val="4B5E3F17"/>
    <w:rsid w:val="4B667CB4"/>
    <w:rsid w:val="4B6A6DD5"/>
    <w:rsid w:val="4B7E6C65"/>
    <w:rsid w:val="4B947533"/>
    <w:rsid w:val="4BB56225"/>
    <w:rsid w:val="4BC776D4"/>
    <w:rsid w:val="4BEB55C0"/>
    <w:rsid w:val="4BFA7433"/>
    <w:rsid w:val="4BFB249C"/>
    <w:rsid w:val="4C016845"/>
    <w:rsid w:val="4C320647"/>
    <w:rsid w:val="4C3541ED"/>
    <w:rsid w:val="4C4D2133"/>
    <w:rsid w:val="4C4E13F4"/>
    <w:rsid w:val="4C515331"/>
    <w:rsid w:val="4C7736BD"/>
    <w:rsid w:val="4C7908AB"/>
    <w:rsid w:val="4C8B50D3"/>
    <w:rsid w:val="4C950882"/>
    <w:rsid w:val="4C992513"/>
    <w:rsid w:val="4CA01FB8"/>
    <w:rsid w:val="4CA908E4"/>
    <w:rsid w:val="4CC84381"/>
    <w:rsid w:val="4CCF31C1"/>
    <w:rsid w:val="4CEB46FA"/>
    <w:rsid w:val="4CEE029F"/>
    <w:rsid w:val="4D3708A2"/>
    <w:rsid w:val="4D6A6F5A"/>
    <w:rsid w:val="4D7E7674"/>
    <w:rsid w:val="4D916292"/>
    <w:rsid w:val="4DD11A4B"/>
    <w:rsid w:val="4E082E67"/>
    <w:rsid w:val="4E0A5321"/>
    <w:rsid w:val="4E3103B4"/>
    <w:rsid w:val="4E466983"/>
    <w:rsid w:val="4E572057"/>
    <w:rsid w:val="4E7343A2"/>
    <w:rsid w:val="4EB55A2E"/>
    <w:rsid w:val="4EB63305"/>
    <w:rsid w:val="4EBE600D"/>
    <w:rsid w:val="4ECD0E9A"/>
    <w:rsid w:val="4ED860C6"/>
    <w:rsid w:val="4EE37C53"/>
    <w:rsid w:val="4EE45A6B"/>
    <w:rsid w:val="4EF5023A"/>
    <w:rsid w:val="4F190FCF"/>
    <w:rsid w:val="4F1E1DE1"/>
    <w:rsid w:val="4F31146A"/>
    <w:rsid w:val="4F407438"/>
    <w:rsid w:val="4F433E2B"/>
    <w:rsid w:val="4F443B2B"/>
    <w:rsid w:val="4F4821D5"/>
    <w:rsid w:val="4F641359"/>
    <w:rsid w:val="4F671494"/>
    <w:rsid w:val="4F80565D"/>
    <w:rsid w:val="4F967B14"/>
    <w:rsid w:val="4F9877C3"/>
    <w:rsid w:val="4F9F150D"/>
    <w:rsid w:val="4FBE0628"/>
    <w:rsid w:val="4FD51CC9"/>
    <w:rsid w:val="4FDE1DDF"/>
    <w:rsid w:val="4FE00E8A"/>
    <w:rsid w:val="4FFE1011"/>
    <w:rsid w:val="50085081"/>
    <w:rsid w:val="5013479E"/>
    <w:rsid w:val="502F49FF"/>
    <w:rsid w:val="50556569"/>
    <w:rsid w:val="50621BE1"/>
    <w:rsid w:val="50624C13"/>
    <w:rsid w:val="5085303D"/>
    <w:rsid w:val="5085567E"/>
    <w:rsid w:val="508C05C4"/>
    <w:rsid w:val="5090660E"/>
    <w:rsid w:val="50992DB8"/>
    <w:rsid w:val="509E1907"/>
    <w:rsid w:val="50A75CB0"/>
    <w:rsid w:val="50AD3351"/>
    <w:rsid w:val="50B5131B"/>
    <w:rsid w:val="50CD3E6C"/>
    <w:rsid w:val="50D8315C"/>
    <w:rsid w:val="510B6DF4"/>
    <w:rsid w:val="510F220C"/>
    <w:rsid w:val="513A4B22"/>
    <w:rsid w:val="513B1A2C"/>
    <w:rsid w:val="514114F2"/>
    <w:rsid w:val="515A7851"/>
    <w:rsid w:val="516E45ED"/>
    <w:rsid w:val="516F4B68"/>
    <w:rsid w:val="51813BA1"/>
    <w:rsid w:val="51AA573A"/>
    <w:rsid w:val="51AE7D9E"/>
    <w:rsid w:val="51B0593B"/>
    <w:rsid w:val="51B457AD"/>
    <w:rsid w:val="51B476F0"/>
    <w:rsid w:val="51BE48DE"/>
    <w:rsid w:val="51C011E3"/>
    <w:rsid w:val="51D1259F"/>
    <w:rsid w:val="51F31CA8"/>
    <w:rsid w:val="51FD5292"/>
    <w:rsid w:val="520E5057"/>
    <w:rsid w:val="52144271"/>
    <w:rsid w:val="52560FA0"/>
    <w:rsid w:val="52775A7A"/>
    <w:rsid w:val="527B370D"/>
    <w:rsid w:val="528B6B51"/>
    <w:rsid w:val="52A07338"/>
    <w:rsid w:val="52AF59C4"/>
    <w:rsid w:val="52B000DF"/>
    <w:rsid w:val="52C85FC2"/>
    <w:rsid w:val="52CF07A0"/>
    <w:rsid w:val="52E269A9"/>
    <w:rsid w:val="52F16F2E"/>
    <w:rsid w:val="530C60AD"/>
    <w:rsid w:val="5312560D"/>
    <w:rsid w:val="531E5F09"/>
    <w:rsid w:val="5323566E"/>
    <w:rsid w:val="532721DD"/>
    <w:rsid w:val="53297E2A"/>
    <w:rsid w:val="534464C4"/>
    <w:rsid w:val="535838A7"/>
    <w:rsid w:val="53687A1B"/>
    <w:rsid w:val="536F6F34"/>
    <w:rsid w:val="53855EAD"/>
    <w:rsid w:val="539D1753"/>
    <w:rsid w:val="539F57BF"/>
    <w:rsid w:val="53B4650E"/>
    <w:rsid w:val="53C1113D"/>
    <w:rsid w:val="53D03A5C"/>
    <w:rsid w:val="53E23405"/>
    <w:rsid w:val="53E328DA"/>
    <w:rsid w:val="53ED0079"/>
    <w:rsid w:val="53F001E1"/>
    <w:rsid w:val="540035B0"/>
    <w:rsid w:val="54110D5E"/>
    <w:rsid w:val="5413436A"/>
    <w:rsid w:val="54241F1F"/>
    <w:rsid w:val="543042C8"/>
    <w:rsid w:val="54345F73"/>
    <w:rsid w:val="5453675D"/>
    <w:rsid w:val="54713FB5"/>
    <w:rsid w:val="54850A4F"/>
    <w:rsid w:val="54964EAA"/>
    <w:rsid w:val="54965ECF"/>
    <w:rsid w:val="54973F64"/>
    <w:rsid w:val="54A52CFA"/>
    <w:rsid w:val="54C56385"/>
    <w:rsid w:val="54D97608"/>
    <w:rsid w:val="54ED43C7"/>
    <w:rsid w:val="54F2339F"/>
    <w:rsid w:val="54FF2322"/>
    <w:rsid w:val="55050EBF"/>
    <w:rsid w:val="55093F4B"/>
    <w:rsid w:val="5516402B"/>
    <w:rsid w:val="551D36BF"/>
    <w:rsid w:val="55286536"/>
    <w:rsid w:val="553D02C3"/>
    <w:rsid w:val="55453B08"/>
    <w:rsid w:val="555C6688"/>
    <w:rsid w:val="556563A6"/>
    <w:rsid w:val="55860C1F"/>
    <w:rsid w:val="558E57CC"/>
    <w:rsid w:val="55996AC7"/>
    <w:rsid w:val="55AB3CB6"/>
    <w:rsid w:val="55AC1C02"/>
    <w:rsid w:val="55AF142C"/>
    <w:rsid w:val="55D41800"/>
    <w:rsid w:val="55E247BD"/>
    <w:rsid w:val="55F762B4"/>
    <w:rsid w:val="56402532"/>
    <w:rsid w:val="56406275"/>
    <w:rsid w:val="56562375"/>
    <w:rsid w:val="565B4BE9"/>
    <w:rsid w:val="566A48CC"/>
    <w:rsid w:val="567170B9"/>
    <w:rsid w:val="56744F72"/>
    <w:rsid w:val="567D16BD"/>
    <w:rsid w:val="567D3C29"/>
    <w:rsid w:val="568315AE"/>
    <w:rsid w:val="56944EE1"/>
    <w:rsid w:val="5697192B"/>
    <w:rsid w:val="569C01D8"/>
    <w:rsid w:val="56C52501"/>
    <w:rsid w:val="56C753D7"/>
    <w:rsid w:val="56CD4327"/>
    <w:rsid w:val="56D14C65"/>
    <w:rsid w:val="56EE2EC2"/>
    <w:rsid w:val="56F27559"/>
    <w:rsid w:val="56F3082D"/>
    <w:rsid w:val="57027478"/>
    <w:rsid w:val="57305A09"/>
    <w:rsid w:val="574756A6"/>
    <w:rsid w:val="5753243F"/>
    <w:rsid w:val="575955CB"/>
    <w:rsid w:val="575E23E2"/>
    <w:rsid w:val="576224FD"/>
    <w:rsid w:val="57671037"/>
    <w:rsid w:val="57786203"/>
    <w:rsid w:val="577A732A"/>
    <w:rsid w:val="577B4D0D"/>
    <w:rsid w:val="57A92544"/>
    <w:rsid w:val="57AC03CA"/>
    <w:rsid w:val="57B22C21"/>
    <w:rsid w:val="57BC2D19"/>
    <w:rsid w:val="57BC300C"/>
    <w:rsid w:val="57D704FC"/>
    <w:rsid w:val="57DD2684"/>
    <w:rsid w:val="57E327B6"/>
    <w:rsid w:val="57F72109"/>
    <w:rsid w:val="580744C5"/>
    <w:rsid w:val="582966B6"/>
    <w:rsid w:val="58382A21"/>
    <w:rsid w:val="586B4EF7"/>
    <w:rsid w:val="589832D2"/>
    <w:rsid w:val="589B7D9F"/>
    <w:rsid w:val="589F50AE"/>
    <w:rsid w:val="58A30ED7"/>
    <w:rsid w:val="58A52BEB"/>
    <w:rsid w:val="58A55CBF"/>
    <w:rsid w:val="58A903BE"/>
    <w:rsid w:val="58C43C1E"/>
    <w:rsid w:val="58CC14EA"/>
    <w:rsid w:val="58F93BEB"/>
    <w:rsid w:val="59267B12"/>
    <w:rsid w:val="592B5651"/>
    <w:rsid w:val="594B7ECA"/>
    <w:rsid w:val="59614A14"/>
    <w:rsid w:val="59696DCC"/>
    <w:rsid w:val="596B35EA"/>
    <w:rsid w:val="596F5191"/>
    <w:rsid w:val="59751AEA"/>
    <w:rsid w:val="598C5E35"/>
    <w:rsid w:val="59900BCD"/>
    <w:rsid w:val="599073A3"/>
    <w:rsid w:val="59C3408C"/>
    <w:rsid w:val="59E97B6B"/>
    <w:rsid w:val="59EA7262"/>
    <w:rsid w:val="5A121D17"/>
    <w:rsid w:val="5A413CCF"/>
    <w:rsid w:val="5A414A61"/>
    <w:rsid w:val="5A46523E"/>
    <w:rsid w:val="5A5D538A"/>
    <w:rsid w:val="5A6817CB"/>
    <w:rsid w:val="5A6E6137"/>
    <w:rsid w:val="5A763BB6"/>
    <w:rsid w:val="5A833030"/>
    <w:rsid w:val="5A9055EE"/>
    <w:rsid w:val="5A9A509A"/>
    <w:rsid w:val="5AD31C3B"/>
    <w:rsid w:val="5B2F034E"/>
    <w:rsid w:val="5B417642"/>
    <w:rsid w:val="5B490A6D"/>
    <w:rsid w:val="5B5978CB"/>
    <w:rsid w:val="5B5C1E6F"/>
    <w:rsid w:val="5B7A1746"/>
    <w:rsid w:val="5B7E50C2"/>
    <w:rsid w:val="5B836800"/>
    <w:rsid w:val="5B893D10"/>
    <w:rsid w:val="5B8947FC"/>
    <w:rsid w:val="5B8C7A7B"/>
    <w:rsid w:val="5B8F71F7"/>
    <w:rsid w:val="5BD70F36"/>
    <w:rsid w:val="5BDE5F5D"/>
    <w:rsid w:val="5BE56D2E"/>
    <w:rsid w:val="5BE925EB"/>
    <w:rsid w:val="5BEB7533"/>
    <w:rsid w:val="5BF42D84"/>
    <w:rsid w:val="5BF567E4"/>
    <w:rsid w:val="5C0176CA"/>
    <w:rsid w:val="5C101A9C"/>
    <w:rsid w:val="5C1456BB"/>
    <w:rsid w:val="5C17784C"/>
    <w:rsid w:val="5C2E54C0"/>
    <w:rsid w:val="5C345F97"/>
    <w:rsid w:val="5C4534D3"/>
    <w:rsid w:val="5C4F2046"/>
    <w:rsid w:val="5C6275FA"/>
    <w:rsid w:val="5C646E68"/>
    <w:rsid w:val="5C67289E"/>
    <w:rsid w:val="5C6E5197"/>
    <w:rsid w:val="5C6E67D6"/>
    <w:rsid w:val="5C6F2DC8"/>
    <w:rsid w:val="5C7234C7"/>
    <w:rsid w:val="5C7571BA"/>
    <w:rsid w:val="5C762362"/>
    <w:rsid w:val="5C7F4CD7"/>
    <w:rsid w:val="5CB6187C"/>
    <w:rsid w:val="5CB8528C"/>
    <w:rsid w:val="5CBB6AB3"/>
    <w:rsid w:val="5CC47219"/>
    <w:rsid w:val="5CCF2B12"/>
    <w:rsid w:val="5CD27B3B"/>
    <w:rsid w:val="5D162C89"/>
    <w:rsid w:val="5D1E7B5F"/>
    <w:rsid w:val="5D4F67C9"/>
    <w:rsid w:val="5D602763"/>
    <w:rsid w:val="5D6F1B74"/>
    <w:rsid w:val="5D726ABE"/>
    <w:rsid w:val="5D9B0A40"/>
    <w:rsid w:val="5DA64A8C"/>
    <w:rsid w:val="5DAE4F87"/>
    <w:rsid w:val="5DBF673A"/>
    <w:rsid w:val="5DDB1497"/>
    <w:rsid w:val="5DFD5C74"/>
    <w:rsid w:val="5DFF60B2"/>
    <w:rsid w:val="5E0108BF"/>
    <w:rsid w:val="5E1F5CA3"/>
    <w:rsid w:val="5E2475BC"/>
    <w:rsid w:val="5E282EEA"/>
    <w:rsid w:val="5E396DA7"/>
    <w:rsid w:val="5E3B2283"/>
    <w:rsid w:val="5E4872D3"/>
    <w:rsid w:val="5E54705D"/>
    <w:rsid w:val="5E555709"/>
    <w:rsid w:val="5E5F7BA9"/>
    <w:rsid w:val="5E646D9D"/>
    <w:rsid w:val="5E6E5A61"/>
    <w:rsid w:val="5E70535C"/>
    <w:rsid w:val="5E835C21"/>
    <w:rsid w:val="5E8A0049"/>
    <w:rsid w:val="5E8B01B4"/>
    <w:rsid w:val="5E983EE5"/>
    <w:rsid w:val="5E986998"/>
    <w:rsid w:val="5EA74667"/>
    <w:rsid w:val="5EAB6533"/>
    <w:rsid w:val="5EAC4B71"/>
    <w:rsid w:val="5EB738D6"/>
    <w:rsid w:val="5EE16976"/>
    <w:rsid w:val="5EF25BAB"/>
    <w:rsid w:val="5EF408BE"/>
    <w:rsid w:val="5F001678"/>
    <w:rsid w:val="5F040E46"/>
    <w:rsid w:val="5F0A49AB"/>
    <w:rsid w:val="5F203E3B"/>
    <w:rsid w:val="5F2E0D45"/>
    <w:rsid w:val="5F4F1E35"/>
    <w:rsid w:val="5F830AE1"/>
    <w:rsid w:val="5F854F4A"/>
    <w:rsid w:val="5F9E4238"/>
    <w:rsid w:val="5FAD0058"/>
    <w:rsid w:val="5FB300E7"/>
    <w:rsid w:val="5FB70C43"/>
    <w:rsid w:val="5FD47D67"/>
    <w:rsid w:val="5FDD3352"/>
    <w:rsid w:val="5FFD5BE3"/>
    <w:rsid w:val="601B4659"/>
    <w:rsid w:val="60203F6F"/>
    <w:rsid w:val="602766A3"/>
    <w:rsid w:val="60294BF1"/>
    <w:rsid w:val="603F093B"/>
    <w:rsid w:val="60717DC2"/>
    <w:rsid w:val="60742B30"/>
    <w:rsid w:val="60805EE8"/>
    <w:rsid w:val="6086206D"/>
    <w:rsid w:val="608D11DA"/>
    <w:rsid w:val="609264ED"/>
    <w:rsid w:val="6096693D"/>
    <w:rsid w:val="60B00A85"/>
    <w:rsid w:val="60E202E2"/>
    <w:rsid w:val="60E53026"/>
    <w:rsid w:val="612E298F"/>
    <w:rsid w:val="61306B4E"/>
    <w:rsid w:val="614D527C"/>
    <w:rsid w:val="615A37D8"/>
    <w:rsid w:val="61605C13"/>
    <w:rsid w:val="61633E22"/>
    <w:rsid w:val="616916B3"/>
    <w:rsid w:val="616F3728"/>
    <w:rsid w:val="61743F1D"/>
    <w:rsid w:val="61752D64"/>
    <w:rsid w:val="6180331D"/>
    <w:rsid w:val="618A4431"/>
    <w:rsid w:val="618B04AB"/>
    <w:rsid w:val="618D14F6"/>
    <w:rsid w:val="619C09C0"/>
    <w:rsid w:val="61A124DC"/>
    <w:rsid w:val="61B7635B"/>
    <w:rsid w:val="61BE1FE0"/>
    <w:rsid w:val="61D11174"/>
    <w:rsid w:val="61D26DE4"/>
    <w:rsid w:val="61EF63E2"/>
    <w:rsid w:val="620975F2"/>
    <w:rsid w:val="62176586"/>
    <w:rsid w:val="621A57B9"/>
    <w:rsid w:val="62300817"/>
    <w:rsid w:val="623E28E9"/>
    <w:rsid w:val="62403C78"/>
    <w:rsid w:val="62511666"/>
    <w:rsid w:val="625502AB"/>
    <w:rsid w:val="62635BCC"/>
    <w:rsid w:val="627066EA"/>
    <w:rsid w:val="62751E60"/>
    <w:rsid w:val="62A10D7A"/>
    <w:rsid w:val="62A43FA7"/>
    <w:rsid w:val="62BA549D"/>
    <w:rsid w:val="62C01C29"/>
    <w:rsid w:val="62CB76D9"/>
    <w:rsid w:val="62D55EC9"/>
    <w:rsid w:val="62E24BA4"/>
    <w:rsid w:val="62FF431F"/>
    <w:rsid w:val="63022C33"/>
    <w:rsid w:val="631F0BD5"/>
    <w:rsid w:val="63527C3B"/>
    <w:rsid w:val="63535B05"/>
    <w:rsid w:val="635B13D7"/>
    <w:rsid w:val="6361309E"/>
    <w:rsid w:val="63614E67"/>
    <w:rsid w:val="637A0AE0"/>
    <w:rsid w:val="63861C96"/>
    <w:rsid w:val="638A1C4C"/>
    <w:rsid w:val="63900DB2"/>
    <w:rsid w:val="63924C76"/>
    <w:rsid w:val="639A0B14"/>
    <w:rsid w:val="639C2EB4"/>
    <w:rsid w:val="63B63995"/>
    <w:rsid w:val="63CB1FA1"/>
    <w:rsid w:val="63D056DF"/>
    <w:rsid w:val="63D41CE9"/>
    <w:rsid w:val="63DE1CFA"/>
    <w:rsid w:val="63F7746C"/>
    <w:rsid w:val="640B6236"/>
    <w:rsid w:val="64107DA0"/>
    <w:rsid w:val="642C43EB"/>
    <w:rsid w:val="6431350E"/>
    <w:rsid w:val="64401CEA"/>
    <w:rsid w:val="64560B75"/>
    <w:rsid w:val="645746DA"/>
    <w:rsid w:val="645C4905"/>
    <w:rsid w:val="645D0040"/>
    <w:rsid w:val="645F1A52"/>
    <w:rsid w:val="646373C7"/>
    <w:rsid w:val="64646399"/>
    <w:rsid w:val="646D58D5"/>
    <w:rsid w:val="647341B1"/>
    <w:rsid w:val="64737C6D"/>
    <w:rsid w:val="64756394"/>
    <w:rsid w:val="647F232F"/>
    <w:rsid w:val="648C1320"/>
    <w:rsid w:val="64A00692"/>
    <w:rsid w:val="64A61601"/>
    <w:rsid w:val="64B3416A"/>
    <w:rsid w:val="64CF48CB"/>
    <w:rsid w:val="64ED76C1"/>
    <w:rsid w:val="64EF1E65"/>
    <w:rsid w:val="64F81960"/>
    <w:rsid w:val="64FA5F85"/>
    <w:rsid w:val="650255A7"/>
    <w:rsid w:val="650702A1"/>
    <w:rsid w:val="650A1BEF"/>
    <w:rsid w:val="65142603"/>
    <w:rsid w:val="65163FCA"/>
    <w:rsid w:val="652A77AA"/>
    <w:rsid w:val="65324FB9"/>
    <w:rsid w:val="65360BE2"/>
    <w:rsid w:val="654449E4"/>
    <w:rsid w:val="65576707"/>
    <w:rsid w:val="65643E26"/>
    <w:rsid w:val="659745CE"/>
    <w:rsid w:val="65982112"/>
    <w:rsid w:val="65A6120A"/>
    <w:rsid w:val="65C638FB"/>
    <w:rsid w:val="65FC6745"/>
    <w:rsid w:val="65FD3917"/>
    <w:rsid w:val="65FF1D10"/>
    <w:rsid w:val="660F0856"/>
    <w:rsid w:val="661436FD"/>
    <w:rsid w:val="661A6401"/>
    <w:rsid w:val="66206868"/>
    <w:rsid w:val="662F2CC5"/>
    <w:rsid w:val="663D6686"/>
    <w:rsid w:val="6642522B"/>
    <w:rsid w:val="66702646"/>
    <w:rsid w:val="667139F7"/>
    <w:rsid w:val="66730E67"/>
    <w:rsid w:val="66773C97"/>
    <w:rsid w:val="667B449B"/>
    <w:rsid w:val="668E76C8"/>
    <w:rsid w:val="669A7BF7"/>
    <w:rsid w:val="669C78C7"/>
    <w:rsid w:val="66D506D9"/>
    <w:rsid w:val="66DF00A0"/>
    <w:rsid w:val="670B18A5"/>
    <w:rsid w:val="67104D84"/>
    <w:rsid w:val="6718325C"/>
    <w:rsid w:val="67221B88"/>
    <w:rsid w:val="67264727"/>
    <w:rsid w:val="673921D5"/>
    <w:rsid w:val="673F62D9"/>
    <w:rsid w:val="674C5AB5"/>
    <w:rsid w:val="674F3554"/>
    <w:rsid w:val="6770427A"/>
    <w:rsid w:val="6782780D"/>
    <w:rsid w:val="67891F89"/>
    <w:rsid w:val="678E3DD3"/>
    <w:rsid w:val="679F6723"/>
    <w:rsid w:val="67A219CC"/>
    <w:rsid w:val="67B33279"/>
    <w:rsid w:val="67CF5323"/>
    <w:rsid w:val="67D115EF"/>
    <w:rsid w:val="67D526BF"/>
    <w:rsid w:val="67D863EF"/>
    <w:rsid w:val="67FA5B6C"/>
    <w:rsid w:val="680908E3"/>
    <w:rsid w:val="68294F83"/>
    <w:rsid w:val="682A3C51"/>
    <w:rsid w:val="685463DC"/>
    <w:rsid w:val="685B2327"/>
    <w:rsid w:val="68940F28"/>
    <w:rsid w:val="6894381C"/>
    <w:rsid w:val="68AD39DD"/>
    <w:rsid w:val="68AF46D2"/>
    <w:rsid w:val="68B72AF2"/>
    <w:rsid w:val="68C020E8"/>
    <w:rsid w:val="68C911E8"/>
    <w:rsid w:val="68D511EC"/>
    <w:rsid w:val="68DE436F"/>
    <w:rsid w:val="68E836AB"/>
    <w:rsid w:val="69031D63"/>
    <w:rsid w:val="69075951"/>
    <w:rsid w:val="69141DE3"/>
    <w:rsid w:val="69314D16"/>
    <w:rsid w:val="693674C3"/>
    <w:rsid w:val="69393378"/>
    <w:rsid w:val="69393D4A"/>
    <w:rsid w:val="695315D5"/>
    <w:rsid w:val="69531894"/>
    <w:rsid w:val="69756F37"/>
    <w:rsid w:val="69792161"/>
    <w:rsid w:val="69856809"/>
    <w:rsid w:val="699A2C8E"/>
    <w:rsid w:val="69A51DE0"/>
    <w:rsid w:val="69B12B30"/>
    <w:rsid w:val="69BA2674"/>
    <w:rsid w:val="69C00830"/>
    <w:rsid w:val="69CE393A"/>
    <w:rsid w:val="69D775EF"/>
    <w:rsid w:val="69E4288E"/>
    <w:rsid w:val="69EF3FB8"/>
    <w:rsid w:val="69F4576B"/>
    <w:rsid w:val="69FC0F11"/>
    <w:rsid w:val="6A012737"/>
    <w:rsid w:val="6A1C5521"/>
    <w:rsid w:val="6A437FA2"/>
    <w:rsid w:val="6A45465D"/>
    <w:rsid w:val="6A47415C"/>
    <w:rsid w:val="6A6609DA"/>
    <w:rsid w:val="6A690D92"/>
    <w:rsid w:val="6A8A5401"/>
    <w:rsid w:val="6AA66061"/>
    <w:rsid w:val="6AB54E17"/>
    <w:rsid w:val="6AD82F6E"/>
    <w:rsid w:val="6AEE10D0"/>
    <w:rsid w:val="6B0D06EC"/>
    <w:rsid w:val="6B101EC1"/>
    <w:rsid w:val="6B1250A9"/>
    <w:rsid w:val="6B1D63E2"/>
    <w:rsid w:val="6B2109CC"/>
    <w:rsid w:val="6B430C59"/>
    <w:rsid w:val="6B4A334D"/>
    <w:rsid w:val="6B782F47"/>
    <w:rsid w:val="6B843507"/>
    <w:rsid w:val="6B947321"/>
    <w:rsid w:val="6BA90DC5"/>
    <w:rsid w:val="6BBF04A0"/>
    <w:rsid w:val="6BC425FE"/>
    <w:rsid w:val="6BCD7E2C"/>
    <w:rsid w:val="6C1B5B2B"/>
    <w:rsid w:val="6C2121AC"/>
    <w:rsid w:val="6C386509"/>
    <w:rsid w:val="6C4461A1"/>
    <w:rsid w:val="6C64612A"/>
    <w:rsid w:val="6C692E7B"/>
    <w:rsid w:val="6C82217B"/>
    <w:rsid w:val="6C8A766C"/>
    <w:rsid w:val="6C9B0F10"/>
    <w:rsid w:val="6CC966DE"/>
    <w:rsid w:val="6CCC4C36"/>
    <w:rsid w:val="6CD33642"/>
    <w:rsid w:val="6CDE7FB8"/>
    <w:rsid w:val="6CEB3F6F"/>
    <w:rsid w:val="6CF34135"/>
    <w:rsid w:val="6CF6638D"/>
    <w:rsid w:val="6CFB0F38"/>
    <w:rsid w:val="6D160A9A"/>
    <w:rsid w:val="6D1F000B"/>
    <w:rsid w:val="6D451F30"/>
    <w:rsid w:val="6D72663E"/>
    <w:rsid w:val="6D91751D"/>
    <w:rsid w:val="6DD20B9B"/>
    <w:rsid w:val="6DF26A19"/>
    <w:rsid w:val="6E294093"/>
    <w:rsid w:val="6E36429F"/>
    <w:rsid w:val="6E384553"/>
    <w:rsid w:val="6E712659"/>
    <w:rsid w:val="6E7C54BA"/>
    <w:rsid w:val="6E804432"/>
    <w:rsid w:val="6E9D12BA"/>
    <w:rsid w:val="6E9D558B"/>
    <w:rsid w:val="6E9E059E"/>
    <w:rsid w:val="6EA56C69"/>
    <w:rsid w:val="6EAA71B6"/>
    <w:rsid w:val="6EAC353F"/>
    <w:rsid w:val="6EB76700"/>
    <w:rsid w:val="6EBD118A"/>
    <w:rsid w:val="6ED211C5"/>
    <w:rsid w:val="6ED67FE9"/>
    <w:rsid w:val="6EDD52DD"/>
    <w:rsid w:val="6F2037D2"/>
    <w:rsid w:val="6F3D39FF"/>
    <w:rsid w:val="6F5A5763"/>
    <w:rsid w:val="6F607493"/>
    <w:rsid w:val="6F7659A4"/>
    <w:rsid w:val="6F90285F"/>
    <w:rsid w:val="6F9B6CF9"/>
    <w:rsid w:val="6FAF5E67"/>
    <w:rsid w:val="6FB32757"/>
    <w:rsid w:val="6FB50B43"/>
    <w:rsid w:val="6FC13522"/>
    <w:rsid w:val="6FCF1823"/>
    <w:rsid w:val="6FDA07A9"/>
    <w:rsid w:val="6FE76623"/>
    <w:rsid w:val="6FEE3495"/>
    <w:rsid w:val="6FFA3837"/>
    <w:rsid w:val="700065C0"/>
    <w:rsid w:val="700620A6"/>
    <w:rsid w:val="70112B7A"/>
    <w:rsid w:val="701F012C"/>
    <w:rsid w:val="701F695C"/>
    <w:rsid w:val="70493C69"/>
    <w:rsid w:val="705A57CD"/>
    <w:rsid w:val="70725A2C"/>
    <w:rsid w:val="707F3142"/>
    <w:rsid w:val="708B0961"/>
    <w:rsid w:val="70A03FE6"/>
    <w:rsid w:val="70A12CAE"/>
    <w:rsid w:val="70C51ABB"/>
    <w:rsid w:val="70CF6F60"/>
    <w:rsid w:val="70EC7180"/>
    <w:rsid w:val="70EE01BD"/>
    <w:rsid w:val="710C3CBD"/>
    <w:rsid w:val="71125BF0"/>
    <w:rsid w:val="7114187A"/>
    <w:rsid w:val="71173873"/>
    <w:rsid w:val="711C632C"/>
    <w:rsid w:val="711F4A0D"/>
    <w:rsid w:val="7143092B"/>
    <w:rsid w:val="714B364C"/>
    <w:rsid w:val="714E16A5"/>
    <w:rsid w:val="714E6410"/>
    <w:rsid w:val="71560CC4"/>
    <w:rsid w:val="715E408D"/>
    <w:rsid w:val="716D3DC3"/>
    <w:rsid w:val="717D71F0"/>
    <w:rsid w:val="718038D6"/>
    <w:rsid w:val="71914F5E"/>
    <w:rsid w:val="719D1044"/>
    <w:rsid w:val="71A55466"/>
    <w:rsid w:val="71A84477"/>
    <w:rsid w:val="71AA3812"/>
    <w:rsid w:val="71AE2463"/>
    <w:rsid w:val="71BD5FFE"/>
    <w:rsid w:val="71C61D00"/>
    <w:rsid w:val="7224790E"/>
    <w:rsid w:val="72362A61"/>
    <w:rsid w:val="7239531E"/>
    <w:rsid w:val="72487369"/>
    <w:rsid w:val="727B17F8"/>
    <w:rsid w:val="729351B5"/>
    <w:rsid w:val="729E25FA"/>
    <w:rsid w:val="72C55DBE"/>
    <w:rsid w:val="72CC3223"/>
    <w:rsid w:val="72E4656E"/>
    <w:rsid w:val="72F63C55"/>
    <w:rsid w:val="730145AF"/>
    <w:rsid w:val="731238A2"/>
    <w:rsid w:val="73147437"/>
    <w:rsid w:val="731634CF"/>
    <w:rsid w:val="732C179F"/>
    <w:rsid w:val="732F778E"/>
    <w:rsid w:val="73482CAC"/>
    <w:rsid w:val="73534615"/>
    <w:rsid w:val="73535876"/>
    <w:rsid w:val="73577ED5"/>
    <w:rsid w:val="735E29EF"/>
    <w:rsid w:val="73732344"/>
    <w:rsid w:val="73783882"/>
    <w:rsid w:val="737D096F"/>
    <w:rsid w:val="73807366"/>
    <w:rsid w:val="73835F53"/>
    <w:rsid w:val="73A82935"/>
    <w:rsid w:val="73E46A82"/>
    <w:rsid w:val="740F063E"/>
    <w:rsid w:val="74106B75"/>
    <w:rsid w:val="743C75BA"/>
    <w:rsid w:val="74422174"/>
    <w:rsid w:val="7446022E"/>
    <w:rsid w:val="74547EDB"/>
    <w:rsid w:val="74645E11"/>
    <w:rsid w:val="746C4D69"/>
    <w:rsid w:val="74AE62ED"/>
    <w:rsid w:val="74E265C4"/>
    <w:rsid w:val="74E80558"/>
    <w:rsid w:val="74F301BC"/>
    <w:rsid w:val="74FC422B"/>
    <w:rsid w:val="75011BA6"/>
    <w:rsid w:val="751448C8"/>
    <w:rsid w:val="75185AD5"/>
    <w:rsid w:val="751B0BC2"/>
    <w:rsid w:val="75632709"/>
    <w:rsid w:val="75715CE5"/>
    <w:rsid w:val="758C1199"/>
    <w:rsid w:val="759B669A"/>
    <w:rsid w:val="759E1416"/>
    <w:rsid w:val="75B1398E"/>
    <w:rsid w:val="75B56776"/>
    <w:rsid w:val="75E24F52"/>
    <w:rsid w:val="75F83404"/>
    <w:rsid w:val="760C288C"/>
    <w:rsid w:val="76132339"/>
    <w:rsid w:val="761C6784"/>
    <w:rsid w:val="761D4647"/>
    <w:rsid w:val="763119D9"/>
    <w:rsid w:val="764B07AB"/>
    <w:rsid w:val="7650210D"/>
    <w:rsid w:val="766C1344"/>
    <w:rsid w:val="766C7777"/>
    <w:rsid w:val="7674236D"/>
    <w:rsid w:val="76752B30"/>
    <w:rsid w:val="76784BDD"/>
    <w:rsid w:val="76856404"/>
    <w:rsid w:val="769A7E16"/>
    <w:rsid w:val="76A25A5E"/>
    <w:rsid w:val="76AB7E51"/>
    <w:rsid w:val="76BD187A"/>
    <w:rsid w:val="76CE11CD"/>
    <w:rsid w:val="76EA19ED"/>
    <w:rsid w:val="76EE44B3"/>
    <w:rsid w:val="76F61698"/>
    <w:rsid w:val="76F65276"/>
    <w:rsid w:val="76FD6330"/>
    <w:rsid w:val="770F4327"/>
    <w:rsid w:val="771B0722"/>
    <w:rsid w:val="77286965"/>
    <w:rsid w:val="772C2600"/>
    <w:rsid w:val="772F48D3"/>
    <w:rsid w:val="77336297"/>
    <w:rsid w:val="773616F4"/>
    <w:rsid w:val="77382D49"/>
    <w:rsid w:val="774602BD"/>
    <w:rsid w:val="77506F1D"/>
    <w:rsid w:val="77680754"/>
    <w:rsid w:val="77753340"/>
    <w:rsid w:val="77934AC1"/>
    <w:rsid w:val="77946651"/>
    <w:rsid w:val="779A559F"/>
    <w:rsid w:val="77BC3416"/>
    <w:rsid w:val="77C02264"/>
    <w:rsid w:val="77C74CD7"/>
    <w:rsid w:val="77D00A1A"/>
    <w:rsid w:val="77D0771E"/>
    <w:rsid w:val="77D3144E"/>
    <w:rsid w:val="77EF60BA"/>
    <w:rsid w:val="78044ECA"/>
    <w:rsid w:val="7810086C"/>
    <w:rsid w:val="78230F91"/>
    <w:rsid w:val="78233937"/>
    <w:rsid w:val="78447474"/>
    <w:rsid w:val="785C046D"/>
    <w:rsid w:val="786E19FD"/>
    <w:rsid w:val="786E1DDC"/>
    <w:rsid w:val="787E49B2"/>
    <w:rsid w:val="7888670A"/>
    <w:rsid w:val="7896389D"/>
    <w:rsid w:val="78AC322C"/>
    <w:rsid w:val="78BF6D1B"/>
    <w:rsid w:val="78C17559"/>
    <w:rsid w:val="78D16030"/>
    <w:rsid w:val="78D432F2"/>
    <w:rsid w:val="78FC6490"/>
    <w:rsid w:val="7901222D"/>
    <w:rsid w:val="790A2B61"/>
    <w:rsid w:val="7943402F"/>
    <w:rsid w:val="794D0E8B"/>
    <w:rsid w:val="7953345A"/>
    <w:rsid w:val="795E15AF"/>
    <w:rsid w:val="79713935"/>
    <w:rsid w:val="798303DE"/>
    <w:rsid w:val="798F6BEA"/>
    <w:rsid w:val="799146CF"/>
    <w:rsid w:val="79960DFB"/>
    <w:rsid w:val="799932F0"/>
    <w:rsid w:val="79A7387C"/>
    <w:rsid w:val="79BD070B"/>
    <w:rsid w:val="79C30242"/>
    <w:rsid w:val="79C81474"/>
    <w:rsid w:val="79E44AFA"/>
    <w:rsid w:val="79E84AB1"/>
    <w:rsid w:val="79F260DF"/>
    <w:rsid w:val="79F3123C"/>
    <w:rsid w:val="79F35B4F"/>
    <w:rsid w:val="79F43364"/>
    <w:rsid w:val="79F71267"/>
    <w:rsid w:val="7A0F1FB3"/>
    <w:rsid w:val="7A143220"/>
    <w:rsid w:val="7A177E89"/>
    <w:rsid w:val="7A1E54C7"/>
    <w:rsid w:val="7A2425D3"/>
    <w:rsid w:val="7A2C535D"/>
    <w:rsid w:val="7A4D211D"/>
    <w:rsid w:val="7A623232"/>
    <w:rsid w:val="7A737B9B"/>
    <w:rsid w:val="7A782645"/>
    <w:rsid w:val="7A807BC9"/>
    <w:rsid w:val="7A8E5480"/>
    <w:rsid w:val="7A9179C9"/>
    <w:rsid w:val="7AA12780"/>
    <w:rsid w:val="7ABD7487"/>
    <w:rsid w:val="7AD54F06"/>
    <w:rsid w:val="7ADF7C26"/>
    <w:rsid w:val="7AF02D21"/>
    <w:rsid w:val="7AF455D1"/>
    <w:rsid w:val="7B00117A"/>
    <w:rsid w:val="7B0C6431"/>
    <w:rsid w:val="7B1B4168"/>
    <w:rsid w:val="7B2F181A"/>
    <w:rsid w:val="7B477A65"/>
    <w:rsid w:val="7B6133A6"/>
    <w:rsid w:val="7B67126F"/>
    <w:rsid w:val="7B774639"/>
    <w:rsid w:val="7B781395"/>
    <w:rsid w:val="7B792388"/>
    <w:rsid w:val="7B8B7310"/>
    <w:rsid w:val="7B8D2D39"/>
    <w:rsid w:val="7BA45BDD"/>
    <w:rsid w:val="7BAA68C3"/>
    <w:rsid w:val="7BD314D6"/>
    <w:rsid w:val="7BD659BE"/>
    <w:rsid w:val="7BE744B1"/>
    <w:rsid w:val="7BF003D0"/>
    <w:rsid w:val="7BFD6BC3"/>
    <w:rsid w:val="7C031AAB"/>
    <w:rsid w:val="7C1B6CCF"/>
    <w:rsid w:val="7C2154FD"/>
    <w:rsid w:val="7C2548A4"/>
    <w:rsid w:val="7C3561CE"/>
    <w:rsid w:val="7C3A4DBD"/>
    <w:rsid w:val="7C450C80"/>
    <w:rsid w:val="7C492C48"/>
    <w:rsid w:val="7C8003A9"/>
    <w:rsid w:val="7C954FF2"/>
    <w:rsid w:val="7CA15411"/>
    <w:rsid w:val="7CBC0351"/>
    <w:rsid w:val="7CD233B4"/>
    <w:rsid w:val="7CE027C5"/>
    <w:rsid w:val="7CED27BE"/>
    <w:rsid w:val="7D1E3070"/>
    <w:rsid w:val="7D1E5516"/>
    <w:rsid w:val="7D404B4A"/>
    <w:rsid w:val="7D4234D5"/>
    <w:rsid w:val="7D516659"/>
    <w:rsid w:val="7D532D8B"/>
    <w:rsid w:val="7D705139"/>
    <w:rsid w:val="7D7312C9"/>
    <w:rsid w:val="7D9810A6"/>
    <w:rsid w:val="7D9F5AAA"/>
    <w:rsid w:val="7DC74BC2"/>
    <w:rsid w:val="7DCF757D"/>
    <w:rsid w:val="7E096A3D"/>
    <w:rsid w:val="7E160898"/>
    <w:rsid w:val="7E247951"/>
    <w:rsid w:val="7E581580"/>
    <w:rsid w:val="7E684DEA"/>
    <w:rsid w:val="7E7D481E"/>
    <w:rsid w:val="7E7F3B39"/>
    <w:rsid w:val="7E8E2DED"/>
    <w:rsid w:val="7E92307D"/>
    <w:rsid w:val="7EA6282D"/>
    <w:rsid w:val="7EB744F1"/>
    <w:rsid w:val="7EB97E2D"/>
    <w:rsid w:val="7ED11B9E"/>
    <w:rsid w:val="7EED01D3"/>
    <w:rsid w:val="7EF42152"/>
    <w:rsid w:val="7EFF0E28"/>
    <w:rsid w:val="7F134269"/>
    <w:rsid w:val="7F1511B6"/>
    <w:rsid w:val="7F1C4044"/>
    <w:rsid w:val="7F375209"/>
    <w:rsid w:val="7F5937EA"/>
    <w:rsid w:val="7F6964CD"/>
    <w:rsid w:val="7F6A30F7"/>
    <w:rsid w:val="7F6C1897"/>
    <w:rsid w:val="7F730487"/>
    <w:rsid w:val="7F7B5E25"/>
    <w:rsid w:val="7F7B7663"/>
    <w:rsid w:val="7F815104"/>
    <w:rsid w:val="7F9119D8"/>
    <w:rsid w:val="7F963054"/>
    <w:rsid w:val="7F9D62DA"/>
    <w:rsid w:val="7F9F2561"/>
    <w:rsid w:val="7FB238D2"/>
    <w:rsid w:val="7FB6712E"/>
    <w:rsid w:val="7FD86BE4"/>
    <w:rsid w:val="7FE755A2"/>
    <w:rsid w:val="7FF21E86"/>
    <w:rsid w:val="7FF714D3"/>
    <w:rsid w:val="EFFBD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snapToGrid w:val="0"/>
      <w:outlineLvl w:val="1"/>
    </w:pPr>
    <w:rPr>
      <w:rFonts w:ascii="Arial" w:hAnsi="Arial"/>
    </w:rPr>
  </w:style>
  <w:style w:type="paragraph" w:styleId="4">
    <w:name w:val="heading 3"/>
    <w:basedOn w:val="1"/>
    <w:next w:val="1"/>
    <w:unhideWhenUsed/>
    <w:qFormat/>
    <w:uiPriority w:val="0"/>
    <w:pPr>
      <w:keepNext/>
      <w:keepLines/>
      <w:spacing w:line="413" w:lineRule="auto"/>
      <w:outlineLvl w:val="2"/>
    </w:pPr>
    <w:rPr>
      <w:b/>
    </w:rPr>
  </w:style>
  <w:style w:type="paragraph" w:styleId="5">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首行缩进"/>
    <w:basedOn w:val="1"/>
    <w:qFormat/>
    <w:uiPriority w:val="0"/>
    <w:pPr>
      <w:ind w:firstLine="480" w:firstLineChars="200"/>
    </w:pPr>
  </w:style>
  <w:style w:type="paragraph" w:styleId="6">
    <w:name w:val="Normal Indent"/>
    <w:basedOn w:val="1"/>
    <w:qFormat/>
    <w:uiPriority w:val="0"/>
    <w:pPr>
      <w:ind w:firstLine="420"/>
    </w:pPr>
  </w:style>
  <w:style w:type="paragraph" w:styleId="7">
    <w:name w:val="caption"/>
    <w:basedOn w:val="1"/>
    <w:next w:val="1"/>
    <w:unhideWhenUsed/>
    <w:qFormat/>
    <w:uiPriority w:val="0"/>
    <w:rPr>
      <w:rFonts w:ascii="Calibri Light" w:hAnsi="Calibri Light" w:eastAsia="黑体"/>
      <w:sz w:val="20"/>
      <w:szCs w:val="20"/>
    </w:rPr>
  </w:style>
  <w:style w:type="paragraph" w:styleId="8">
    <w:name w:val="annotation text"/>
    <w:basedOn w:val="1"/>
    <w:qFormat/>
    <w:uiPriority w:val="0"/>
    <w:pPr>
      <w:jc w:val="left"/>
    </w:pPr>
  </w:style>
  <w:style w:type="paragraph" w:styleId="9">
    <w:name w:val="Body Text"/>
    <w:basedOn w:val="1"/>
    <w:unhideWhenUsed/>
    <w:qFormat/>
    <w:uiPriority w:val="99"/>
    <w:pPr>
      <w:spacing w:after="120"/>
    </w:p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Emphasis"/>
    <w:basedOn w:val="17"/>
    <w:qFormat/>
    <w:uiPriority w:val="0"/>
    <w:rPr>
      <w:i/>
    </w:rPr>
  </w:style>
  <w:style w:type="character" w:styleId="20">
    <w:name w:val="Hyperlink"/>
    <w:basedOn w:val="17"/>
    <w:qFormat/>
    <w:uiPriority w:val="0"/>
    <w:rPr>
      <w:color w:val="0000FF"/>
      <w:u w:val="single"/>
    </w:rPr>
  </w:style>
  <w:style w:type="paragraph" w:customStyle="1" w:styleId="21">
    <w:name w:val="文字缩"/>
    <w:qFormat/>
    <w:uiPriority w:val="0"/>
    <w:pPr>
      <w:widowControl w:val="0"/>
      <w:autoSpaceDE w:val="0"/>
      <w:autoSpaceDN w:val="0"/>
      <w:adjustRightInd w:val="0"/>
      <w:snapToGrid w:val="0"/>
      <w:spacing w:line="480" w:lineRule="atLeast"/>
      <w:ind w:firstLine="200" w:firstLineChars="200"/>
      <w:jc w:val="left"/>
    </w:pPr>
    <w:rPr>
      <w:rFonts w:ascii="宋体" w:hAnsi="Calibri" w:eastAsia="宋体" w:cs="Times New Roman"/>
      <w:snapToGrid w:val="0"/>
      <w:spacing w:val="6"/>
      <w:kern w:val="0"/>
      <w:sz w:val="28"/>
      <w:szCs w:val="20"/>
      <w:lang w:val="en-US" w:eastAsia="zh-CN" w:bidi="ar-SA"/>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33818</Words>
  <Characters>35521</Characters>
  <Lines>0</Lines>
  <Paragraphs>0</Paragraphs>
  <TotalTime>0</TotalTime>
  <ScaleCrop>false</ScaleCrop>
  <LinksUpToDate>false</LinksUpToDate>
  <CharactersWithSpaces>38004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2021-06-29T14:51:00Z</dcterms:created>
  <dc:creator>WPS_1174635666</dc:creator>
  <cp:lastModifiedBy>Administrator</cp:lastModifiedBy>
  <cp:lastPrinted>2021-09-10T13:59:00Z</cp:lastPrinted>
  <dcterms:modified xsi:type="dcterms:W3CDTF">2022-02-07T07:08:01Z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2B639262D4944796AD3D8AC6EE85DDAE</vt:lpwstr>
  </property>
</Properties>
</file>