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7" w:firstLineChars="49"/>
        <w:rPr>
          <w:rFonts w:asciiTheme="minorEastAsia" w:hAnsiTheme="minorEastAsia"/>
          <w:b/>
          <w:sz w:val="32"/>
          <w:szCs w:val="32"/>
        </w:rPr>
      </w:pPr>
    </w:p>
    <w:p>
      <w:pPr>
        <w:ind w:left="3307" w:leftChars="418" w:hanging="2429" w:hangingChars="550"/>
        <w:jc w:val="both"/>
        <w:rPr>
          <w:rFonts w:hint="eastAsia" w:ascii="方正小标宋_GBK" w:hAnsi="方正小标宋_GBK" w:eastAsia="方正小标宋_GBK" w:cs="方正小标宋_GBK"/>
          <w:b/>
          <w:bCs w:val="0"/>
          <w:sz w:val="44"/>
          <w:szCs w:val="44"/>
        </w:rPr>
      </w:pPr>
      <w:r>
        <w:rPr>
          <w:rFonts w:hint="eastAsia" w:ascii="方正小标宋_GBK" w:hAnsi="方正小标宋_GBK" w:eastAsia="方正小标宋_GBK" w:cs="方正小标宋_GBK"/>
          <w:b/>
          <w:bCs w:val="0"/>
          <w:sz w:val="44"/>
          <w:szCs w:val="44"/>
        </w:rPr>
        <w:t>关于《抚顺市国家知识产权强市建设</w:t>
      </w:r>
    </w:p>
    <w:p>
      <w:pPr>
        <w:ind w:left="3295" w:leftChars="1254" w:hanging="662" w:hangingChars="150"/>
        <w:jc w:val="both"/>
        <w:rPr>
          <w:rFonts w:hint="eastAsia" w:ascii="方正小标宋_GBK" w:hAnsi="方正小标宋_GBK" w:eastAsia="方正小标宋_GBK" w:cs="方正小标宋_GBK"/>
          <w:b/>
          <w:bCs w:val="0"/>
          <w:sz w:val="44"/>
          <w:szCs w:val="44"/>
          <w:lang w:eastAsia="zh-CN"/>
        </w:rPr>
      </w:pPr>
      <w:r>
        <w:rPr>
          <w:rFonts w:hint="eastAsia" w:ascii="方正小标宋_GBK" w:hAnsi="方正小标宋_GBK" w:eastAsia="方正小标宋_GBK" w:cs="方正小标宋_GBK"/>
          <w:b/>
          <w:bCs w:val="0"/>
          <w:sz w:val="44"/>
          <w:szCs w:val="44"/>
          <w:lang w:eastAsia="zh-CN"/>
        </w:rPr>
        <w:t>促进</w:t>
      </w:r>
      <w:r>
        <w:rPr>
          <w:rFonts w:hint="eastAsia" w:ascii="方正小标宋_GBK" w:hAnsi="方正小标宋_GBK" w:eastAsia="方正小标宋_GBK" w:cs="方正小标宋_GBK"/>
          <w:b/>
          <w:bCs w:val="0"/>
          <w:sz w:val="44"/>
          <w:szCs w:val="44"/>
        </w:rPr>
        <w:t>政策》的</w:t>
      </w:r>
      <w:r>
        <w:rPr>
          <w:rFonts w:hint="eastAsia" w:ascii="方正小标宋_GBK" w:hAnsi="方正小标宋_GBK" w:eastAsia="方正小标宋_GBK" w:cs="方正小标宋_GBK"/>
          <w:b/>
          <w:bCs w:val="0"/>
          <w:sz w:val="44"/>
          <w:szCs w:val="44"/>
          <w:lang w:eastAsia="zh-CN"/>
        </w:rPr>
        <w:t>解读</w:t>
      </w:r>
    </w:p>
    <w:p>
      <w:pPr>
        <w:rPr>
          <w:rFonts w:ascii="楷体_GB2312" w:eastAsia="楷体_GB2312" w:hAnsiTheme="majorEastAsia"/>
          <w:b/>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p>
      <w:pPr>
        <w:spacing w:line="580" w:lineRule="exact"/>
        <w:ind w:firstLine="960" w:firstLineChars="300"/>
        <w:rPr>
          <w:rFonts w:ascii="黑体" w:eastAsia="黑体" w:hAnsiTheme="majorEastAsia"/>
          <w:sz w:val="32"/>
          <w:szCs w:val="32"/>
        </w:rPr>
      </w:pPr>
      <w:r>
        <w:rPr>
          <w:rFonts w:hint="eastAsia" w:ascii="黑体" w:eastAsia="黑体" w:hAnsiTheme="majorEastAsia"/>
          <w:sz w:val="32"/>
          <w:szCs w:val="32"/>
        </w:rPr>
        <w:t>一、制定背景</w:t>
      </w:r>
    </w:p>
    <w:p>
      <w:pPr>
        <w:keepNext w:val="0"/>
        <w:keepLines w:val="0"/>
        <w:pageBreakBefore w:val="0"/>
        <w:widowControl w:val="0"/>
        <w:kinsoku/>
        <w:wordWrap/>
        <w:overflowPunct/>
        <w:topLinePunct w:val="0"/>
        <w:autoSpaceDE/>
        <w:autoSpaceDN/>
        <w:bidi w:val="0"/>
        <w:adjustRightInd/>
        <w:snapToGrid/>
        <w:spacing w:line="580" w:lineRule="exact"/>
        <w:ind w:left="319" w:leftChars="152"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i w:val="0"/>
          <w:caps w:val="0"/>
          <w:color w:val="333333"/>
          <w:spacing w:val="0"/>
          <w:sz w:val="32"/>
          <w:szCs w:val="32"/>
          <w:shd w:val="clear" w:color="auto" w:fill="FFFFFF"/>
          <w:lang w:eastAsia="zh-CN"/>
        </w:rPr>
        <w:t>我市被</w:t>
      </w:r>
      <w:r>
        <w:rPr>
          <w:rFonts w:hint="eastAsia" w:ascii="仿宋_GB2312" w:hAnsi="仿宋_GB2312" w:eastAsia="仿宋_GB2312" w:cs="仿宋_GB2312"/>
          <w:color w:val="000000"/>
          <w:kern w:val="0"/>
          <w:sz w:val="32"/>
          <w:szCs w:val="32"/>
        </w:rPr>
        <w:t>国家知识产权</w:t>
      </w:r>
      <w:r>
        <w:rPr>
          <w:rFonts w:hint="eastAsia" w:ascii="仿宋_GB2312" w:hAnsi="仿宋_GB2312" w:eastAsia="仿宋_GB2312" w:cs="仿宋_GB2312"/>
          <w:color w:val="000000"/>
          <w:kern w:val="0"/>
          <w:sz w:val="32"/>
          <w:szCs w:val="32"/>
          <w:lang w:eastAsia="zh-CN"/>
        </w:rPr>
        <w:t>局</w:t>
      </w:r>
      <w:r>
        <w:rPr>
          <w:rFonts w:hint="eastAsia" w:ascii="仿宋_GB2312" w:hAnsi="仿宋_GB2312" w:eastAsia="仿宋_GB2312" w:cs="仿宋_GB2312"/>
          <w:i w:val="0"/>
          <w:caps w:val="0"/>
          <w:color w:val="333333"/>
          <w:spacing w:val="0"/>
          <w:sz w:val="32"/>
          <w:szCs w:val="32"/>
          <w:shd w:val="clear" w:color="auto" w:fill="FFFFFF"/>
        </w:rPr>
        <w:t>确定</w:t>
      </w:r>
      <w:r>
        <w:rPr>
          <w:rFonts w:hint="eastAsia" w:ascii="仿宋_GB2312" w:hAnsi="仿宋_GB2312" w:eastAsia="仿宋_GB2312" w:cs="仿宋_GB2312"/>
          <w:i w:val="0"/>
          <w:caps w:val="0"/>
          <w:color w:val="333333"/>
          <w:spacing w:val="0"/>
          <w:sz w:val="32"/>
          <w:szCs w:val="32"/>
          <w:shd w:val="clear" w:color="auto" w:fill="FFFFFF"/>
          <w:lang w:eastAsia="zh-CN"/>
        </w:rPr>
        <w:t>为</w:t>
      </w:r>
      <w:r>
        <w:rPr>
          <w:rFonts w:hint="eastAsia" w:ascii="仿宋_GB2312" w:hAnsi="仿宋_GB2312" w:eastAsia="仿宋_GB2312" w:cs="仿宋_GB2312"/>
          <w:b w:val="0"/>
          <w:bCs/>
          <w:sz w:val="32"/>
          <w:szCs w:val="32"/>
        </w:rPr>
        <w:t>国家知识产权强市建设试点城市</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color w:val="000000"/>
          <w:sz w:val="32"/>
          <w:szCs w:val="32"/>
        </w:rPr>
        <w:t>市政府印发了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sz w:val="32"/>
          <w:szCs w:val="32"/>
        </w:rPr>
        <w:t>抚顺市国家知识产权强市建设试点城市工作方案（2022-202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（抚政办发〔202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sz w:val="32"/>
          <w:szCs w:val="32"/>
          <w:lang w:eastAsia="zh-CN"/>
        </w:rPr>
        <w:t>为落实</w:t>
      </w:r>
      <w:r>
        <w:rPr>
          <w:rFonts w:hint="eastAsia" w:ascii="仿宋_GB2312" w:hAnsi="仿宋_GB2312" w:eastAsia="仿宋_GB2312" w:cs="仿宋_GB2312"/>
          <w:b w:val="0"/>
          <w:bCs/>
          <w:sz w:val="32"/>
          <w:szCs w:val="32"/>
        </w:rPr>
        <w:t>《国家知识产权局关于确定国家知识产权强市建设试点示范城市的通知》（</w:t>
      </w:r>
      <w:r>
        <w:rPr>
          <w:rFonts w:hint="eastAsia" w:ascii="仿宋_GB2312" w:hAnsi="仿宋_GB2312" w:eastAsia="仿宋_GB2312" w:cs="仿宋_GB2312"/>
          <w:b w:val="0"/>
          <w:bCs/>
          <w:i w:val="0"/>
          <w:caps w:val="0"/>
          <w:color w:val="333333"/>
          <w:spacing w:val="0"/>
          <w:sz w:val="32"/>
          <w:szCs w:val="32"/>
          <w:shd w:val="clear" w:color="auto" w:fill="FFFFFF"/>
        </w:rPr>
        <w:t>国知发运字〔2022〕33号</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有关</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b w:val="0"/>
          <w:bCs/>
          <w:sz w:val="32"/>
          <w:szCs w:val="32"/>
        </w:rPr>
        <w:t>试点城市</w:t>
      </w:r>
      <w:r>
        <w:rPr>
          <w:rFonts w:hint="eastAsia" w:ascii="仿宋_GB2312" w:hAnsi="仿宋_GB2312" w:eastAsia="仿宋_GB2312" w:cs="仿宋_GB2312"/>
          <w:b w:val="0"/>
          <w:bCs/>
          <w:sz w:val="32"/>
          <w:szCs w:val="32"/>
          <w:lang w:eastAsia="zh-CN"/>
        </w:rPr>
        <w:t>建设</w:t>
      </w:r>
      <w:r>
        <w:rPr>
          <w:rFonts w:hint="eastAsia" w:ascii="仿宋_GB2312" w:hAnsi="仿宋_GB2312" w:eastAsia="仿宋_GB2312" w:cs="仿宋_GB2312"/>
          <w:i w:val="0"/>
          <w:caps w:val="0"/>
          <w:color w:val="333333"/>
          <w:spacing w:val="0"/>
          <w:sz w:val="32"/>
          <w:szCs w:val="32"/>
          <w:shd w:val="clear" w:color="auto" w:fill="FFFFFF"/>
        </w:rPr>
        <w:t>条件保障，落实工作举措</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b w:val="0"/>
          <w:bCs/>
          <w:sz w:val="32"/>
          <w:szCs w:val="32"/>
          <w:lang w:eastAsia="zh-CN"/>
        </w:rPr>
        <w:t>高质量完成试点城市建设重点目标任务，</w:t>
      </w:r>
      <w:r>
        <w:rPr>
          <w:rFonts w:hint="eastAsia" w:ascii="仿宋_GB2312" w:hAnsi="仿宋_GB2312" w:eastAsia="仿宋_GB2312" w:cs="仿宋_GB2312"/>
          <w:color w:val="000000"/>
          <w:kern w:val="0"/>
          <w:sz w:val="32"/>
          <w:szCs w:val="32"/>
        </w:rPr>
        <w:t>全面</w:t>
      </w:r>
      <w:r>
        <w:rPr>
          <w:rFonts w:hint="eastAsia" w:ascii="仿宋_GB2312" w:hAnsi="仿宋_GB2312" w:eastAsia="仿宋_GB2312" w:cs="仿宋_GB2312"/>
          <w:sz w:val="32"/>
          <w:szCs w:val="32"/>
        </w:rPr>
        <w:t>提升知识产权创造、运用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保护和管理水平，</w:t>
      </w:r>
      <w:r>
        <w:rPr>
          <w:rFonts w:hint="eastAsia" w:ascii="仿宋_GB2312" w:hAnsi="仿宋_GB2312" w:eastAsia="仿宋_GB2312" w:cs="仿宋_GB2312"/>
          <w:b w:val="0"/>
          <w:bCs/>
          <w:sz w:val="32"/>
          <w:szCs w:val="32"/>
          <w:lang w:val="en-US" w:eastAsia="zh-CN"/>
        </w:rPr>
        <w:t>扎实推进</w:t>
      </w:r>
      <w:r>
        <w:rPr>
          <w:rFonts w:hint="eastAsia" w:ascii="仿宋_GB2312" w:hAnsi="仿宋_GB2312" w:eastAsia="仿宋_GB2312" w:cs="仿宋_GB2312"/>
          <w:sz w:val="32"/>
          <w:szCs w:val="32"/>
        </w:rPr>
        <w:t>国家知识产权</w:t>
      </w:r>
      <w:r>
        <w:rPr>
          <w:rFonts w:hint="eastAsia" w:ascii="仿宋_GB2312" w:hAnsi="仿宋_GB2312" w:eastAsia="仿宋_GB2312" w:cs="仿宋_GB2312"/>
          <w:color w:val="000000"/>
          <w:sz w:val="32"/>
          <w:szCs w:val="32"/>
        </w:rPr>
        <w:t>强市建设</w:t>
      </w:r>
      <w:r>
        <w:rPr>
          <w:rFonts w:hint="eastAsia" w:ascii="仿宋_GB2312" w:hAnsi="仿宋_GB2312" w:eastAsia="仿宋_GB2312" w:cs="仿宋_GB2312"/>
          <w:b w:val="0"/>
          <w:bCs/>
          <w:sz w:val="32"/>
          <w:szCs w:val="32"/>
          <w:lang w:eastAsia="zh-CN"/>
        </w:rPr>
        <w:t>，我局拟定了</w:t>
      </w:r>
      <w:r>
        <w:rPr>
          <w:rFonts w:hint="eastAsia" w:ascii="仿宋_GB2312" w:hAnsi="仿宋_GB2312" w:eastAsia="仿宋_GB2312" w:cs="仿宋_GB2312"/>
          <w:b w:val="0"/>
          <w:bCs/>
          <w:sz w:val="32"/>
          <w:szCs w:val="32"/>
        </w:rPr>
        <w:t>《抚顺市国家知识产权强市建设</w:t>
      </w:r>
      <w:r>
        <w:rPr>
          <w:rFonts w:hint="eastAsia" w:ascii="仿宋_GB2312" w:hAnsi="仿宋_GB2312" w:eastAsia="仿宋_GB2312" w:cs="仿宋_GB2312"/>
          <w:b w:val="0"/>
          <w:bCs/>
          <w:sz w:val="32"/>
          <w:szCs w:val="32"/>
          <w:lang w:eastAsia="zh-CN"/>
        </w:rPr>
        <w:t>促进</w:t>
      </w:r>
      <w:r>
        <w:rPr>
          <w:rFonts w:hint="eastAsia" w:ascii="仿宋_GB2312" w:hAnsi="仿宋_GB2312" w:eastAsia="仿宋_GB2312" w:cs="仿宋_GB2312"/>
          <w:b w:val="0"/>
          <w:bCs/>
          <w:sz w:val="32"/>
          <w:szCs w:val="32"/>
        </w:rPr>
        <w:t>政策》</w:t>
      </w:r>
      <w:r>
        <w:rPr>
          <w:rFonts w:hint="eastAsia" w:ascii="仿宋_GB2312" w:hAnsi="仿宋_GB2312" w:eastAsia="仿宋_GB2312" w:cs="仿宋_GB2312"/>
          <w:b w:val="0"/>
          <w:bCs/>
          <w:sz w:val="32"/>
          <w:szCs w:val="32"/>
          <w:lang w:eastAsia="zh-CN"/>
        </w:rPr>
        <w:t>（以下简称《政策》）。</w:t>
      </w:r>
    </w:p>
    <w:p>
      <w:pPr>
        <w:spacing w:line="580" w:lineRule="exact"/>
        <w:ind w:firstLine="960" w:firstLineChars="300"/>
        <w:rPr>
          <w:rFonts w:ascii="黑体" w:eastAsia="黑体" w:hAnsiTheme="majorEastAsia"/>
          <w:sz w:val="32"/>
          <w:szCs w:val="32"/>
        </w:rPr>
      </w:pPr>
      <w:r>
        <w:rPr>
          <w:rFonts w:hint="eastAsia" w:ascii="黑体" w:eastAsia="黑体" w:hAnsiTheme="majorEastAsia"/>
          <w:sz w:val="32"/>
          <w:szCs w:val="32"/>
        </w:rPr>
        <w:t>二、制定过程</w:t>
      </w:r>
    </w:p>
    <w:p>
      <w:pPr>
        <w:keepNext w:val="0"/>
        <w:keepLines w:val="0"/>
        <w:pageBreakBefore w:val="0"/>
        <w:widowControl w:val="0"/>
        <w:kinsoku/>
        <w:wordWrap/>
        <w:overflowPunct/>
        <w:topLinePunct w:val="0"/>
        <w:autoSpaceDE/>
        <w:autoSpaceDN/>
        <w:bidi w:val="0"/>
        <w:adjustRightInd/>
        <w:snapToGrid/>
        <w:spacing w:line="580" w:lineRule="exact"/>
        <w:ind w:left="319" w:leftChars="152"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sz w:val="32"/>
          <w:szCs w:val="32"/>
          <w:lang w:eastAsia="zh-CN"/>
        </w:rPr>
        <w:t>紧紧围绕《</w:t>
      </w:r>
      <w:r>
        <w:rPr>
          <w:rFonts w:hint="eastAsia" w:ascii="仿宋_GB2312" w:hAnsi="仿宋_GB2312" w:eastAsia="仿宋_GB2312" w:cs="仿宋_GB2312"/>
          <w:b w:val="0"/>
          <w:bCs/>
          <w:sz w:val="32"/>
          <w:szCs w:val="32"/>
        </w:rPr>
        <w:t>抚顺市国家知识产权强市建设试点城市工作方案（2022-202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》重点目标和工作任务，结合我市知识产权工作基础和发展实际，参照省内同批认定的国家知识产权试点城市鞍山市及省内同类城市盘锦市出台的政策，我局</w:t>
      </w:r>
      <w:r>
        <w:rPr>
          <w:rFonts w:hint="eastAsia" w:ascii="仿宋_GB2312" w:hAnsi="宋体" w:eastAsia="仿宋_GB2312" w:cs="宋体"/>
          <w:color w:val="000000"/>
          <w:kern w:val="0"/>
          <w:sz w:val="32"/>
          <w:szCs w:val="32"/>
        </w:rPr>
        <w:t>起草了</w:t>
      </w:r>
      <w:r>
        <w:rPr>
          <w:rFonts w:hint="eastAsia" w:ascii="仿宋_GB2312" w:hAnsi="仿宋_GB2312" w:eastAsia="仿宋_GB2312" w:cs="仿宋_GB2312"/>
          <w:b w:val="0"/>
          <w:bCs/>
          <w:sz w:val="32"/>
          <w:szCs w:val="32"/>
          <w:lang w:eastAsia="zh-CN"/>
        </w:rPr>
        <w:t>《政策》。</w:t>
      </w:r>
    </w:p>
    <w:p>
      <w:pPr>
        <w:spacing w:line="580" w:lineRule="exact"/>
        <w:ind w:left="319" w:leftChars="152" w:firstLine="640" w:firstLineChars="200"/>
        <w:rPr>
          <w:rFonts w:ascii="仿宋_GB2312" w:eastAsia="仿宋_GB2312"/>
          <w:sz w:val="32"/>
          <w:szCs w:val="32"/>
        </w:rPr>
      </w:pPr>
      <w:r>
        <w:rPr>
          <w:rFonts w:hint="eastAsia" w:ascii="仿宋_GB2312" w:eastAsia="仿宋_GB2312"/>
          <w:sz w:val="32"/>
          <w:szCs w:val="32"/>
          <w:lang w:eastAsia="zh-CN"/>
        </w:rPr>
        <w:t>为提高政策的科学性、有效性和可操作性，</w:t>
      </w:r>
      <w:r>
        <w:rPr>
          <w:rFonts w:hint="eastAsia" w:ascii="仿宋_GB2312" w:eastAsia="仿宋_GB2312"/>
          <w:sz w:val="32"/>
          <w:szCs w:val="32"/>
        </w:rPr>
        <w:t>我局</w:t>
      </w:r>
      <w:r>
        <w:rPr>
          <w:rFonts w:hint="eastAsia" w:ascii="仿宋_GB2312" w:eastAsia="仿宋_GB2312"/>
          <w:sz w:val="32"/>
          <w:szCs w:val="32"/>
          <w:lang w:eastAsia="zh-CN"/>
        </w:rPr>
        <w:t>还征求了省</w:t>
      </w:r>
      <w:r>
        <w:rPr>
          <w:rFonts w:hint="eastAsia" w:ascii="仿宋_GB2312" w:eastAsia="仿宋_GB2312"/>
          <w:sz w:val="32"/>
          <w:szCs w:val="32"/>
        </w:rPr>
        <w:t>知识产权局</w:t>
      </w:r>
      <w:r>
        <w:rPr>
          <w:rFonts w:hint="eastAsia" w:ascii="仿宋_GB2312" w:eastAsia="仿宋_GB2312"/>
          <w:sz w:val="32"/>
          <w:szCs w:val="32"/>
          <w:lang w:eastAsia="zh-CN"/>
        </w:rPr>
        <w:t>和市财政局的</w:t>
      </w:r>
      <w:r>
        <w:rPr>
          <w:rFonts w:hint="eastAsia" w:ascii="仿宋_GB2312" w:eastAsia="仿宋_GB2312"/>
          <w:sz w:val="32"/>
          <w:szCs w:val="32"/>
        </w:rPr>
        <w:t>意见和建议</w:t>
      </w:r>
      <w:r>
        <w:rPr>
          <w:rFonts w:hint="eastAsia" w:ascii="仿宋_GB2312" w:eastAsia="仿宋_GB2312"/>
          <w:sz w:val="32"/>
          <w:szCs w:val="32"/>
          <w:lang w:eastAsia="zh-CN"/>
        </w:rPr>
        <w:t>并</w:t>
      </w:r>
      <w:r>
        <w:rPr>
          <w:rFonts w:hint="eastAsia" w:ascii="仿宋_GB2312" w:eastAsia="仿宋_GB2312"/>
          <w:sz w:val="32"/>
          <w:szCs w:val="32"/>
        </w:rPr>
        <w:t>进行了</w:t>
      </w:r>
      <w:r>
        <w:rPr>
          <w:rFonts w:hint="eastAsia" w:ascii="仿宋_GB2312" w:eastAsia="仿宋_GB2312"/>
          <w:sz w:val="32"/>
          <w:szCs w:val="32"/>
          <w:lang w:eastAsia="zh-CN"/>
        </w:rPr>
        <w:t>相应修改</w:t>
      </w:r>
      <w:r>
        <w:rPr>
          <w:rFonts w:hint="eastAsia" w:ascii="仿宋_GB2312" w:eastAsia="仿宋_GB2312"/>
          <w:sz w:val="32"/>
          <w:szCs w:val="32"/>
        </w:rPr>
        <w:t>完善。</w:t>
      </w:r>
    </w:p>
    <w:p>
      <w:pPr>
        <w:spacing w:line="580" w:lineRule="exact"/>
        <w:ind w:firstLine="960" w:firstLineChars="300"/>
        <w:rPr>
          <w:rFonts w:ascii="黑体" w:eastAsia="黑体"/>
          <w:sz w:val="32"/>
          <w:szCs w:val="32"/>
        </w:rPr>
      </w:pPr>
      <w:r>
        <w:rPr>
          <w:rFonts w:hint="eastAsia" w:ascii="黑体" w:eastAsia="黑体"/>
          <w:sz w:val="32"/>
          <w:szCs w:val="32"/>
        </w:rPr>
        <w:t>三、主要内容</w:t>
      </w:r>
    </w:p>
    <w:p>
      <w:pPr>
        <w:keepNext w:val="0"/>
        <w:keepLines w:val="0"/>
        <w:pageBreakBefore w:val="0"/>
        <w:kinsoku/>
        <w:wordWrap/>
        <w:overflowPunct/>
        <w:topLinePunct w:val="0"/>
        <w:autoSpaceDE/>
        <w:autoSpaceDN/>
        <w:bidi w:val="0"/>
        <w:adjustRightInd/>
        <w:snapToGrid/>
        <w:spacing w:line="580" w:lineRule="exact"/>
        <w:ind w:firstLine="960" w:firstLineChars="300"/>
        <w:textAlignment w:val="auto"/>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政策</w:t>
      </w:r>
      <w:r>
        <w:rPr>
          <w:rFonts w:hint="eastAsia" w:ascii="仿宋_GB2312" w:eastAsia="仿宋_GB2312"/>
          <w:sz w:val="32"/>
          <w:szCs w:val="32"/>
        </w:rPr>
        <w:t>》共</w:t>
      </w:r>
      <w:r>
        <w:rPr>
          <w:rFonts w:hint="eastAsia" w:ascii="仿宋_GB2312" w:eastAsia="仿宋_GB2312"/>
          <w:sz w:val="32"/>
          <w:szCs w:val="32"/>
          <w:lang w:eastAsia="zh-CN"/>
        </w:rPr>
        <w:t>制定了三方面七条政策措施。</w:t>
      </w:r>
    </w:p>
    <w:p>
      <w:pPr>
        <w:keepNext w:val="0"/>
        <w:keepLines w:val="0"/>
        <w:pageBreakBefore w:val="0"/>
        <w:kinsoku/>
        <w:wordWrap/>
        <w:overflowPunct/>
        <w:topLinePunct w:val="0"/>
        <w:autoSpaceDE/>
        <w:autoSpaceDN/>
        <w:bidi w:val="0"/>
        <w:adjustRightInd/>
        <w:snapToGrid/>
        <w:spacing w:line="580" w:lineRule="exact"/>
        <w:ind w:left="319" w:leftChars="152"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eastAsia="仿宋_GB2312"/>
          <w:sz w:val="32"/>
          <w:szCs w:val="32"/>
          <w:lang w:eastAsia="zh-CN"/>
        </w:rPr>
        <w:t>围绕</w:t>
      </w:r>
      <w:r>
        <w:rPr>
          <w:rFonts w:hint="eastAsia" w:ascii="仿宋_GB2312" w:hAnsi="仿宋_GB2312" w:eastAsia="仿宋_GB2312" w:cs="仿宋_GB2312"/>
          <w:sz w:val="32"/>
          <w:szCs w:val="32"/>
        </w:rPr>
        <w:t>加强知识产权高质量创造</w:t>
      </w:r>
      <w:r>
        <w:rPr>
          <w:rFonts w:hint="eastAsia" w:ascii="仿宋_GB2312" w:hAnsi="仿宋_GB2312" w:eastAsia="仿宋_GB2312" w:cs="仿宋_GB2312"/>
          <w:sz w:val="32"/>
          <w:szCs w:val="32"/>
          <w:lang w:eastAsia="zh-CN"/>
        </w:rPr>
        <w:t>，制定了</w:t>
      </w:r>
      <w:r>
        <w:rPr>
          <w:rFonts w:hint="eastAsia" w:ascii="仿宋_GB2312" w:eastAsia="仿宋_GB2312"/>
          <w:sz w:val="32"/>
          <w:szCs w:val="32"/>
        </w:rPr>
        <w:t>支持高价值专利培育中心建设</w:t>
      </w:r>
      <w:r>
        <w:rPr>
          <w:rFonts w:hint="eastAsia" w:ascii="仿宋_GB2312" w:eastAsia="仿宋_GB2312"/>
          <w:sz w:val="32"/>
          <w:szCs w:val="32"/>
          <w:lang w:eastAsia="zh-CN"/>
        </w:rPr>
        <w:t>、</w:t>
      </w:r>
      <w:r>
        <w:rPr>
          <w:rFonts w:hint="eastAsia" w:ascii="仿宋_GB2312" w:hAnsi="宋体" w:eastAsia="仿宋_GB2312" w:cs="宋体"/>
          <w:color w:val="000000"/>
          <w:kern w:val="0"/>
          <w:sz w:val="32"/>
          <w:szCs w:val="32"/>
        </w:rPr>
        <w:t>激励高价值专利创造</w:t>
      </w:r>
      <w:r>
        <w:rPr>
          <w:rFonts w:hint="eastAsia" w:ascii="仿宋_GB2312" w:eastAsia="仿宋_GB2312"/>
          <w:sz w:val="32"/>
          <w:szCs w:val="32"/>
          <w:lang w:eastAsia="zh-CN"/>
        </w:rPr>
        <w:t>和</w:t>
      </w:r>
      <w:r>
        <w:rPr>
          <w:rFonts w:hint="eastAsia" w:ascii="仿宋_GB2312" w:hAnsi="宋体" w:eastAsia="仿宋_GB2312"/>
          <w:sz w:val="32"/>
          <w:szCs w:val="32"/>
        </w:rPr>
        <w:t>大力培育</w:t>
      </w:r>
      <w:r>
        <w:rPr>
          <w:rFonts w:hint="eastAsia" w:ascii="仿宋_GB2312" w:hAnsi="宋体" w:eastAsia="仿宋_GB2312"/>
          <w:sz w:val="32"/>
          <w:szCs w:val="32"/>
          <w:lang w:val="en-US" w:eastAsia="zh-CN"/>
        </w:rPr>
        <w:t>区域品牌3条资金补助、奖励</w:t>
      </w:r>
      <w:r>
        <w:rPr>
          <w:rFonts w:hint="eastAsia" w:ascii="仿宋_GB2312" w:hAnsi="宋体" w:eastAsia="仿宋_GB2312"/>
          <w:sz w:val="32"/>
          <w:szCs w:val="32"/>
          <w:lang w:eastAsia="zh-CN"/>
        </w:rPr>
        <w:t>措施</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319" w:leftChars="152"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eastAsia="仿宋_GB2312"/>
          <w:sz w:val="32"/>
          <w:szCs w:val="32"/>
          <w:lang w:eastAsia="zh-CN"/>
        </w:rPr>
        <w:t>围绕</w:t>
      </w:r>
      <w:r>
        <w:rPr>
          <w:rFonts w:hint="eastAsia" w:ascii="仿宋_GB2312" w:hAnsi="仿宋_GB2312" w:eastAsia="仿宋_GB2312" w:cs="仿宋_GB2312"/>
          <w:sz w:val="32"/>
          <w:szCs w:val="32"/>
        </w:rPr>
        <w:t>促进知识产权高效益运用</w:t>
      </w:r>
      <w:r>
        <w:rPr>
          <w:rFonts w:hint="eastAsia" w:ascii="仿宋_GB2312" w:hAnsi="仿宋_GB2312" w:eastAsia="仿宋_GB2312" w:cs="仿宋_GB2312"/>
          <w:sz w:val="32"/>
          <w:szCs w:val="32"/>
          <w:lang w:eastAsia="zh-CN"/>
        </w:rPr>
        <w:t>，制定了</w:t>
      </w:r>
      <w:r>
        <w:rPr>
          <w:rFonts w:hint="eastAsia" w:ascii="仿宋_GB2312" w:eastAsia="仿宋_GB2312"/>
          <w:sz w:val="32"/>
          <w:szCs w:val="32"/>
        </w:rPr>
        <w:t>培育知识产权强企</w:t>
      </w:r>
      <w:r>
        <w:rPr>
          <w:rFonts w:hint="eastAsia" w:ascii="仿宋_GB2312" w:eastAsia="仿宋_GB2312"/>
          <w:sz w:val="32"/>
          <w:szCs w:val="32"/>
          <w:lang w:eastAsia="zh-CN"/>
        </w:rPr>
        <w:t>、</w:t>
      </w:r>
      <w:r>
        <w:rPr>
          <w:rFonts w:hint="eastAsia" w:ascii="仿宋_GB2312" w:eastAsia="仿宋_GB2312"/>
          <w:sz w:val="32"/>
          <w:szCs w:val="32"/>
        </w:rPr>
        <w:t>鼓励开展专利导航</w:t>
      </w:r>
      <w:r>
        <w:rPr>
          <w:rFonts w:hint="eastAsia" w:ascii="仿宋_GB2312" w:eastAsia="仿宋_GB2312"/>
          <w:sz w:val="32"/>
          <w:szCs w:val="32"/>
          <w:lang w:eastAsia="zh-CN"/>
        </w:rPr>
        <w:t>、</w:t>
      </w:r>
      <w:r>
        <w:rPr>
          <w:rFonts w:hint="default" w:ascii="Nimbus Roman No9 L" w:hAnsi="Nimbus Roman No9 L" w:eastAsia="仿宋" w:cs="Nimbus Roman No9 L"/>
          <w:sz w:val="32"/>
          <w:szCs w:val="32"/>
          <w:u w:val="none"/>
        </w:rPr>
        <w:t>降低中小微企业创新成本</w:t>
      </w:r>
      <w:r>
        <w:rPr>
          <w:rFonts w:hint="eastAsia" w:ascii="仿宋_GB2312" w:hAnsi="宋体" w:eastAsia="仿宋_GB2312"/>
          <w:sz w:val="32"/>
          <w:szCs w:val="32"/>
          <w:lang w:val="en-US" w:eastAsia="zh-CN"/>
        </w:rPr>
        <w:t>3条资金补助、奖励</w:t>
      </w:r>
      <w:r>
        <w:rPr>
          <w:rFonts w:hint="eastAsia" w:ascii="仿宋_GB2312" w:hAnsi="宋体" w:eastAsia="仿宋_GB2312"/>
          <w:sz w:val="32"/>
          <w:szCs w:val="32"/>
          <w:lang w:eastAsia="zh-CN"/>
        </w:rPr>
        <w:t>措施</w:t>
      </w:r>
      <w:r>
        <w:rPr>
          <w:rFonts w:hint="eastAsia" w:ascii="仿宋_GB2312" w:hAnsi="仿宋_GB2312" w:eastAsia="仿宋_GB2312" w:cs="仿宋_GB2312"/>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319" w:leftChars="152"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eastAsia="仿宋_GB2312"/>
          <w:sz w:val="32"/>
          <w:szCs w:val="32"/>
          <w:lang w:eastAsia="zh-CN"/>
        </w:rPr>
        <w:t>围绕</w:t>
      </w:r>
      <w:r>
        <w:rPr>
          <w:rFonts w:hint="eastAsia" w:ascii="仿宋_GB2312" w:hAnsi="仿宋_GB2312" w:eastAsia="仿宋_GB2312" w:cs="仿宋_GB2312"/>
          <w:color w:val="000000"/>
          <w:kern w:val="0"/>
          <w:sz w:val="32"/>
          <w:szCs w:val="32"/>
        </w:rPr>
        <w:t>推动知识产权金融发展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lang w:eastAsia="zh-CN"/>
        </w:rPr>
        <w:t>制定了</w:t>
      </w:r>
      <w:r>
        <w:rPr>
          <w:rFonts w:hint="eastAsia" w:ascii="仿宋_GB2312" w:eastAsia="仿宋_GB2312"/>
          <w:sz w:val="32"/>
          <w:szCs w:val="32"/>
        </w:rPr>
        <w:t>降低企业融资成本</w:t>
      </w:r>
      <w:r>
        <w:rPr>
          <w:rFonts w:hint="eastAsia" w:ascii="仿宋_GB2312" w:hAnsi="宋体" w:eastAsia="仿宋_GB2312"/>
          <w:sz w:val="32"/>
          <w:szCs w:val="32"/>
          <w:lang w:val="en-US" w:eastAsia="zh-CN"/>
        </w:rPr>
        <w:t>1条补助</w:t>
      </w:r>
      <w:r>
        <w:rPr>
          <w:rFonts w:hint="eastAsia" w:ascii="仿宋_GB2312" w:hAnsi="宋体" w:eastAsia="仿宋_GB2312"/>
          <w:sz w:val="32"/>
          <w:szCs w:val="32"/>
          <w:lang w:eastAsia="zh-CN"/>
        </w:rPr>
        <w:t>措施</w:t>
      </w:r>
      <w:r>
        <w:rPr>
          <w:rFonts w:hint="eastAsia" w:ascii="仿宋_GB2312" w:hAnsi="仿宋_GB2312" w:eastAsia="仿宋_GB2312" w:cs="仿宋_GB2312"/>
          <w:color w:val="000000"/>
          <w:kern w:val="0"/>
          <w:sz w:val="32"/>
          <w:szCs w:val="32"/>
          <w:lang w:eastAsia="zh-CN"/>
        </w:rPr>
        <w:t>。</w:t>
      </w:r>
    </w:p>
    <w:p>
      <w:pPr>
        <w:spacing w:line="580" w:lineRule="exact"/>
        <w:ind w:firstLine="960" w:firstLineChars="300"/>
        <w:rPr>
          <w:rFonts w:ascii="黑体" w:eastAsia="黑体" w:hAnsiTheme="majorEastAsia"/>
          <w:sz w:val="32"/>
          <w:szCs w:val="32"/>
        </w:rPr>
      </w:pPr>
      <w:r>
        <w:rPr>
          <w:rFonts w:hint="eastAsia" w:ascii="黑体" w:eastAsia="黑体" w:hAnsiTheme="majorEastAsia"/>
          <w:sz w:val="32"/>
          <w:szCs w:val="32"/>
        </w:rPr>
        <w:t>四、下一步工作安排</w:t>
      </w:r>
    </w:p>
    <w:p>
      <w:pPr>
        <w:spacing w:line="580" w:lineRule="exact"/>
        <w:ind w:left="319" w:leftChars="152" w:firstLine="640" w:firstLineChars="200"/>
        <w:rPr>
          <w:rFonts w:asciiTheme="majorEastAsia" w:hAnsiTheme="majorEastAsia" w:eastAsiaTheme="majorEastAsia"/>
          <w:b/>
          <w:sz w:val="32"/>
          <w:szCs w:val="32"/>
        </w:rPr>
      </w:pPr>
      <w:r>
        <w:rPr>
          <w:rFonts w:hint="eastAsia" w:ascii="仿宋_GB2312" w:eastAsia="仿宋_GB2312"/>
          <w:sz w:val="32"/>
          <w:szCs w:val="32"/>
        </w:rPr>
        <w:t>市</w:t>
      </w:r>
      <w:r>
        <w:rPr>
          <w:rFonts w:hint="eastAsia" w:ascii="仿宋_GB2312" w:hAnsi="Calibri" w:eastAsia="仿宋_GB2312" w:cs="Times New Roman"/>
          <w:sz w:val="32"/>
          <w:szCs w:val="32"/>
        </w:rPr>
        <w:t>政府</w:t>
      </w:r>
      <w:r>
        <w:rPr>
          <w:rFonts w:hint="eastAsia" w:ascii="仿宋_GB2312" w:hAnsi="Calibri" w:eastAsia="仿宋_GB2312" w:cs="Times New Roman"/>
          <w:sz w:val="32"/>
          <w:szCs w:val="32"/>
          <w:lang w:eastAsia="zh-CN"/>
        </w:rPr>
        <w:t>常务会议</w:t>
      </w:r>
      <w:r>
        <w:rPr>
          <w:rFonts w:hint="eastAsia" w:ascii="仿宋_GB2312" w:hAnsi="宋体" w:eastAsia="仿宋_GB2312" w:cs="宋体"/>
          <w:color w:val="000000"/>
          <w:kern w:val="0"/>
          <w:sz w:val="32"/>
          <w:szCs w:val="32"/>
        </w:rPr>
        <w:t>审议</w:t>
      </w:r>
      <w:r>
        <w:rPr>
          <w:rFonts w:hint="eastAsia" w:ascii="仿宋_GB2312" w:hAnsi="Calibri" w:eastAsia="仿宋_GB2312" w:cs="Times New Roman"/>
          <w:sz w:val="32"/>
          <w:szCs w:val="32"/>
        </w:rPr>
        <w:t>通过后，</w:t>
      </w:r>
      <w:r>
        <w:rPr>
          <w:rFonts w:hint="eastAsia" w:ascii="仿宋_GB2312" w:eastAsia="仿宋_GB2312"/>
          <w:sz w:val="32"/>
          <w:szCs w:val="32"/>
        </w:rPr>
        <w:t>以市</w:t>
      </w:r>
      <w:r>
        <w:rPr>
          <w:rFonts w:hint="eastAsia" w:ascii="仿宋_GB2312" w:hAnsi="Calibri" w:eastAsia="仿宋_GB2312" w:cs="Times New Roman"/>
          <w:sz w:val="32"/>
          <w:szCs w:val="32"/>
        </w:rPr>
        <w:t>政府</w:t>
      </w:r>
      <w:r>
        <w:rPr>
          <w:rFonts w:hint="eastAsia" w:ascii="仿宋_GB2312" w:eastAsia="仿宋_GB2312"/>
          <w:sz w:val="32"/>
          <w:szCs w:val="32"/>
        </w:rPr>
        <w:t>文件印发该《</w:t>
      </w:r>
      <w:r>
        <w:rPr>
          <w:rFonts w:hint="eastAsia" w:ascii="仿宋_GB2312" w:eastAsia="仿宋_GB2312"/>
          <w:sz w:val="32"/>
          <w:szCs w:val="32"/>
          <w:lang w:eastAsia="zh-CN"/>
        </w:rPr>
        <w:t>政策</w:t>
      </w:r>
      <w:r>
        <w:rPr>
          <w:rFonts w:hint="eastAsia" w:ascii="仿宋_GB2312" w:eastAsia="仿宋_GB2312"/>
          <w:sz w:val="32"/>
          <w:szCs w:val="32"/>
        </w:rPr>
        <w:t>》</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积极开展政策</w:t>
      </w:r>
      <w:bookmarkStart w:id="0" w:name="_GoBack"/>
      <w:bookmarkEnd w:id="0"/>
      <w:r>
        <w:rPr>
          <w:rFonts w:hint="eastAsia" w:ascii="仿宋_GB2312" w:hAnsi="Calibri" w:eastAsia="仿宋_GB2312" w:cs="Times New Roman"/>
          <w:sz w:val="32"/>
          <w:szCs w:val="32"/>
          <w:lang w:eastAsia="zh-CN"/>
        </w:rPr>
        <w:t>宣传、解读并组织实施，有序推进试点城市建设。</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p>
    <w:p>
      <w:pPr>
        <w:ind w:firstLine="160" w:firstLineChars="50"/>
        <w:rPr>
          <w:rFonts w:ascii="仿宋_GB2312" w:eastAsia="仿宋_GB2312"/>
          <w:sz w:val="32"/>
          <w:szCs w:val="32"/>
        </w:rPr>
      </w:pPr>
    </w:p>
    <w:sectPr>
      <w:footerReference r:id="rId3" w:type="default"/>
      <w:pgSz w:w="11906" w:h="16838"/>
      <w:pgMar w:top="1440" w:right="1797" w:bottom="1440"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07157"/>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53A3"/>
    <w:rsid w:val="0000136F"/>
    <w:rsid w:val="00002AB7"/>
    <w:rsid w:val="00004AD8"/>
    <w:rsid w:val="00042306"/>
    <w:rsid w:val="000569C8"/>
    <w:rsid w:val="00077701"/>
    <w:rsid w:val="00082642"/>
    <w:rsid w:val="000946F4"/>
    <w:rsid w:val="0009518C"/>
    <w:rsid w:val="000A53F9"/>
    <w:rsid w:val="000C014D"/>
    <w:rsid w:val="000E36EB"/>
    <w:rsid w:val="000F642D"/>
    <w:rsid w:val="00102026"/>
    <w:rsid w:val="0011475D"/>
    <w:rsid w:val="00141AA1"/>
    <w:rsid w:val="00177CAD"/>
    <w:rsid w:val="001B4FC5"/>
    <w:rsid w:val="001B7ECD"/>
    <w:rsid w:val="001F4CFF"/>
    <w:rsid w:val="00221FE4"/>
    <w:rsid w:val="0025105D"/>
    <w:rsid w:val="002613DA"/>
    <w:rsid w:val="00262AB9"/>
    <w:rsid w:val="0029131E"/>
    <w:rsid w:val="002A0085"/>
    <w:rsid w:val="002D7EF3"/>
    <w:rsid w:val="0030668F"/>
    <w:rsid w:val="00312909"/>
    <w:rsid w:val="00314E39"/>
    <w:rsid w:val="00347FCD"/>
    <w:rsid w:val="00363E7C"/>
    <w:rsid w:val="003652E5"/>
    <w:rsid w:val="003D26EF"/>
    <w:rsid w:val="003F1EC2"/>
    <w:rsid w:val="0043078B"/>
    <w:rsid w:val="00442DA5"/>
    <w:rsid w:val="004452E4"/>
    <w:rsid w:val="004831D9"/>
    <w:rsid w:val="00494078"/>
    <w:rsid w:val="00494AEA"/>
    <w:rsid w:val="004B2838"/>
    <w:rsid w:val="004D016F"/>
    <w:rsid w:val="004F66B6"/>
    <w:rsid w:val="00502F5D"/>
    <w:rsid w:val="005143F8"/>
    <w:rsid w:val="0053325E"/>
    <w:rsid w:val="00555DDD"/>
    <w:rsid w:val="00556035"/>
    <w:rsid w:val="00565894"/>
    <w:rsid w:val="00574F3B"/>
    <w:rsid w:val="00591B6A"/>
    <w:rsid w:val="005A09A5"/>
    <w:rsid w:val="005C5888"/>
    <w:rsid w:val="005C7C09"/>
    <w:rsid w:val="00605B18"/>
    <w:rsid w:val="0062741F"/>
    <w:rsid w:val="00650D34"/>
    <w:rsid w:val="00667E06"/>
    <w:rsid w:val="006844BF"/>
    <w:rsid w:val="006B46DC"/>
    <w:rsid w:val="006C1D75"/>
    <w:rsid w:val="006D0446"/>
    <w:rsid w:val="006E535A"/>
    <w:rsid w:val="006F7D96"/>
    <w:rsid w:val="00704E77"/>
    <w:rsid w:val="0072621A"/>
    <w:rsid w:val="00751C5C"/>
    <w:rsid w:val="007823BC"/>
    <w:rsid w:val="007D3328"/>
    <w:rsid w:val="007D5E67"/>
    <w:rsid w:val="0082587B"/>
    <w:rsid w:val="00857548"/>
    <w:rsid w:val="00893F6E"/>
    <w:rsid w:val="008B073A"/>
    <w:rsid w:val="008B38EE"/>
    <w:rsid w:val="008C63E6"/>
    <w:rsid w:val="008E35CA"/>
    <w:rsid w:val="00922694"/>
    <w:rsid w:val="0093620E"/>
    <w:rsid w:val="009A325E"/>
    <w:rsid w:val="009C4E95"/>
    <w:rsid w:val="009D6EB3"/>
    <w:rsid w:val="009E7BF4"/>
    <w:rsid w:val="009F0DDD"/>
    <w:rsid w:val="009F186D"/>
    <w:rsid w:val="009F63EB"/>
    <w:rsid w:val="00A01FB4"/>
    <w:rsid w:val="00A42610"/>
    <w:rsid w:val="00A8045A"/>
    <w:rsid w:val="00AD0350"/>
    <w:rsid w:val="00AE680A"/>
    <w:rsid w:val="00AF1873"/>
    <w:rsid w:val="00AF246B"/>
    <w:rsid w:val="00B15938"/>
    <w:rsid w:val="00B1648C"/>
    <w:rsid w:val="00B17EC9"/>
    <w:rsid w:val="00B306A3"/>
    <w:rsid w:val="00B3591B"/>
    <w:rsid w:val="00B40619"/>
    <w:rsid w:val="00B47957"/>
    <w:rsid w:val="00B60CD0"/>
    <w:rsid w:val="00B643F0"/>
    <w:rsid w:val="00B6591D"/>
    <w:rsid w:val="00B82290"/>
    <w:rsid w:val="00BA545A"/>
    <w:rsid w:val="00BA744B"/>
    <w:rsid w:val="00BC0A5C"/>
    <w:rsid w:val="00C02D6F"/>
    <w:rsid w:val="00C16236"/>
    <w:rsid w:val="00C36F6A"/>
    <w:rsid w:val="00C62FF1"/>
    <w:rsid w:val="00C71F08"/>
    <w:rsid w:val="00C820B5"/>
    <w:rsid w:val="00CA2344"/>
    <w:rsid w:val="00CF7E0F"/>
    <w:rsid w:val="00D026A1"/>
    <w:rsid w:val="00D374C3"/>
    <w:rsid w:val="00D957B9"/>
    <w:rsid w:val="00DB3F58"/>
    <w:rsid w:val="00DD739B"/>
    <w:rsid w:val="00DE5BC1"/>
    <w:rsid w:val="00DF1D54"/>
    <w:rsid w:val="00E01001"/>
    <w:rsid w:val="00E853A3"/>
    <w:rsid w:val="00E94331"/>
    <w:rsid w:val="00EC1EE4"/>
    <w:rsid w:val="00EC734C"/>
    <w:rsid w:val="00ED3C70"/>
    <w:rsid w:val="00F142D4"/>
    <w:rsid w:val="00F43D79"/>
    <w:rsid w:val="00F7465D"/>
    <w:rsid w:val="00F807A8"/>
    <w:rsid w:val="00F8214A"/>
    <w:rsid w:val="00F950EB"/>
    <w:rsid w:val="00FA6131"/>
    <w:rsid w:val="00FC2D37"/>
    <w:rsid w:val="00FD5E23"/>
    <w:rsid w:val="00FE04DF"/>
    <w:rsid w:val="00FF1169"/>
    <w:rsid w:val="3DAE4154"/>
    <w:rsid w:val="56FE70B4"/>
    <w:rsid w:val="6DBEC80F"/>
    <w:rsid w:val="6F9CA122"/>
    <w:rsid w:val="7E5F5824"/>
    <w:rsid w:val="7EFD7FB8"/>
    <w:rsid w:val="7FEDEA2E"/>
    <w:rsid w:val="7FEFB98B"/>
    <w:rsid w:val="9FDFB27E"/>
    <w:rsid w:val="BFF87CD5"/>
    <w:rsid w:val="D8FB3C2E"/>
    <w:rsid w:val="EFF43CE6"/>
    <w:rsid w:val="F557170A"/>
    <w:rsid w:val="FBB97991"/>
    <w:rsid w:val="FBFA593F"/>
    <w:rsid w:val="FFFF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1"/>
    <w:pPr>
      <w:widowControl w:val="0"/>
      <w:ind w:firstLine="200" w:firstLineChars="200"/>
      <w:jc w:val="both"/>
    </w:pPr>
    <w:rPr>
      <w:rFonts w:ascii="Calibri" w:hAnsi="Calibri" w:eastAsia="仿宋_GB2312" w:cs="Times New Roman"/>
      <w:kern w:val="2"/>
      <w:sz w:val="32"/>
      <w:szCs w:val="22"/>
      <w:lang w:val="en-US" w:eastAsia="zh-CN" w:bidi="ar-SA"/>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HTML 预设格式 Char"/>
    <w:basedOn w:val="8"/>
    <w:link w:val="5"/>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162</Words>
  <Characters>928</Characters>
  <Lines>7</Lines>
  <Paragraphs>2</Paragraphs>
  <TotalTime>0</TotalTime>
  <ScaleCrop>false</ScaleCrop>
  <LinksUpToDate>false</LinksUpToDate>
  <CharactersWithSpaces>1088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2021-03-22T17:26:00Z</dcterms:created>
  <dc:creator>NTKO</dc:creator>
  <cp:lastModifiedBy>fushunshi</cp:lastModifiedBy>
  <cp:lastPrinted>2021-08-20T17:55:00Z</cp:lastPrinted>
  <dcterms:modified xsi:type="dcterms:W3CDTF">2023-03-22T10:22:32Z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